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7A1" w:rsidRPr="0073301E" w:rsidRDefault="000617A1" w:rsidP="001C6ACC">
      <w:pPr>
        <w:spacing w:after="0"/>
        <w:rPr>
          <w:rFonts w:cs="Arial"/>
        </w:rPr>
        <w:sectPr w:rsidR="000617A1" w:rsidRPr="0073301E" w:rsidSect="00591B31">
          <w:headerReference w:type="default" r:id="rId8"/>
          <w:footerReference w:type="default" r:id="rId9"/>
          <w:footerReference w:type="first" r:id="rId10"/>
          <w:pgSz w:w="11906" w:h="16838" w:code="9"/>
          <w:pgMar w:top="2098" w:right="1418" w:bottom="1418" w:left="1418" w:header="425" w:footer="448" w:gutter="0"/>
          <w:cols w:num="2" w:space="708"/>
          <w:titlePg/>
          <w:docGrid w:linePitch="360"/>
        </w:sectPr>
      </w:pPr>
    </w:p>
    <w:p w:rsidR="0063747B" w:rsidRPr="00075A00" w:rsidRDefault="0063747B" w:rsidP="0063747B">
      <w:pPr>
        <w:jc w:val="center"/>
        <w:rPr>
          <w:sz w:val="36"/>
          <w:szCs w:val="36"/>
        </w:rPr>
      </w:pPr>
      <w:r w:rsidRPr="00075A00">
        <w:rPr>
          <w:b/>
          <w:sz w:val="72"/>
          <w:szCs w:val="72"/>
        </w:rPr>
        <w:t>Annual Report</w:t>
      </w:r>
      <w:r>
        <w:rPr>
          <w:b/>
          <w:sz w:val="72"/>
          <w:szCs w:val="72"/>
        </w:rPr>
        <w:t xml:space="preserve"> </w:t>
      </w:r>
      <w:r w:rsidRPr="00075A00">
        <w:rPr>
          <w:sz w:val="36"/>
          <w:szCs w:val="36"/>
        </w:rPr>
        <w:t>on the</w:t>
      </w:r>
    </w:p>
    <w:p w:rsidR="0063747B" w:rsidRPr="001E5353" w:rsidRDefault="0063747B" w:rsidP="0063747B">
      <w:pPr>
        <w:jc w:val="center"/>
        <w:rPr>
          <w:sz w:val="36"/>
          <w:szCs w:val="36"/>
        </w:rPr>
      </w:pPr>
      <w:r w:rsidRPr="001E5353">
        <w:rPr>
          <w:sz w:val="36"/>
          <w:szCs w:val="36"/>
        </w:rPr>
        <w:t>Queensland Child Death Case Review Panels</w:t>
      </w:r>
    </w:p>
    <w:p w:rsidR="0063747B" w:rsidRPr="00430271" w:rsidRDefault="0063747B" w:rsidP="0063747B">
      <w:pPr>
        <w:jc w:val="center"/>
        <w:rPr>
          <w:strike/>
          <w:sz w:val="36"/>
          <w:szCs w:val="36"/>
        </w:rPr>
      </w:pPr>
      <w:r w:rsidRPr="000502BB">
        <w:rPr>
          <w:sz w:val="36"/>
          <w:szCs w:val="36"/>
        </w:rPr>
        <w:t>201</w:t>
      </w:r>
      <w:r>
        <w:rPr>
          <w:sz w:val="36"/>
          <w:szCs w:val="36"/>
        </w:rPr>
        <w:t>7</w:t>
      </w:r>
      <w:r w:rsidRPr="000502BB">
        <w:rPr>
          <w:sz w:val="36"/>
          <w:szCs w:val="36"/>
        </w:rPr>
        <w:t>–1</w:t>
      </w:r>
      <w:r>
        <w:rPr>
          <w:sz w:val="36"/>
          <w:szCs w:val="36"/>
        </w:rPr>
        <w:t>8</w:t>
      </w:r>
    </w:p>
    <w:p w:rsidR="00560AD2" w:rsidRDefault="00560AD2" w:rsidP="001C6ACC">
      <w:pPr>
        <w:spacing w:after="0"/>
        <w:rPr>
          <w:rFonts w:cs="Arial"/>
        </w:rPr>
      </w:pPr>
    </w:p>
    <w:p w:rsidR="003E7FD3" w:rsidRDefault="003E7FD3" w:rsidP="001C6ACC">
      <w:pPr>
        <w:spacing w:after="0"/>
        <w:rPr>
          <w:rFonts w:cs="Arial"/>
        </w:rPr>
      </w:pPr>
    </w:p>
    <w:p w:rsidR="003E7FD3" w:rsidRDefault="003E7FD3" w:rsidP="001C6ACC">
      <w:pPr>
        <w:spacing w:after="0"/>
        <w:rPr>
          <w:rFonts w:cs="Arial"/>
        </w:rPr>
      </w:pPr>
    </w:p>
    <w:p w:rsidR="003E7FD3" w:rsidRDefault="003E7FD3" w:rsidP="001C6ACC">
      <w:pPr>
        <w:spacing w:after="0"/>
        <w:rPr>
          <w:rFonts w:cs="Arial"/>
        </w:rPr>
      </w:pPr>
    </w:p>
    <w:p w:rsidR="003E7FD3" w:rsidRDefault="003E7FD3" w:rsidP="001C6ACC">
      <w:pPr>
        <w:spacing w:after="0"/>
        <w:rPr>
          <w:rFonts w:cs="Arial"/>
        </w:rPr>
      </w:pPr>
      <w:bookmarkStart w:id="0" w:name="_GoBack"/>
      <w:bookmarkEnd w:id="0"/>
    </w:p>
    <w:p w:rsidR="00560AD2" w:rsidRPr="000D463A" w:rsidRDefault="00560AD2" w:rsidP="00DD5024">
      <w:pPr>
        <w:spacing w:after="0"/>
        <w:jc w:val="both"/>
        <w:rPr>
          <w:rFonts w:cs="Arial"/>
          <w:szCs w:val="22"/>
        </w:rPr>
      </w:pPr>
      <w:r w:rsidRPr="000D463A">
        <w:rPr>
          <w:rFonts w:cs="Arial"/>
          <w:szCs w:val="22"/>
        </w:rPr>
        <w:t>The</w:t>
      </w:r>
      <w:r w:rsidR="008452FB" w:rsidRPr="000D463A">
        <w:rPr>
          <w:rFonts w:cs="Arial"/>
          <w:szCs w:val="22"/>
        </w:rPr>
        <w:t xml:space="preserve"> Honourable </w:t>
      </w:r>
      <w:r w:rsidR="008C42E0" w:rsidRPr="000D463A">
        <w:rPr>
          <w:rFonts w:cs="Arial"/>
          <w:szCs w:val="22"/>
        </w:rPr>
        <w:t>Di Farmer</w:t>
      </w:r>
    </w:p>
    <w:p w:rsidR="00560AD2" w:rsidRPr="000D463A" w:rsidRDefault="00560AD2" w:rsidP="00DD5024">
      <w:pPr>
        <w:spacing w:after="0"/>
        <w:jc w:val="both"/>
        <w:rPr>
          <w:rFonts w:cs="Arial"/>
          <w:spacing w:val="-1"/>
          <w:szCs w:val="22"/>
        </w:rPr>
      </w:pPr>
      <w:r w:rsidRPr="000D463A">
        <w:rPr>
          <w:rFonts w:cs="Arial"/>
          <w:spacing w:val="-1"/>
          <w:szCs w:val="22"/>
        </w:rPr>
        <w:t xml:space="preserve">Minister for </w:t>
      </w:r>
      <w:r w:rsidR="008C42E0" w:rsidRPr="000D463A">
        <w:rPr>
          <w:rFonts w:cs="Arial"/>
          <w:spacing w:val="-1"/>
          <w:szCs w:val="22"/>
        </w:rPr>
        <w:t>Child Safety, Youth and Women</w:t>
      </w:r>
    </w:p>
    <w:p w:rsidR="00B51F26" w:rsidRPr="000D463A" w:rsidRDefault="000D463A" w:rsidP="00DD5024">
      <w:pPr>
        <w:tabs>
          <w:tab w:val="left" w:pos="0"/>
        </w:tabs>
        <w:spacing w:after="0"/>
        <w:jc w:val="both"/>
        <w:rPr>
          <w:rFonts w:cs="Arial"/>
          <w:szCs w:val="22"/>
        </w:rPr>
      </w:pPr>
      <w:r w:rsidRPr="000D463A">
        <w:rPr>
          <w:rFonts w:cs="Arial"/>
          <w:szCs w:val="22"/>
        </w:rPr>
        <w:t xml:space="preserve">Minister for the Prevention of Domestic and Family Violence </w:t>
      </w:r>
    </w:p>
    <w:p w:rsidR="000D463A" w:rsidRPr="000D463A" w:rsidRDefault="000D463A" w:rsidP="00DD5024">
      <w:pPr>
        <w:tabs>
          <w:tab w:val="left" w:pos="0"/>
        </w:tabs>
        <w:spacing w:after="0"/>
        <w:jc w:val="both"/>
        <w:rPr>
          <w:rFonts w:cs="Arial"/>
          <w:szCs w:val="22"/>
        </w:rPr>
      </w:pPr>
    </w:p>
    <w:p w:rsidR="00560AD2" w:rsidRPr="000D463A" w:rsidRDefault="00560AD2" w:rsidP="00DD5024">
      <w:pPr>
        <w:spacing w:after="0"/>
        <w:jc w:val="both"/>
        <w:rPr>
          <w:rFonts w:cs="Arial"/>
          <w:szCs w:val="22"/>
        </w:rPr>
      </w:pPr>
      <w:r w:rsidRPr="000D463A">
        <w:rPr>
          <w:rFonts w:cs="Arial"/>
          <w:szCs w:val="22"/>
        </w:rPr>
        <w:t>Dear Minister</w:t>
      </w:r>
    </w:p>
    <w:p w:rsidR="00B51F26" w:rsidRPr="000D463A" w:rsidRDefault="00B51F26" w:rsidP="00DD5024">
      <w:pPr>
        <w:spacing w:after="0"/>
        <w:jc w:val="both"/>
        <w:rPr>
          <w:rFonts w:cs="Arial"/>
          <w:spacing w:val="-1"/>
          <w:szCs w:val="22"/>
        </w:rPr>
      </w:pPr>
    </w:p>
    <w:p w:rsidR="007A0743" w:rsidRPr="000D463A" w:rsidRDefault="00560AD2" w:rsidP="00DD5024">
      <w:pPr>
        <w:spacing w:after="0"/>
        <w:jc w:val="both"/>
        <w:rPr>
          <w:rFonts w:cs="Arial"/>
          <w:szCs w:val="22"/>
        </w:rPr>
      </w:pPr>
      <w:r w:rsidRPr="000D463A">
        <w:rPr>
          <w:rFonts w:cs="Arial"/>
          <w:spacing w:val="-1"/>
          <w:szCs w:val="22"/>
        </w:rPr>
        <w:t xml:space="preserve">In </w:t>
      </w:r>
      <w:r w:rsidRPr="000D463A">
        <w:rPr>
          <w:rFonts w:cs="Arial"/>
          <w:szCs w:val="22"/>
        </w:rPr>
        <w:t>accordance</w:t>
      </w:r>
      <w:r w:rsidRPr="000D463A">
        <w:rPr>
          <w:rFonts w:cs="Arial"/>
          <w:spacing w:val="-1"/>
          <w:szCs w:val="22"/>
        </w:rPr>
        <w:t xml:space="preserve"> with section 246HL of the</w:t>
      </w:r>
      <w:r w:rsidRPr="000D463A">
        <w:rPr>
          <w:rFonts w:cs="Arial"/>
          <w:i/>
          <w:iCs/>
          <w:spacing w:val="-1"/>
          <w:szCs w:val="22"/>
        </w:rPr>
        <w:t xml:space="preserve"> Child Protection Act 1999</w:t>
      </w:r>
      <w:r w:rsidR="00DD710A" w:rsidRPr="000D463A">
        <w:rPr>
          <w:rFonts w:cs="Arial"/>
          <w:i/>
          <w:iCs/>
          <w:spacing w:val="-1"/>
          <w:szCs w:val="22"/>
        </w:rPr>
        <w:t xml:space="preserve"> </w:t>
      </w:r>
      <w:r w:rsidR="00DD710A" w:rsidRPr="000D463A">
        <w:rPr>
          <w:rFonts w:cs="Arial"/>
          <w:iCs/>
          <w:spacing w:val="-1"/>
          <w:szCs w:val="22"/>
        </w:rPr>
        <w:t>(the Act)</w:t>
      </w:r>
      <w:r w:rsidRPr="000D463A">
        <w:rPr>
          <w:rFonts w:cs="Arial"/>
          <w:spacing w:val="-1"/>
          <w:szCs w:val="22"/>
        </w:rPr>
        <w:t xml:space="preserve">, I </w:t>
      </w:r>
      <w:r w:rsidRPr="000D463A">
        <w:rPr>
          <w:rFonts w:cs="Arial"/>
          <w:szCs w:val="22"/>
        </w:rPr>
        <w:t xml:space="preserve">present the annual report </w:t>
      </w:r>
      <w:r w:rsidR="00A568D9" w:rsidRPr="000D463A">
        <w:rPr>
          <w:rFonts w:cs="Arial"/>
          <w:szCs w:val="22"/>
        </w:rPr>
        <w:t xml:space="preserve">about the work of </w:t>
      </w:r>
      <w:r w:rsidRPr="000D463A">
        <w:rPr>
          <w:rFonts w:cs="Arial"/>
          <w:szCs w:val="22"/>
        </w:rPr>
        <w:t xml:space="preserve">Child Death Case Review Panels </w:t>
      </w:r>
      <w:r w:rsidR="00A568D9" w:rsidRPr="000D463A">
        <w:rPr>
          <w:rFonts w:cs="Arial"/>
          <w:szCs w:val="22"/>
        </w:rPr>
        <w:t xml:space="preserve">under </w:t>
      </w:r>
      <w:r w:rsidR="00C242E2">
        <w:rPr>
          <w:rFonts w:cs="Arial"/>
          <w:szCs w:val="22"/>
        </w:rPr>
        <w:t>C</w:t>
      </w:r>
      <w:r w:rsidR="00A568D9" w:rsidRPr="000D463A">
        <w:rPr>
          <w:rFonts w:cs="Arial"/>
          <w:szCs w:val="22"/>
        </w:rPr>
        <w:t xml:space="preserve">hapter 7A of the Act and departmental responses </w:t>
      </w:r>
      <w:r w:rsidRPr="000D463A">
        <w:rPr>
          <w:rFonts w:cs="Arial"/>
          <w:szCs w:val="22"/>
        </w:rPr>
        <w:t xml:space="preserve">for the period 1 July </w:t>
      </w:r>
      <w:r w:rsidR="008F5538" w:rsidRPr="000D463A">
        <w:rPr>
          <w:rFonts w:cs="Arial"/>
          <w:szCs w:val="22"/>
        </w:rPr>
        <w:t>201</w:t>
      </w:r>
      <w:r w:rsidR="00794BF0" w:rsidRPr="000D463A">
        <w:rPr>
          <w:rFonts w:cs="Arial"/>
          <w:szCs w:val="22"/>
        </w:rPr>
        <w:t>7</w:t>
      </w:r>
      <w:r w:rsidR="0032482A" w:rsidRPr="000D463A">
        <w:rPr>
          <w:rFonts w:cs="Arial"/>
          <w:szCs w:val="22"/>
        </w:rPr>
        <w:t xml:space="preserve"> </w:t>
      </w:r>
      <w:r w:rsidRPr="000D463A">
        <w:rPr>
          <w:rFonts w:cs="Arial"/>
          <w:szCs w:val="22"/>
        </w:rPr>
        <w:t xml:space="preserve">to 30 June </w:t>
      </w:r>
      <w:r w:rsidR="008F5538" w:rsidRPr="000D463A">
        <w:rPr>
          <w:rFonts w:cs="Arial"/>
          <w:szCs w:val="22"/>
        </w:rPr>
        <w:t>201</w:t>
      </w:r>
      <w:r w:rsidR="00794BF0" w:rsidRPr="000D463A">
        <w:rPr>
          <w:rFonts w:cs="Arial"/>
          <w:szCs w:val="22"/>
        </w:rPr>
        <w:t>8</w:t>
      </w:r>
      <w:r w:rsidRPr="000D463A">
        <w:rPr>
          <w:rFonts w:cs="Arial"/>
          <w:szCs w:val="22"/>
        </w:rPr>
        <w:t>.</w:t>
      </w:r>
    </w:p>
    <w:p w:rsidR="00560AD2" w:rsidRPr="000D463A" w:rsidRDefault="00560AD2" w:rsidP="00DD5024">
      <w:pPr>
        <w:spacing w:after="0"/>
        <w:jc w:val="both"/>
        <w:rPr>
          <w:rFonts w:cs="Arial"/>
          <w:szCs w:val="22"/>
        </w:rPr>
      </w:pPr>
    </w:p>
    <w:p w:rsidR="00560AD2" w:rsidRPr="000D463A" w:rsidRDefault="008452FB" w:rsidP="00DD5024">
      <w:pPr>
        <w:spacing w:after="0"/>
        <w:jc w:val="both"/>
        <w:rPr>
          <w:rFonts w:cs="Arial"/>
          <w:szCs w:val="22"/>
        </w:rPr>
      </w:pPr>
      <w:r w:rsidRPr="000D463A">
        <w:rPr>
          <w:rFonts w:cs="Arial"/>
          <w:szCs w:val="22"/>
        </w:rPr>
        <w:t>Yours sincerely</w:t>
      </w:r>
    </w:p>
    <w:p w:rsidR="00B51F26" w:rsidRPr="000D463A" w:rsidRDefault="00B51F26" w:rsidP="00DD5024">
      <w:pPr>
        <w:spacing w:after="0"/>
        <w:jc w:val="both"/>
        <w:rPr>
          <w:rFonts w:cs="Arial"/>
          <w:spacing w:val="-7"/>
          <w:szCs w:val="22"/>
        </w:rPr>
      </w:pPr>
    </w:p>
    <w:p w:rsidR="00B51F26" w:rsidRPr="000D463A" w:rsidRDefault="00B51F26" w:rsidP="00DD5024">
      <w:pPr>
        <w:spacing w:after="0"/>
        <w:jc w:val="both"/>
        <w:rPr>
          <w:rFonts w:cs="Arial"/>
          <w:spacing w:val="-7"/>
          <w:szCs w:val="22"/>
        </w:rPr>
      </w:pPr>
    </w:p>
    <w:p w:rsidR="00560AD2" w:rsidRPr="000D463A" w:rsidRDefault="0032482A" w:rsidP="00DD5024">
      <w:pPr>
        <w:spacing w:after="0"/>
        <w:jc w:val="both"/>
        <w:rPr>
          <w:rFonts w:cs="Arial"/>
          <w:szCs w:val="22"/>
        </w:rPr>
      </w:pPr>
      <w:r w:rsidRPr="000D463A">
        <w:rPr>
          <w:rFonts w:cs="Arial"/>
          <w:spacing w:val="-7"/>
          <w:szCs w:val="22"/>
        </w:rPr>
        <w:t>Michael Hogan</w:t>
      </w:r>
    </w:p>
    <w:p w:rsidR="00560AD2" w:rsidRPr="000D463A" w:rsidRDefault="00560AD2" w:rsidP="00DD5024">
      <w:pPr>
        <w:spacing w:after="0"/>
        <w:jc w:val="both"/>
        <w:rPr>
          <w:rFonts w:cs="Arial"/>
          <w:b/>
          <w:spacing w:val="-3"/>
          <w:szCs w:val="22"/>
        </w:rPr>
      </w:pPr>
      <w:r w:rsidRPr="000D463A">
        <w:rPr>
          <w:rFonts w:cs="Arial"/>
          <w:b/>
          <w:spacing w:val="-3"/>
          <w:szCs w:val="22"/>
        </w:rPr>
        <w:t>Director-General</w:t>
      </w:r>
    </w:p>
    <w:p w:rsidR="00560AD2" w:rsidRPr="000D463A" w:rsidRDefault="00560AD2" w:rsidP="00DD5024">
      <w:pPr>
        <w:spacing w:after="0"/>
        <w:jc w:val="both"/>
        <w:rPr>
          <w:rFonts w:cs="Arial"/>
          <w:b/>
          <w:spacing w:val="-3"/>
          <w:szCs w:val="22"/>
        </w:rPr>
      </w:pPr>
      <w:r w:rsidRPr="000D463A">
        <w:rPr>
          <w:rFonts w:cs="Arial"/>
          <w:b/>
          <w:spacing w:val="-3"/>
          <w:szCs w:val="22"/>
        </w:rPr>
        <w:t>Department of Child Safety</w:t>
      </w:r>
      <w:r w:rsidR="008C42E0" w:rsidRPr="000D463A">
        <w:rPr>
          <w:rFonts w:cs="Arial"/>
          <w:b/>
          <w:spacing w:val="-3"/>
          <w:szCs w:val="22"/>
        </w:rPr>
        <w:t xml:space="preserve">, Youth and Women </w:t>
      </w:r>
    </w:p>
    <w:p w:rsidR="008452FB" w:rsidRDefault="008452FB" w:rsidP="00DD5024">
      <w:pPr>
        <w:spacing w:after="0"/>
        <w:jc w:val="both"/>
      </w:pPr>
    </w:p>
    <w:p w:rsidR="0063747B" w:rsidRDefault="0063747B" w:rsidP="00DD5024">
      <w:pPr>
        <w:spacing w:after="0"/>
        <w:jc w:val="both"/>
      </w:pPr>
    </w:p>
    <w:p w:rsidR="0063747B" w:rsidRDefault="0063747B" w:rsidP="00DD5024">
      <w:pPr>
        <w:spacing w:after="0"/>
        <w:jc w:val="both"/>
      </w:pPr>
    </w:p>
    <w:p w:rsidR="009B2570" w:rsidRDefault="009B2570" w:rsidP="0063747B">
      <w:pPr>
        <w:autoSpaceDE w:val="0"/>
        <w:autoSpaceDN w:val="0"/>
        <w:adjustRightInd w:val="0"/>
        <w:rPr>
          <w:rFonts w:cs="Arial"/>
          <w:b/>
          <w:bCs/>
          <w:sz w:val="36"/>
          <w:szCs w:val="32"/>
        </w:rPr>
        <w:sectPr w:rsidR="009B2570" w:rsidSect="00591B31">
          <w:headerReference w:type="default" r:id="rId11"/>
          <w:headerReference w:type="first" r:id="rId12"/>
          <w:footerReference w:type="first" r:id="rId13"/>
          <w:type w:val="continuous"/>
          <w:pgSz w:w="11906" w:h="16838" w:code="9"/>
          <w:pgMar w:top="2098" w:right="1418" w:bottom="1418" w:left="1418" w:header="426" w:footer="450" w:gutter="0"/>
          <w:cols w:space="708"/>
          <w:titlePg/>
          <w:docGrid w:linePitch="360"/>
        </w:sectPr>
      </w:pPr>
    </w:p>
    <w:p w:rsidR="0063747B" w:rsidRPr="006C2152" w:rsidRDefault="0063747B" w:rsidP="0063747B">
      <w:pPr>
        <w:autoSpaceDE w:val="0"/>
        <w:autoSpaceDN w:val="0"/>
        <w:adjustRightInd w:val="0"/>
        <w:rPr>
          <w:rFonts w:cs="Arial"/>
          <w:b/>
          <w:bCs/>
          <w:sz w:val="36"/>
          <w:szCs w:val="32"/>
        </w:rPr>
      </w:pPr>
      <w:r w:rsidRPr="006C2152">
        <w:rPr>
          <w:rFonts w:cs="Arial"/>
          <w:b/>
          <w:bCs/>
          <w:sz w:val="36"/>
          <w:szCs w:val="32"/>
        </w:rPr>
        <w:lastRenderedPageBreak/>
        <w:t>Contents</w:t>
      </w:r>
    </w:p>
    <w:p w:rsidR="0063747B" w:rsidRPr="006C2152" w:rsidRDefault="0063747B" w:rsidP="0063747B">
      <w:pPr>
        <w:autoSpaceDE w:val="0"/>
        <w:autoSpaceDN w:val="0"/>
        <w:adjustRightInd w:val="0"/>
        <w:rPr>
          <w:rFonts w:cs="Arial"/>
          <w:b/>
          <w:bCs/>
          <w:szCs w:val="20"/>
        </w:rPr>
      </w:pPr>
      <w:r w:rsidRPr="006C2152">
        <w:rPr>
          <w:rFonts w:cs="Arial"/>
          <w:b/>
          <w:bCs/>
          <w:szCs w:val="20"/>
        </w:rPr>
        <w:t>Message from the Director-General</w:t>
      </w:r>
    </w:p>
    <w:p w:rsidR="0063747B" w:rsidRPr="006C2152" w:rsidRDefault="0063747B" w:rsidP="0063747B">
      <w:pPr>
        <w:autoSpaceDE w:val="0"/>
        <w:autoSpaceDN w:val="0"/>
        <w:adjustRightInd w:val="0"/>
        <w:rPr>
          <w:rFonts w:cs="Arial"/>
          <w:b/>
          <w:bCs/>
          <w:szCs w:val="20"/>
        </w:rPr>
      </w:pPr>
      <w:r w:rsidRPr="006C2152">
        <w:rPr>
          <w:rFonts w:cs="Arial"/>
          <w:b/>
          <w:bCs/>
          <w:szCs w:val="20"/>
        </w:rPr>
        <w:t>Executive summary</w:t>
      </w:r>
    </w:p>
    <w:p w:rsidR="0063747B" w:rsidRPr="006C2152" w:rsidRDefault="0063747B" w:rsidP="0063747B">
      <w:pPr>
        <w:autoSpaceDE w:val="0"/>
        <w:autoSpaceDN w:val="0"/>
        <w:adjustRightInd w:val="0"/>
        <w:rPr>
          <w:rFonts w:cs="Arial"/>
          <w:b/>
          <w:bCs/>
          <w:szCs w:val="20"/>
        </w:rPr>
      </w:pPr>
      <w:r w:rsidRPr="006C2152">
        <w:rPr>
          <w:rFonts w:cs="Arial"/>
          <w:b/>
          <w:bCs/>
          <w:szCs w:val="20"/>
        </w:rPr>
        <w:t xml:space="preserve">Chapter 1: </w:t>
      </w:r>
      <w:r>
        <w:rPr>
          <w:rFonts w:cs="Arial"/>
          <w:b/>
          <w:bCs/>
          <w:szCs w:val="20"/>
        </w:rPr>
        <w:t>The review System</w:t>
      </w:r>
    </w:p>
    <w:p w:rsidR="0063747B" w:rsidRPr="006C2152" w:rsidRDefault="0063747B" w:rsidP="0063747B">
      <w:pPr>
        <w:autoSpaceDE w:val="0"/>
        <w:autoSpaceDN w:val="0"/>
        <w:adjustRightInd w:val="0"/>
        <w:ind w:left="284"/>
        <w:rPr>
          <w:rFonts w:cs="Arial"/>
          <w:szCs w:val="20"/>
        </w:rPr>
      </w:pPr>
      <w:r w:rsidRPr="006C2152">
        <w:rPr>
          <w:rFonts w:cs="Arial"/>
          <w:szCs w:val="20"/>
        </w:rPr>
        <w:t>Background</w:t>
      </w:r>
    </w:p>
    <w:p w:rsidR="0063747B" w:rsidRPr="006C2152" w:rsidRDefault="0063747B" w:rsidP="0063747B">
      <w:pPr>
        <w:autoSpaceDE w:val="0"/>
        <w:autoSpaceDN w:val="0"/>
        <w:adjustRightInd w:val="0"/>
        <w:ind w:left="284"/>
        <w:rPr>
          <w:rFonts w:cs="Arial"/>
          <w:szCs w:val="20"/>
        </w:rPr>
      </w:pPr>
      <w:r w:rsidRPr="006C2152">
        <w:rPr>
          <w:rFonts w:cs="Arial"/>
          <w:szCs w:val="20"/>
        </w:rPr>
        <w:t>Review framework</w:t>
      </w:r>
    </w:p>
    <w:p w:rsidR="0063747B" w:rsidRPr="006C2152" w:rsidRDefault="0063747B" w:rsidP="0063747B">
      <w:pPr>
        <w:autoSpaceDE w:val="0"/>
        <w:autoSpaceDN w:val="0"/>
        <w:adjustRightInd w:val="0"/>
        <w:ind w:left="284"/>
        <w:rPr>
          <w:rFonts w:cs="Arial"/>
          <w:szCs w:val="20"/>
        </w:rPr>
      </w:pPr>
      <w:r w:rsidRPr="006C2152">
        <w:rPr>
          <w:rFonts w:cs="Arial"/>
          <w:szCs w:val="20"/>
        </w:rPr>
        <w:t>Tier 1: Internal Systems and Practice Reviews</w:t>
      </w:r>
    </w:p>
    <w:p w:rsidR="0063747B" w:rsidRPr="006C2152" w:rsidRDefault="0063747B" w:rsidP="0063747B">
      <w:pPr>
        <w:autoSpaceDE w:val="0"/>
        <w:autoSpaceDN w:val="0"/>
        <w:adjustRightInd w:val="0"/>
        <w:ind w:left="284"/>
        <w:rPr>
          <w:rFonts w:cs="Arial"/>
          <w:szCs w:val="20"/>
        </w:rPr>
      </w:pPr>
      <w:r w:rsidRPr="006C2152">
        <w:rPr>
          <w:rFonts w:cs="Arial"/>
          <w:szCs w:val="20"/>
        </w:rPr>
        <w:t>Tier 2: Child Death Case Review Panels</w:t>
      </w:r>
    </w:p>
    <w:p w:rsidR="0063747B" w:rsidRPr="006C2152" w:rsidRDefault="0063747B" w:rsidP="0063747B">
      <w:pPr>
        <w:autoSpaceDE w:val="0"/>
        <w:autoSpaceDN w:val="0"/>
        <w:adjustRightInd w:val="0"/>
        <w:rPr>
          <w:rFonts w:cs="Arial"/>
          <w:b/>
          <w:bCs/>
          <w:szCs w:val="20"/>
        </w:rPr>
      </w:pPr>
      <w:r w:rsidRPr="006C2152">
        <w:rPr>
          <w:rFonts w:cs="Arial"/>
          <w:b/>
          <w:bCs/>
          <w:szCs w:val="20"/>
        </w:rPr>
        <w:t>Chapter 2: profile of children and young people subject to reviews</w:t>
      </w:r>
    </w:p>
    <w:p w:rsidR="0063747B" w:rsidRPr="006C2152" w:rsidRDefault="0063747B" w:rsidP="0063747B">
      <w:pPr>
        <w:autoSpaceDE w:val="0"/>
        <w:autoSpaceDN w:val="0"/>
        <w:adjustRightInd w:val="0"/>
        <w:ind w:left="284"/>
        <w:rPr>
          <w:rFonts w:cs="Arial"/>
          <w:szCs w:val="20"/>
        </w:rPr>
      </w:pPr>
      <w:r w:rsidRPr="006C2152">
        <w:rPr>
          <w:rFonts w:cs="Arial"/>
          <w:szCs w:val="20"/>
        </w:rPr>
        <w:t>Snapshot</w:t>
      </w:r>
    </w:p>
    <w:p w:rsidR="0063747B" w:rsidRPr="006C2152" w:rsidRDefault="0063747B" w:rsidP="0063747B">
      <w:pPr>
        <w:autoSpaceDE w:val="0"/>
        <w:autoSpaceDN w:val="0"/>
        <w:adjustRightInd w:val="0"/>
        <w:ind w:left="284"/>
        <w:rPr>
          <w:rFonts w:cs="Arial"/>
          <w:szCs w:val="20"/>
        </w:rPr>
      </w:pPr>
      <w:r w:rsidRPr="006C2152">
        <w:rPr>
          <w:rFonts w:cs="Arial"/>
          <w:szCs w:val="20"/>
        </w:rPr>
        <w:t>Characteristics of cases</w:t>
      </w:r>
    </w:p>
    <w:p w:rsidR="0063747B" w:rsidRPr="006C2152" w:rsidRDefault="0063747B" w:rsidP="0063747B">
      <w:pPr>
        <w:autoSpaceDE w:val="0"/>
        <w:autoSpaceDN w:val="0"/>
        <w:adjustRightInd w:val="0"/>
        <w:rPr>
          <w:rFonts w:cs="Arial"/>
          <w:b/>
          <w:bCs/>
          <w:szCs w:val="20"/>
        </w:rPr>
      </w:pPr>
      <w:r w:rsidRPr="006C2152">
        <w:rPr>
          <w:rFonts w:cs="Arial"/>
          <w:b/>
          <w:bCs/>
          <w:szCs w:val="20"/>
        </w:rPr>
        <w:t>Chapter 3: panel operations</w:t>
      </w:r>
      <w:r w:rsidR="009B2570">
        <w:rPr>
          <w:rFonts w:cs="Arial"/>
          <w:b/>
          <w:bCs/>
          <w:szCs w:val="20"/>
        </w:rPr>
        <w:t xml:space="preserve"> in 2017-18</w:t>
      </w:r>
    </w:p>
    <w:p w:rsidR="0063747B" w:rsidRPr="006C2152" w:rsidRDefault="0063747B" w:rsidP="0063747B">
      <w:pPr>
        <w:autoSpaceDE w:val="0"/>
        <w:autoSpaceDN w:val="0"/>
        <w:adjustRightInd w:val="0"/>
        <w:ind w:left="284"/>
        <w:rPr>
          <w:rFonts w:cs="Arial"/>
          <w:szCs w:val="20"/>
        </w:rPr>
      </w:pPr>
      <w:r w:rsidRPr="006C2152">
        <w:rPr>
          <w:rFonts w:cs="Arial"/>
          <w:szCs w:val="20"/>
        </w:rPr>
        <w:t>Panel composition</w:t>
      </w:r>
    </w:p>
    <w:p w:rsidR="0063747B" w:rsidRDefault="0063747B" w:rsidP="0063747B">
      <w:pPr>
        <w:autoSpaceDE w:val="0"/>
        <w:autoSpaceDN w:val="0"/>
        <w:adjustRightInd w:val="0"/>
        <w:ind w:left="284"/>
        <w:rPr>
          <w:rFonts w:cs="Arial"/>
          <w:szCs w:val="20"/>
        </w:rPr>
      </w:pPr>
      <w:r w:rsidRPr="006C2152">
        <w:rPr>
          <w:rFonts w:cs="Arial"/>
          <w:szCs w:val="20"/>
        </w:rPr>
        <w:t xml:space="preserve">Panel </w:t>
      </w:r>
      <w:r>
        <w:rPr>
          <w:rFonts w:cs="Arial"/>
          <w:szCs w:val="20"/>
        </w:rPr>
        <w:t>themes</w:t>
      </w:r>
    </w:p>
    <w:p w:rsidR="0063747B" w:rsidRDefault="0063747B" w:rsidP="0063747B">
      <w:pPr>
        <w:autoSpaceDE w:val="0"/>
        <w:autoSpaceDN w:val="0"/>
        <w:adjustRightInd w:val="0"/>
        <w:ind w:left="284"/>
        <w:rPr>
          <w:rFonts w:cs="Arial"/>
          <w:szCs w:val="20"/>
        </w:rPr>
      </w:pPr>
      <w:r>
        <w:rPr>
          <w:rFonts w:cs="Arial"/>
          <w:szCs w:val="20"/>
        </w:rPr>
        <w:t>Panel outcomes</w:t>
      </w:r>
    </w:p>
    <w:p w:rsidR="0063747B" w:rsidRDefault="0063747B" w:rsidP="0063747B">
      <w:pPr>
        <w:autoSpaceDE w:val="0"/>
        <w:autoSpaceDN w:val="0"/>
        <w:adjustRightInd w:val="0"/>
        <w:ind w:left="284"/>
        <w:rPr>
          <w:rFonts w:cs="Arial"/>
          <w:szCs w:val="20"/>
        </w:rPr>
      </w:pPr>
      <w:r>
        <w:rPr>
          <w:rFonts w:cs="Arial"/>
          <w:szCs w:val="20"/>
        </w:rPr>
        <w:t xml:space="preserve">Panel conclusions and recommendations </w:t>
      </w:r>
    </w:p>
    <w:p w:rsidR="0063747B" w:rsidRPr="006C2152" w:rsidRDefault="0063747B" w:rsidP="0063747B">
      <w:pPr>
        <w:autoSpaceDE w:val="0"/>
        <w:autoSpaceDN w:val="0"/>
        <w:adjustRightInd w:val="0"/>
        <w:ind w:left="284"/>
        <w:rPr>
          <w:rFonts w:cs="Arial"/>
          <w:szCs w:val="20"/>
        </w:rPr>
      </w:pPr>
      <w:r>
        <w:rPr>
          <w:rFonts w:cs="Arial"/>
          <w:szCs w:val="20"/>
        </w:rPr>
        <w:t>Future of Panels</w:t>
      </w:r>
    </w:p>
    <w:p w:rsidR="0063747B" w:rsidRPr="006C2152" w:rsidRDefault="0063747B" w:rsidP="0063747B">
      <w:pPr>
        <w:autoSpaceDE w:val="0"/>
        <w:autoSpaceDN w:val="0"/>
        <w:adjustRightInd w:val="0"/>
        <w:rPr>
          <w:rFonts w:cs="Arial"/>
          <w:b/>
          <w:bCs/>
          <w:szCs w:val="20"/>
        </w:rPr>
      </w:pPr>
      <w:r w:rsidRPr="006C2152">
        <w:rPr>
          <w:rFonts w:cs="Arial"/>
          <w:b/>
          <w:bCs/>
          <w:szCs w:val="20"/>
        </w:rPr>
        <w:t xml:space="preserve">Chapter 4: </w:t>
      </w:r>
      <w:r>
        <w:rPr>
          <w:rFonts w:cs="Arial"/>
          <w:b/>
          <w:bCs/>
          <w:szCs w:val="20"/>
        </w:rPr>
        <w:t>Actions taken in 201</w:t>
      </w:r>
      <w:r w:rsidR="009B2570">
        <w:rPr>
          <w:rFonts w:cs="Arial"/>
          <w:b/>
          <w:bCs/>
          <w:szCs w:val="20"/>
        </w:rPr>
        <w:t>7-18</w:t>
      </w:r>
    </w:p>
    <w:p w:rsidR="009B2570" w:rsidRPr="003B2D9C" w:rsidRDefault="009B2570" w:rsidP="009B2570">
      <w:pPr>
        <w:autoSpaceDE w:val="0"/>
        <w:autoSpaceDN w:val="0"/>
        <w:adjustRightInd w:val="0"/>
        <w:ind w:left="284"/>
        <w:rPr>
          <w:rFonts w:eastAsiaTheme="minorHAnsi" w:cs="Arial"/>
          <w:szCs w:val="20"/>
        </w:rPr>
      </w:pPr>
      <w:hyperlink w:anchor="_Toc524517388" w:history="1">
        <w:r w:rsidRPr="003B2D9C">
          <w:rPr>
            <w:rFonts w:cs="Arial"/>
            <w:szCs w:val="20"/>
          </w:rPr>
          <w:t>Engagement with health providers</w:t>
        </w:r>
      </w:hyperlink>
    </w:p>
    <w:p w:rsidR="009B2570" w:rsidRPr="003B2D9C" w:rsidRDefault="009B2570" w:rsidP="009B2570">
      <w:pPr>
        <w:autoSpaceDE w:val="0"/>
        <w:autoSpaceDN w:val="0"/>
        <w:adjustRightInd w:val="0"/>
        <w:ind w:left="284"/>
        <w:rPr>
          <w:rFonts w:eastAsiaTheme="minorHAnsi" w:cs="Arial"/>
          <w:szCs w:val="20"/>
        </w:rPr>
      </w:pPr>
      <w:hyperlink w:anchor="_Toc524517389" w:history="1">
        <w:r w:rsidRPr="003B2D9C">
          <w:rPr>
            <w:rFonts w:cs="Arial"/>
            <w:szCs w:val="20"/>
          </w:rPr>
          <w:t>National Disability Insurance Scheme</w:t>
        </w:r>
      </w:hyperlink>
    </w:p>
    <w:p w:rsidR="009B2570" w:rsidRPr="003B2D9C" w:rsidRDefault="009B2570" w:rsidP="009B2570">
      <w:pPr>
        <w:autoSpaceDE w:val="0"/>
        <w:autoSpaceDN w:val="0"/>
        <w:adjustRightInd w:val="0"/>
        <w:ind w:left="284"/>
        <w:rPr>
          <w:rFonts w:eastAsiaTheme="minorHAnsi" w:cs="Arial"/>
          <w:szCs w:val="20"/>
        </w:rPr>
      </w:pPr>
      <w:hyperlink w:anchor="_Toc524517390" w:history="1">
        <w:r w:rsidRPr="003B2D9C">
          <w:rPr>
            <w:rFonts w:cs="Arial"/>
            <w:szCs w:val="20"/>
          </w:rPr>
          <w:t>Palliative care and end-of-life decision making</w:t>
        </w:r>
      </w:hyperlink>
    </w:p>
    <w:p w:rsidR="009B2570" w:rsidRPr="003B2D9C" w:rsidRDefault="009B2570" w:rsidP="009B2570">
      <w:pPr>
        <w:autoSpaceDE w:val="0"/>
        <w:autoSpaceDN w:val="0"/>
        <w:adjustRightInd w:val="0"/>
        <w:ind w:left="284"/>
        <w:rPr>
          <w:rFonts w:eastAsiaTheme="minorHAnsi" w:cs="Arial"/>
          <w:szCs w:val="20"/>
        </w:rPr>
      </w:pPr>
      <w:hyperlink w:anchor="_Toc524517391" w:history="1">
        <w:r w:rsidRPr="003B2D9C">
          <w:rPr>
            <w:rFonts w:cs="Arial"/>
            <w:szCs w:val="20"/>
          </w:rPr>
          <w:t>Accident and injury prevention</w:t>
        </w:r>
      </w:hyperlink>
    </w:p>
    <w:p w:rsidR="009B2570" w:rsidRPr="003B2D9C" w:rsidRDefault="009B2570" w:rsidP="009B2570">
      <w:pPr>
        <w:autoSpaceDE w:val="0"/>
        <w:autoSpaceDN w:val="0"/>
        <w:adjustRightInd w:val="0"/>
        <w:ind w:left="284"/>
        <w:rPr>
          <w:rFonts w:eastAsiaTheme="minorHAnsi" w:cs="Arial"/>
          <w:szCs w:val="20"/>
        </w:rPr>
      </w:pPr>
      <w:hyperlink w:anchor="_Toc524517392" w:history="1">
        <w:r w:rsidRPr="003B2D9C">
          <w:rPr>
            <w:rFonts w:cs="Arial"/>
            <w:szCs w:val="20"/>
          </w:rPr>
          <w:t>Early childhood development</w:t>
        </w:r>
      </w:hyperlink>
    </w:p>
    <w:p w:rsidR="009B2570" w:rsidRPr="003B2D9C" w:rsidRDefault="009B2570" w:rsidP="009B2570">
      <w:pPr>
        <w:autoSpaceDE w:val="0"/>
        <w:autoSpaceDN w:val="0"/>
        <w:adjustRightInd w:val="0"/>
        <w:ind w:left="284"/>
        <w:rPr>
          <w:rFonts w:eastAsiaTheme="minorHAnsi" w:cs="Arial"/>
          <w:szCs w:val="20"/>
        </w:rPr>
      </w:pPr>
      <w:hyperlink w:anchor="_Toc524517393" w:history="1">
        <w:r w:rsidRPr="003B2D9C">
          <w:rPr>
            <w:rFonts w:cs="Arial"/>
            <w:szCs w:val="20"/>
          </w:rPr>
          <w:t>High Risk Adolescents</w:t>
        </w:r>
      </w:hyperlink>
    </w:p>
    <w:p w:rsidR="009B2570" w:rsidRPr="003B2D9C" w:rsidRDefault="009B2570" w:rsidP="009B2570">
      <w:pPr>
        <w:autoSpaceDE w:val="0"/>
        <w:autoSpaceDN w:val="0"/>
        <w:adjustRightInd w:val="0"/>
        <w:ind w:left="284"/>
        <w:rPr>
          <w:rFonts w:eastAsiaTheme="minorHAnsi" w:cs="Arial"/>
          <w:szCs w:val="20"/>
        </w:rPr>
      </w:pPr>
      <w:hyperlink w:anchor="_Toc524517394" w:history="1">
        <w:r w:rsidRPr="003B2D9C">
          <w:rPr>
            <w:rFonts w:cs="Arial"/>
            <w:szCs w:val="20"/>
          </w:rPr>
          <w:t>Growing cultural capability and improving Aboriginal and Torres Strait Islander services</w:t>
        </w:r>
      </w:hyperlink>
    </w:p>
    <w:p w:rsidR="009B2570" w:rsidRPr="003B2D9C" w:rsidRDefault="009B2570" w:rsidP="009B2570">
      <w:pPr>
        <w:autoSpaceDE w:val="0"/>
        <w:autoSpaceDN w:val="0"/>
        <w:adjustRightInd w:val="0"/>
        <w:ind w:left="284"/>
        <w:rPr>
          <w:rFonts w:eastAsiaTheme="minorHAnsi" w:cs="Arial"/>
          <w:szCs w:val="20"/>
        </w:rPr>
      </w:pPr>
      <w:hyperlink w:anchor="_Toc524517395" w:history="1">
        <w:r w:rsidRPr="003B2D9C">
          <w:rPr>
            <w:rFonts w:cs="Arial"/>
            <w:szCs w:val="20"/>
          </w:rPr>
          <w:t>Delays in commencement of Investigation and Assessments</w:t>
        </w:r>
      </w:hyperlink>
    </w:p>
    <w:p w:rsidR="009B2570" w:rsidRPr="003B2D9C" w:rsidRDefault="009B2570" w:rsidP="009B2570">
      <w:pPr>
        <w:autoSpaceDE w:val="0"/>
        <w:autoSpaceDN w:val="0"/>
        <w:adjustRightInd w:val="0"/>
        <w:ind w:left="284"/>
        <w:rPr>
          <w:rFonts w:eastAsiaTheme="minorHAnsi" w:cs="Arial"/>
          <w:szCs w:val="20"/>
        </w:rPr>
      </w:pPr>
      <w:hyperlink w:anchor="_Toc524517396" w:history="1">
        <w:r w:rsidRPr="003B2D9C">
          <w:rPr>
            <w:rFonts w:cs="Arial"/>
            <w:szCs w:val="20"/>
          </w:rPr>
          <w:t>Workload demands and staff fatigue</w:t>
        </w:r>
      </w:hyperlink>
    </w:p>
    <w:p w:rsidR="0063747B" w:rsidRPr="006C2152" w:rsidRDefault="0063747B" w:rsidP="0063747B">
      <w:pPr>
        <w:autoSpaceDE w:val="0"/>
        <w:autoSpaceDN w:val="0"/>
        <w:adjustRightInd w:val="0"/>
        <w:rPr>
          <w:rFonts w:cs="Arial"/>
          <w:b/>
          <w:bCs/>
          <w:szCs w:val="20"/>
        </w:rPr>
      </w:pPr>
      <w:r w:rsidRPr="006C2152">
        <w:rPr>
          <w:rFonts w:cs="Arial"/>
          <w:b/>
          <w:bCs/>
          <w:szCs w:val="20"/>
        </w:rPr>
        <w:t xml:space="preserve">Appendix A: Panel </w:t>
      </w:r>
      <w:r w:rsidR="009B2570">
        <w:rPr>
          <w:rFonts w:cs="Arial"/>
          <w:b/>
          <w:bCs/>
          <w:szCs w:val="20"/>
        </w:rPr>
        <w:t xml:space="preserve">compositions </w:t>
      </w:r>
    </w:p>
    <w:p w:rsidR="0063747B" w:rsidRDefault="0063747B" w:rsidP="0063747B">
      <w:pPr>
        <w:autoSpaceDE w:val="0"/>
        <w:autoSpaceDN w:val="0"/>
        <w:adjustRightInd w:val="0"/>
        <w:rPr>
          <w:rFonts w:cs="Arial"/>
          <w:b/>
          <w:bCs/>
          <w:szCs w:val="20"/>
        </w:rPr>
      </w:pPr>
      <w:r w:rsidRPr="006C2152">
        <w:rPr>
          <w:rFonts w:cs="Arial"/>
          <w:b/>
          <w:bCs/>
          <w:szCs w:val="20"/>
        </w:rPr>
        <w:t xml:space="preserve">Appendix B: </w:t>
      </w:r>
      <w:r w:rsidR="009B2570">
        <w:rPr>
          <w:rFonts w:cs="Arial"/>
          <w:b/>
          <w:bCs/>
          <w:szCs w:val="20"/>
        </w:rPr>
        <w:t>External members</w:t>
      </w:r>
    </w:p>
    <w:p w:rsidR="009B2570" w:rsidRPr="006C2152" w:rsidRDefault="009B2570" w:rsidP="0063747B">
      <w:pPr>
        <w:autoSpaceDE w:val="0"/>
        <w:autoSpaceDN w:val="0"/>
        <w:adjustRightInd w:val="0"/>
        <w:rPr>
          <w:rFonts w:cs="Arial"/>
          <w:b/>
          <w:bCs/>
          <w:szCs w:val="20"/>
        </w:rPr>
      </w:pPr>
      <w:r>
        <w:rPr>
          <w:rFonts w:cs="Arial"/>
          <w:b/>
          <w:bCs/>
          <w:szCs w:val="20"/>
        </w:rPr>
        <w:t>Appendix C: Public service members</w:t>
      </w:r>
    </w:p>
    <w:p w:rsidR="00A52CAB" w:rsidRDefault="00560AD2" w:rsidP="00DD5024">
      <w:pPr>
        <w:spacing w:after="0"/>
        <w:jc w:val="both"/>
        <w:rPr>
          <w:b/>
          <w:sz w:val="24"/>
        </w:rPr>
      </w:pPr>
      <w:r w:rsidRPr="0073301E">
        <w:br w:type="page"/>
      </w:r>
    </w:p>
    <w:p w:rsidR="008728D2" w:rsidRPr="004E2A22" w:rsidRDefault="008728D2" w:rsidP="00DD5024">
      <w:pPr>
        <w:pStyle w:val="Heading1"/>
        <w:jc w:val="both"/>
      </w:pPr>
      <w:bookmarkStart w:id="1" w:name="_Toc428365712"/>
      <w:bookmarkStart w:id="2" w:name="_Toc428865689"/>
      <w:bookmarkStart w:id="3" w:name="_Toc428951873"/>
      <w:bookmarkStart w:id="4" w:name="_Toc429736701"/>
      <w:bookmarkStart w:id="5" w:name="_Toc429994547"/>
      <w:bookmarkStart w:id="6" w:name="_Toc429994623"/>
      <w:bookmarkStart w:id="7" w:name="_Toc430671838"/>
      <w:bookmarkStart w:id="8" w:name="_Toc408225317"/>
      <w:bookmarkStart w:id="9" w:name="_Toc424043164"/>
      <w:bookmarkStart w:id="10" w:name="_Toc424043251"/>
      <w:bookmarkStart w:id="11" w:name="_Toc524517364"/>
      <w:r w:rsidRPr="004E2A22">
        <w:lastRenderedPageBreak/>
        <w:t>Message from the Director</w:t>
      </w:r>
      <w:bookmarkEnd w:id="8"/>
      <w:r w:rsidRPr="004E2A22">
        <w:t>-General</w:t>
      </w:r>
      <w:bookmarkEnd w:id="9"/>
      <w:bookmarkEnd w:id="10"/>
      <w:bookmarkEnd w:id="11"/>
    </w:p>
    <w:p w:rsidR="007D6F76" w:rsidRDefault="00966211" w:rsidP="00DD5024">
      <w:pPr>
        <w:jc w:val="both"/>
        <w:rPr>
          <w:rFonts w:cs="Arial"/>
        </w:rPr>
      </w:pPr>
      <w:r w:rsidRPr="00966211">
        <w:rPr>
          <w:rFonts w:cs="Arial"/>
        </w:rPr>
        <w:t xml:space="preserve">This report summarises the </w:t>
      </w:r>
      <w:r>
        <w:rPr>
          <w:rFonts w:cs="Arial"/>
        </w:rPr>
        <w:t xml:space="preserve">operations of </w:t>
      </w:r>
      <w:r w:rsidR="00A560D8">
        <w:rPr>
          <w:rFonts w:cs="Arial"/>
        </w:rPr>
        <w:t>Child Death Case Review Panels</w:t>
      </w:r>
      <w:r>
        <w:rPr>
          <w:rFonts w:cs="Arial"/>
        </w:rPr>
        <w:t xml:space="preserve"> and the actions taken</w:t>
      </w:r>
      <w:r w:rsidR="00A560D8">
        <w:rPr>
          <w:rFonts w:cs="Arial"/>
        </w:rPr>
        <w:t xml:space="preserve"> by my </w:t>
      </w:r>
      <w:r w:rsidR="00DF11FA">
        <w:rPr>
          <w:rFonts w:cs="Arial"/>
        </w:rPr>
        <w:t>d</w:t>
      </w:r>
      <w:r w:rsidR="00A560D8">
        <w:rPr>
          <w:rFonts w:cs="Arial"/>
        </w:rPr>
        <w:t>epartment</w:t>
      </w:r>
      <w:r>
        <w:rPr>
          <w:rFonts w:cs="Arial"/>
        </w:rPr>
        <w:t xml:space="preserve"> in response to panel reports</w:t>
      </w:r>
      <w:r w:rsidR="00B308FD">
        <w:rPr>
          <w:rFonts w:cs="Arial"/>
        </w:rPr>
        <w:t xml:space="preserve"> in 201</w:t>
      </w:r>
      <w:r w:rsidR="00794BF0">
        <w:rPr>
          <w:rFonts w:cs="Arial"/>
        </w:rPr>
        <w:t>7–18</w:t>
      </w:r>
      <w:r w:rsidR="00B308FD">
        <w:rPr>
          <w:rFonts w:cs="Arial"/>
        </w:rPr>
        <w:t>.</w:t>
      </w:r>
    </w:p>
    <w:p w:rsidR="008F42FE" w:rsidRPr="004903D9" w:rsidRDefault="008D44F3" w:rsidP="00DD5024">
      <w:pPr>
        <w:jc w:val="both"/>
        <w:rPr>
          <w:rFonts w:cs="Arial"/>
        </w:rPr>
      </w:pPr>
      <w:r>
        <w:rPr>
          <w:rFonts w:cs="Arial"/>
        </w:rPr>
        <w:t xml:space="preserve">When a child </w:t>
      </w:r>
      <w:r w:rsidR="00A560D8">
        <w:rPr>
          <w:rFonts w:cs="Arial"/>
        </w:rPr>
        <w:t xml:space="preserve">or young person </w:t>
      </w:r>
      <w:r>
        <w:rPr>
          <w:rFonts w:cs="Arial"/>
        </w:rPr>
        <w:t xml:space="preserve">dies or </w:t>
      </w:r>
      <w:r w:rsidR="000534D4">
        <w:rPr>
          <w:rFonts w:cs="Arial"/>
        </w:rPr>
        <w:t>is seriously injured t</w:t>
      </w:r>
      <w:r>
        <w:rPr>
          <w:rFonts w:cs="Arial"/>
        </w:rPr>
        <w:t>he impact is profound, not only upon the child’s family members</w:t>
      </w:r>
      <w:r w:rsidR="00A560D8">
        <w:rPr>
          <w:rFonts w:cs="Arial"/>
        </w:rPr>
        <w:t>,</w:t>
      </w:r>
      <w:r w:rsidR="007D6F76">
        <w:rPr>
          <w:rFonts w:cs="Arial"/>
        </w:rPr>
        <w:t xml:space="preserve"> </w:t>
      </w:r>
      <w:r w:rsidR="00A560D8">
        <w:rPr>
          <w:rFonts w:cs="Arial"/>
        </w:rPr>
        <w:t>carers</w:t>
      </w:r>
      <w:r w:rsidR="00DF11FA">
        <w:rPr>
          <w:rFonts w:cs="Arial"/>
        </w:rPr>
        <w:t xml:space="preserve"> and staff</w:t>
      </w:r>
      <w:r>
        <w:rPr>
          <w:rFonts w:cs="Arial"/>
        </w:rPr>
        <w:t xml:space="preserve"> but also the broader community. When that child is known to the child protection system it is</w:t>
      </w:r>
      <w:r w:rsidR="00A560D8">
        <w:rPr>
          <w:rFonts w:cs="Arial"/>
        </w:rPr>
        <w:t xml:space="preserve"> </w:t>
      </w:r>
      <w:r w:rsidR="007D6F76">
        <w:rPr>
          <w:rFonts w:cs="Arial"/>
        </w:rPr>
        <w:t xml:space="preserve">an </w:t>
      </w:r>
      <w:r w:rsidR="00A560D8">
        <w:rPr>
          <w:rFonts w:cs="Arial"/>
        </w:rPr>
        <w:t xml:space="preserve">important </w:t>
      </w:r>
      <w:r w:rsidR="007D6F76">
        <w:rPr>
          <w:rFonts w:cs="Arial"/>
        </w:rPr>
        <w:t xml:space="preserve">part of our accountability </w:t>
      </w:r>
      <w:r w:rsidR="00A560D8">
        <w:rPr>
          <w:rFonts w:cs="Arial"/>
        </w:rPr>
        <w:t>tha</w:t>
      </w:r>
      <w:r w:rsidR="007D6F76">
        <w:rPr>
          <w:rFonts w:cs="Arial"/>
        </w:rPr>
        <w:t>t there is a thorough review of the</w:t>
      </w:r>
      <w:r w:rsidR="00A560D8">
        <w:rPr>
          <w:rFonts w:cs="Arial"/>
        </w:rPr>
        <w:t xml:space="preserve"> work with the child, young person, their family and carers.  </w:t>
      </w:r>
      <w:r w:rsidR="007D6F76">
        <w:rPr>
          <w:rFonts w:cs="Arial"/>
        </w:rPr>
        <w:t xml:space="preserve">These reviews ensure that we identify what worked well and what are the areas of learning </w:t>
      </w:r>
      <w:r w:rsidR="00DF11FA">
        <w:rPr>
          <w:rFonts w:cs="Arial"/>
        </w:rPr>
        <w:t>that</w:t>
      </w:r>
      <w:r w:rsidR="007D6F76">
        <w:rPr>
          <w:rFonts w:cs="Arial"/>
        </w:rPr>
        <w:t xml:space="preserve"> need </w:t>
      </w:r>
      <w:r w:rsidR="007D6F76" w:rsidRPr="004903D9">
        <w:rPr>
          <w:rFonts w:cs="Arial"/>
        </w:rPr>
        <w:t xml:space="preserve">further attention. </w:t>
      </w:r>
    </w:p>
    <w:p w:rsidR="00F75144" w:rsidRPr="00F75144" w:rsidRDefault="000652C8" w:rsidP="00DD5024">
      <w:pPr>
        <w:jc w:val="both"/>
        <w:rPr>
          <w:rFonts w:cs="Arial"/>
        </w:rPr>
      </w:pPr>
      <w:r w:rsidRPr="004903D9">
        <w:rPr>
          <w:rFonts w:cs="Arial"/>
        </w:rPr>
        <w:t xml:space="preserve">Over 84,000 Queensland children and young people are currently ‘known to child protection’.  Just over 12,000 are subject to ongoing intervention and of these, about 9,600 children and young people are in care. </w:t>
      </w:r>
      <w:r w:rsidR="00F75144" w:rsidRPr="004903D9">
        <w:rPr>
          <w:rFonts w:cs="Arial"/>
        </w:rPr>
        <w:t>When a child known to the child protection system dies or suffers serious injury</w:t>
      </w:r>
      <w:r w:rsidR="007D6F76" w:rsidRPr="004903D9">
        <w:rPr>
          <w:rFonts w:cs="Arial"/>
        </w:rPr>
        <w:t xml:space="preserve"> in the previous</w:t>
      </w:r>
      <w:r w:rsidR="007D6F76">
        <w:rPr>
          <w:rFonts w:cs="Arial"/>
        </w:rPr>
        <w:t xml:space="preserve"> twelve months</w:t>
      </w:r>
      <w:r w:rsidR="00F75144" w:rsidRPr="00F75144">
        <w:rPr>
          <w:rFonts w:cs="Arial"/>
        </w:rPr>
        <w:t xml:space="preserve">, a two-tier review process is undertaken: first an internal Systems and Practice Review undertaken by </w:t>
      </w:r>
      <w:r w:rsidR="00A11559">
        <w:rPr>
          <w:rFonts w:cs="Arial"/>
        </w:rPr>
        <w:t>my</w:t>
      </w:r>
      <w:r w:rsidR="00F75144" w:rsidRPr="00F75144">
        <w:rPr>
          <w:rFonts w:cs="Arial"/>
        </w:rPr>
        <w:t xml:space="preserve"> department</w:t>
      </w:r>
      <w:r w:rsidR="00A11559">
        <w:rPr>
          <w:rFonts w:cs="Arial"/>
        </w:rPr>
        <w:t xml:space="preserve"> (and the Director of Child Protection Litigation in the Department of Justice and Attorney-General where required)</w:t>
      </w:r>
      <w:r w:rsidR="00F75144" w:rsidRPr="00F75144">
        <w:rPr>
          <w:rFonts w:cs="Arial"/>
        </w:rPr>
        <w:t>; and second, an external review of the department’s review by the independent Child Death Case Review Panel. This two-tiered approach ensures a robust and independent examination of our systems and practice.</w:t>
      </w:r>
      <w:r w:rsidR="007D6F76">
        <w:rPr>
          <w:rFonts w:cs="Arial"/>
        </w:rPr>
        <w:t xml:space="preserve"> In addition the department is accountable through coronial processes, </w:t>
      </w:r>
      <w:r w:rsidR="00DF11FA">
        <w:rPr>
          <w:rFonts w:cs="Arial"/>
        </w:rPr>
        <w:t xml:space="preserve">and </w:t>
      </w:r>
      <w:r w:rsidR="007D6F76">
        <w:rPr>
          <w:rFonts w:cs="Arial"/>
        </w:rPr>
        <w:t>where relevant misconduct investigations</w:t>
      </w:r>
      <w:r w:rsidR="00DF11FA">
        <w:rPr>
          <w:rFonts w:cs="Arial"/>
        </w:rPr>
        <w:t>,</w:t>
      </w:r>
      <w:r w:rsidR="007D6F76">
        <w:rPr>
          <w:rFonts w:cs="Arial"/>
        </w:rPr>
        <w:t xml:space="preserve"> and assists police in criminal investigations.</w:t>
      </w:r>
    </w:p>
    <w:p w:rsidR="00F75144" w:rsidRPr="00ED72F4" w:rsidRDefault="00F75144" w:rsidP="00DD5024">
      <w:pPr>
        <w:jc w:val="both"/>
        <w:rPr>
          <w:rFonts w:cs="Arial"/>
        </w:rPr>
      </w:pPr>
      <w:r w:rsidRPr="00F75144">
        <w:rPr>
          <w:rFonts w:cs="Arial"/>
        </w:rPr>
        <w:t>In 2017-18, the Child Death Case Review Panels considered 56 departmental Systems and Practice Review reports</w:t>
      </w:r>
      <w:r w:rsidR="00C30566">
        <w:rPr>
          <w:rFonts w:cs="Arial"/>
        </w:rPr>
        <w:t xml:space="preserve"> and two reports prepared by the Director of Child Protection </w:t>
      </w:r>
      <w:r w:rsidR="00C30566" w:rsidRPr="00ED72F4">
        <w:rPr>
          <w:rFonts w:cs="Arial"/>
        </w:rPr>
        <w:t>Litigation</w:t>
      </w:r>
      <w:r w:rsidR="000652C8">
        <w:rPr>
          <w:rFonts w:cs="Arial"/>
        </w:rPr>
        <w:t>. These dealt with 47 deaths and 9 serious injuries</w:t>
      </w:r>
      <w:r w:rsidRPr="00ED72F4">
        <w:rPr>
          <w:rFonts w:cs="Arial"/>
        </w:rPr>
        <w:t>. Child Death Case Review Panels made</w:t>
      </w:r>
      <w:r w:rsidR="00C033CA" w:rsidRPr="00ED72F4">
        <w:rPr>
          <w:rFonts w:cs="Arial"/>
        </w:rPr>
        <w:t xml:space="preserve"> a range of </w:t>
      </w:r>
      <w:r w:rsidR="00867C9D" w:rsidRPr="00ED72F4">
        <w:rPr>
          <w:rFonts w:cs="Arial"/>
        </w:rPr>
        <w:t xml:space="preserve">findings, conclusions and recommendations </w:t>
      </w:r>
      <w:r w:rsidRPr="00ED72F4">
        <w:rPr>
          <w:rFonts w:cs="Arial"/>
        </w:rPr>
        <w:t>to the department</w:t>
      </w:r>
      <w:r w:rsidR="00867C9D" w:rsidRPr="00ED72F4">
        <w:rPr>
          <w:rFonts w:cs="Arial"/>
        </w:rPr>
        <w:t xml:space="preserve"> as a result of their review</w:t>
      </w:r>
      <w:r w:rsidR="00ED72F4">
        <w:rPr>
          <w:rFonts w:cs="Arial"/>
        </w:rPr>
        <w:t xml:space="preserve"> and considerations</w:t>
      </w:r>
      <w:r w:rsidRPr="00ED72F4">
        <w:rPr>
          <w:rFonts w:cs="Arial"/>
        </w:rPr>
        <w:t xml:space="preserve">. This report details </w:t>
      </w:r>
      <w:r w:rsidR="00A11559">
        <w:rPr>
          <w:rFonts w:cs="Arial"/>
        </w:rPr>
        <w:t>key</w:t>
      </w:r>
      <w:r w:rsidR="008F42FE">
        <w:rPr>
          <w:rFonts w:cs="Arial"/>
        </w:rPr>
        <w:t xml:space="preserve"> panel</w:t>
      </w:r>
      <w:r w:rsidR="00A11559">
        <w:rPr>
          <w:rFonts w:cs="Arial"/>
        </w:rPr>
        <w:t xml:space="preserve"> findings and insights that have arisen as a result </w:t>
      </w:r>
      <w:r w:rsidRPr="00ED72F4">
        <w:rPr>
          <w:rFonts w:cs="Arial"/>
        </w:rPr>
        <w:t>of the</w:t>
      </w:r>
      <w:r w:rsidR="008F42FE">
        <w:rPr>
          <w:rFonts w:cs="Arial"/>
        </w:rPr>
        <w:t>ir</w:t>
      </w:r>
      <w:r w:rsidRPr="00ED72F4">
        <w:rPr>
          <w:rFonts w:cs="Arial"/>
        </w:rPr>
        <w:t xml:space="preserve"> review process.</w:t>
      </w:r>
    </w:p>
    <w:p w:rsidR="00F75144" w:rsidRPr="00F75144" w:rsidRDefault="00F75144" w:rsidP="00DD5024">
      <w:pPr>
        <w:jc w:val="both"/>
        <w:rPr>
          <w:rFonts w:cs="Arial"/>
        </w:rPr>
      </w:pPr>
      <w:r w:rsidRPr="00F75144">
        <w:rPr>
          <w:rFonts w:cs="Arial"/>
        </w:rPr>
        <w:t xml:space="preserve">I </w:t>
      </w:r>
      <w:r w:rsidR="007D6F76">
        <w:rPr>
          <w:rFonts w:cs="Arial"/>
        </w:rPr>
        <w:t xml:space="preserve">would like to thank the panel members for their </w:t>
      </w:r>
      <w:r w:rsidR="00C30566">
        <w:rPr>
          <w:rFonts w:cs="Arial"/>
        </w:rPr>
        <w:t xml:space="preserve">significant </w:t>
      </w:r>
      <w:r w:rsidR="007D6F76">
        <w:rPr>
          <w:rFonts w:cs="Arial"/>
        </w:rPr>
        <w:t xml:space="preserve">investment of time and expertise in these cases and acknowledge the demanding and distressing nature of this role that they are undertaking. </w:t>
      </w:r>
      <w:r w:rsidRPr="00F75144">
        <w:rPr>
          <w:rFonts w:cs="Arial"/>
        </w:rPr>
        <w:t xml:space="preserve"> Members have expertise in the fields of paediatrics and child health, forensic pathology, mental health, investigations, child protection and child protection litigation. Members </w:t>
      </w:r>
      <w:r w:rsidR="007D6F76">
        <w:rPr>
          <w:rFonts w:cs="Arial"/>
        </w:rPr>
        <w:t xml:space="preserve">also </w:t>
      </w:r>
      <w:r w:rsidRPr="00F75144">
        <w:rPr>
          <w:rFonts w:cs="Arial"/>
        </w:rPr>
        <w:t>include senior officers from the department other public service agencies, such as Health, Education and Police</w:t>
      </w:r>
      <w:r w:rsidR="00DF11FA">
        <w:rPr>
          <w:rFonts w:cs="Arial"/>
        </w:rPr>
        <w:t>.</w:t>
      </w:r>
      <w:r w:rsidR="007D6F76">
        <w:rPr>
          <w:rFonts w:cs="Arial"/>
        </w:rPr>
        <w:t xml:space="preserve"> This wide range of perspectives and expertise ensures that our child protection system will continue to strengthen. </w:t>
      </w:r>
    </w:p>
    <w:p w:rsidR="00F75144" w:rsidRDefault="00F75144" w:rsidP="00DD5024">
      <w:pPr>
        <w:jc w:val="both"/>
        <w:rPr>
          <w:rFonts w:cs="Arial"/>
        </w:rPr>
      </w:pPr>
      <w:r w:rsidRPr="00F75144">
        <w:rPr>
          <w:rFonts w:cs="Arial"/>
        </w:rPr>
        <w:t>I believe this annual report not only demonstrates the robustness of our review s</w:t>
      </w:r>
      <w:r w:rsidR="00C30566">
        <w:rPr>
          <w:rFonts w:cs="Arial"/>
        </w:rPr>
        <w:t>ystem but also details</w:t>
      </w:r>
      <w:r w:rsidRPr="00F75144">
        <w:rPr>
          <w:rFonts w:cs="Arial"/>
        </w:rPr>
        <w:t xml:space="preserve"> the significant advances</w:t>
      </w:r>
      <w:r w:rsidR="002822BF">
        <w:rPr>
          <w:rFonts w:cs="Arial"/>
        </w:rPr>
        <w:t xml:space="preserve"> being made in child protection</w:t>
      </w:r>
      <w:r w:rsidR="00C30566">
        <w:rPr>
          <w:rFonts w:cs="Arial"/>
        </w:rPr>
        <w:t xml:space="preserve"> systems</w:t>
      </w:r>
      <w:r w:rsidRPr="00F75144">
        <w:rPr>
          <w:rFonts w:cs="Arial"/>
        </w:rPr>
        <w:t xml:space="preserve"> and practice in Queensland.</w:t>
      </w:r>
    </w:p>
    <w:p w:rsidR="00D97E00" w:rsidRPr="00966211" w:rsidRDefault="00D97E00" w:rsidP="00DD5024">
      <w:pPr>
        <w:jc w:val="both"/>
        <w:rPr>
          <w:rFonts w:cs="Arial"/>
        </w:rPr>
      </w:pPr>
      <w:r>
        <w:rPr>
          <w:rFonts w:cs="Arial"/>
        </w:rPr>
        <w:t>We will again share this report with child protection leaders within and beyond our agency to ensure the system as a whole continues to improve.</w:t>
      </w:r>
    </w:p>
    <w:p w:rsidR="008452FB" w:rsidRDefault="008452FB" w:rsidP="00DD5024">
      <w:pPr>
        <w:spacing w:after="0"/>
        <w:jc w:val="both"/>
        <w:rPr>
          <w:rFonts w:cs="Arial"/>
        </w:rPr>
      </w:pPr>
    </w:p>
    <w:p w:rsidR="008452FB" w:rsidRDefault="008452FB" w:rsidP="00DD5024">
      <w:pPr>
        <w:spacing w:after="0"/>
        <w:jc w:val="both"/>
        <w:rPr>
          <w:rFonts w:cs="Arial"/>
        </w:rPr>
      </w:pPr>
    </w:p>
    <w:p w:rsidR="008452FB" w:rsidRDefault="008452FB" w:rsidP="00DD5024">
      <w:pPr>
        <w:spacing w:after="0"/>
        <w:jc w:val="both"/>
        <w:rPr>
          <w:rFonts w:cs="Arial"/>
        </w:rPr>
      </w:pPr>
    </w:p>
    <w:p w:rsidR="008452FB" w:rsidRDefault="008452FB" w:rsidP="00DD5024">
      <w:pPr>
        <w:spacing w:after="0"/>
        <w:jc w:val="both"/>
        <w:rPr>
          <w:rFonts w:cs="Arial"/>
        </w:rPr>
      </w:pPr>
    </w:p>
    <w:p w:rsidR="004E701E" w:rsidRPr="008452FB" w:rsidRDefault="00F003D6" w:rsidP="00DD5024">
      <w:pPr>
        <w:spacing w:after="0"/>
        <w:jc w:val="both"/>
        <w:rPr>
          <w:rFonts w:cs="Arial"/>
        </w:rPr>
      </w:pPr>
      <w:bookmarkStart w:id="12" w:name="_Toc461524840"/>
      <w:bookmarkStart w:id="13" w:name="_Toc463008509"/>
      <w:bookmarkStart w:id="14" w:name="_Toc463343766"/>
      <w:r w:rsidRPr="008452FB">
        <w:rPr>
          <w:rFonts w:cs="Arial"/>
        </w:rPr>
        <w:t>Michael Hogan</w:t>
      </w:r>
      <w:bookmarkEnd w:id="12"/>
      <w:bookmarkEnd w:id="13"/>
      <w:bookmarkEnd w:id="14"/>
    </w:p>
    <w:p w:rsidR="004E701E" w:rsidRPr="008452FB" w:rsidRDefault="004E701E" w:rsidP="00DD5024">
      <w:pPr>
        <w:spacing w:after="0"/>
        <w:jc w:val="both"/>
        <w:rPr>
          <w:rFonts w:cs="Arial"/>
          <w:b/>
        </w:rPr>
      </w:pPr>
      <w:bookmarkStart w:id="15" w:name="_Toc429994552"/>
      <w:bookmarkStart w:id="16" w:name="_Toc429994628"/>
      <w:bookmarkStart w:id="17" w:name="_Toc430671843"/>
      <w:bookmarkStart w:id="18" w:name="_Toc461524841"/>
      <w:bookmarkStart w:id="19" w:name="_Toc463008510"/>
      <w:bookmarkStart w:id="20" w:name="_Toc463343767"/>
      <w:r w:rsidRPr="008452FB">
        <w:rPr>
          <w:rFonts w:cs="Arial"/>
          <w:b/>
        </w:rPr>
        <w:t>Director</w:t>
      </w:r>
      <w:r w:rsidR="002E7B2C">
        <w:rPr>
          <w:rFonts w:cs="Arial"/>
          <w:b/>
        </w:rPr>
        <w:t>-</w:t>
      </w:r>
      <w:r w:rsidRPr="008452FB">
        <w:rPr>
          <w:rFonts w:cs="Arial"/>
          <w:b/>
        </w:rPr>
        <w:t>General</w:t>
      </w:r>
      <w:bookmarkEnd w:id="15"/>
      <w:bookmarkEnd w:id="16"/>
      <w:bookmarkEnd w:id="17"/>
      <w:bookmarkEnd w:id="18"/>
      <w:bookmarkEnd w:id="19"/>
      <w:bookmarkEnd w:id="20"/>
    </w:p>
    <w:p w:rsidR="001C17F0" w:rsidRPr="008452FB" w:rsidRDefault="001C17F0" w:rsidP="00DD5024">
      <w:pPr>
        <w:spacing w:after="0"/>
        <w:jc w:val="both"/>
        <w:rPr>
          <w:rFonts w:cs="Arial"/>
          <w:b/>
        </w:rPr>
      </w:pPr>
      <w:r w:rsidRPr="008452FB">
        <w:rPr>
          <w:rFonts w:cs="Arial"/>
          <w:b/>
        </w:rPr>
        <w:t xml:space="preserve">Department of </w:t>
      </w:r>
      <w:r w:rsidR="000D463A">
        <w:rPr>
          <w:rFonts w:cs="Arial"/>
          <w:b/>
        </w:rPr>
        <w:t xml:space="preserve">Child Safety, Youth and Women </w:t>
      </w:r>
    </w:p>
    <w:p w:rsidR="004E701E" w:rsidRPr="008452FB" w:rsidRDefault="004E701E" w:rsidP="00DD5024">
      <w:pPr>
        <w:spacing w:after="0"/>
        <w:jc w:val="both"/>
        <w:rPr>
          <w:rFonts w:cs="Arial"/>
        </w:rPr>
      </w:pPr>
    </w:p>
    <w:p w:rsidR="00024017" w:rsidRDefault="00024017" w:rsidP="00DD5024">
      <w:pPr>
        <w:pStyle w:val="Heading1"/>
        <w:jc w:val="both"/>
        <w:sectPr w:rsidR="00024017" w:rsidSect="009B2570">
          <w:pgSz w:w="11906" w:h="16838" w:code="9"/>
          <w:pgMar w:top="2098" w:right="1418" w:bottom="1418" w:left="1418" w:header="426" w:footer="450" w:gutter="0"/>
          <w:cols w:space="708"/>
          <w:titlePg/>
          <w:docGrid w:linePitch="360"/>
        </w:sectPr>
      </w:pPr>
    </w:p>
    <w:p w:rsidR="00DF6745" w:rsidRPr="004E2A22" w:rsidRDefault="00DF6745" w:rsidP="00DD5024">
      <w:pPr>
        <w:pStyle w:val="Heading1"/>
        <w:spacing w:before="480"/>
        <w:jc w:val="both"/>
      </w:pPr>
      <w:bookmarkStart w:id="21" w:name="_Toc524517365"/>
      <w:r w:rsidRPr="004E2A22">
        <w:lastRenderedPageBreak/>
        <w:t xml:space="preserve">Executive </w:t>
      </w:r>
      <w:r w:rsidR="00B8151E" w:rsidRPr="004E2A22">
        <w:t>s</w:t>
      </w:r>
      <w:r w:rsidRPr="004E2A22">
        <w:t>ummary</w:t>
      </w:r>
      <w:bookmarkEnd w:id="21"/>
    </w:p>
    <w:p w:rsidR="007B1901" w:rsidRPr="003E4CE3" w:rsidRDefault="007B1901" w:rsidP="00DD5024">
      <w:pPr>
        <w:pStyle w:val="Heading2"/>
        <w:spacing w:before="240"/>
        <w:jc w:val="both"/>
        <w:rPr>
          <w:rStyle w:val="Heading1Char"/>
          <w:sz w:val="28"/>
          <w:szCs w:val="28"/>
        </w:rPr>
      </w:pPr>
      <w:bookmarkStart w:id="22" w:name="_Toc462658377"/>
      <w:bookmarkStart w:id="23" w:name="_Toc463008512"/>
      <w:bookmarkStart w:id="24" w:name="_Toc463343769"/>
      <w:bookmarkStart w:id="25" w:name="_Toc488995787"/>
      <w:bookmarkStart w:id="26" w:name="_Toc488996456"/>
      <w:bookmarkStart w:id="27" w:name="_Toc524517366"/>
      <w:r w:rsidRPr="003E4CE3">
        <w:rPr>
          <w:sz w:val="28"/>
        </w:rPr>
        <w:t>Background</w:t>
      </w:r>
      <w:bookmarkEnd w:id="22"/>
      <w:bookmarkEnd w:id="23"/>
      <w:bookmarkEnd w:id="24"/>
      <w:bookmarkEnd w:id="25"/>
      <w:bookmarkEnd w:id="26"/>
      <w:bookmarkEnd w:id="27"/>
    </w:p>
    <w:p w:rsidR="00D97E00" w:rsidRDefault="00D97E00" w:rsidP="00DD5024">
      <w:pPr>
        <w:jc w:val="both"/>
        <w:rPr>
          <w:rFonts w:cs="Arial"/>
        </w:rPr>
      </w:pPr>
      <w:r w:rsidRPr="004903D9">
        <w:rPr>
          <w:rFonts w:cs="Arial"/>
        </w:rPr>
        <w:t>Over 84,000 Queensland children and young people are currently ‘known to child protection’.  Just over 12,000 are subject to ongoing intervention and of these, about 9,600 children and young people are in care.</w:t>
      </w:r>
      <w:r>
        <w:rPr>
          <w:rFonts w:cs="Arial"/>
        </w:rPr>
        <w:t xml:space="preserve"> </w:t>
      </w:r>
    </w:p>
    <w:p w:rsidR="007B1901" w:rsidRDefault="007B1901" w:rsidP="00DD5024">
      <w:pPr>
        <w:jc w:val="both"/>
        <w:rPr>
          <w:rFonts w:cs="Arial"/>
        </w:rPr>
      </w:pPr>
      <w:r>
        <w:rPr>
          <w:rFonts w:cs="Arial"/>
        </w:rPr>
        <w:t xml:space="preserve">When a child who is known to the Department </w:t>
      </w:r>
      <w:r w:rsidR="003339C2">
        <w:rPr>
          <w:rFonts w:cs="Arial"/>
        </w:rPr>
        <w:t>Child Safety, Youth and Women</w:t>
      </w:r>
      <w:r>
        <w:rPr>
          <w:rFonts w:cs="Arial"/>
        </w:rPr>
        <w:t xml:space="preserve"> (the department) dies or suffers a serious physical injury, a two-step review process is undertaken. The first is an internal Systems and Practice Review </w:t>
      </w:r>
      <w:r w:rsidR="00591B31">
        <w:rPr>
          <w:rFonts w:cs="Arial"/>
        </w:rPr>
        <w:t>completed</w:t>
      </w:r>
      <w:r w:rsidR="009F61A2">
        <w:rPr>
          <w:rFonts w:cs="Arial"/>
        </w:rPr>
        <w:t xml:space="preserve"> </w:t>
      </w:r>
      <w:r>
        <w:rPr>
          <w:rFonts w:cs="Arial"/>
        </w:rPr>
        <w:t>by the department. The second is a review of the department’s review by an independent Child Death Case Review Panel. The purpose of both reviews is to identify and encourage improvements in the provision of services by the department and promote accountability.</w:t>
      </w:r>
    </w:p>
    <w:p w:rsidR="00A568D9" w:rsidRDefault="00B84EA1" w:rsidP="00DD5024">
      <w:pPr>
        <w:jc w:val="both"/>
        <w:rPr>
          <w:rFonts w:cs="Arial"/>
        </w:rPr>
      </w:pPr>
      <w:r>
        <w:rPr>
          <w:rFonts w:cs="Arial"/>
        </w:rPr>
        <w:t>Children ‘known to the department’ encompass</w:t>
      </w:r>
      <w:r w:rsidR="00DF11FA">
        <w:rPr>
          <w:rFonts w:cs="Arial"/>
        </w:rPr>
        <w:t>es</w:t>
      </w:r>
      <w:r>
        <w:rPr>
          <w:rFonts w:cs="Arial"/>
        </w:rPr>
        <w:t xml:space="preserve"> all those children who come to the attention of the department </w:t>
      </w:r>
      <w:r w:rsidR="00E548A6">
        <w:rPr>
          <w:rFonts w:cs="Arial"/>
        </w:rPr>
        <w:t xml:space="preserve">in the </w:t>
      </w:r>
      <w:r w:rsidR="002E7B2C">
        <w:rPr>
          <w:rFonts w:cs="Arial"/>
        </w:rPr>
        <w:t>12</w:t>
      </w:r>
      <w:r w:rsidR="00E548A6">
        <w:rPr>
          <w:rFonts w:cs="Arial"/>
        </w:rPr>
        <w:t xml:space="preserve"> months </w:t>
      </w:r>
      <w:r w:rsidR="00294B7F">
        <w:rPr>
          <w:rFonts w:cs="Arial"/>
        </w:rPr>
        <w:t>preceding</w:t>
      </w:r>
      <w:r w:rsidR="00E548A6">
        <w:rPr>
          <w:rFonts w:cs="Arial"/>
        </w:rPr>
        <w:t xml:space="preserve"> their death or serious injury</w:t>
      </w:r>
      <w:r w:rsidR="001E67A3">
        <w:rPr>
          <w:rFonts w:cs="Arial"/>
        </w:rPr>
        <w:t>. This may include</w:t>
      </w:r>
      <w:r w:rsidR="00E548A6">
        <w:rPr>
          <w:rFonts w:cs="Arial"/>
        </w:rPr>
        <w:t xml:space="preserve"> </w:t>
      </w:r>
      <w:r>
        <w:rPr>
          <w:rFonts w:cs="Arial"/>
        </w:rPr>
        <w:t xml:space="preserve">through </w:t>
      </w:r>
      <w:r w:rsidR="008D44F3">
        <w:rPr>
          <w:rFonts w:cs="Arial"/>
        </w:rPr>
        <w:t>intake processes</w:t>
      </w:r>
      <w:r w:rsidR="001E67A3">
        <w:rPr>
          <w:rFonts w:cs="Arial"/>
        </w:rPr>
        <w:t>, when concerns</w:t>
      </w:r>
      <w:r w:rsidR="00F85648">
        <w:rPr>
          <w:rFonts w:cs="Arial"/>
        </w:rPr>
        <w:t xml:space="preserve"> about abuse or neglect</w:t>
      </w:r>
      <w:r w:rsidR="001E67A3">
        <w:rPr>
          <w:rFonts w:cs="Arial"/>
        </w:rPr>
        <w:t xml:space="preserve"> are recorded and assessed or when ongoing intervention occurs with a child and their family, including when a child protection order is sought.</w:t>
      </w:r>
    </w:p>
    <w:p w:rsidR="00834C5D" w:rsidRDefault="00834C5D" w:rsidP="00DD5024">
      <w:pPr>
        <w:jc w:val="both"/>
        <w:rPr>
          <w:rFonts w:cs="Arial"/>
        </w:rPr>
      </w:pPr>
      <w:r>
        <w:rPr>
          <w:rFonts w:cs="Arial"/>
        </w:rPr>
        <w:t xml:space="preserve">The Director of Child Protection Litigation must also undertake a review if, </w:t>
      </w:r>
      <w:r w:rsidR="00D35142">
        <w:rPr>
          <w:rFonts w:cs="Arial"/>
        </w:rPr>
        <w:t xml:space="preserve">at the time of the child’s death or serious physical injury, or </w:t>
      </w:r>
      <w:r>
        <w:rPr>
          <w:rFonts w:cs="Arial"/>
        </w:rPr>
        <w:t xml:space="preserve">in the 12 months prior, the child was subject to a ‘litigation function’ by the </w:t>
      </w:r>
      <w:r w:rsidR="00A70D71" w:rsidRPr="00A70D71">
        <w:rPr>
          <w:rFonts w:cs="Arial"/>
        </w:rPr>
        <w:t>Director of Child Protection Litigation</w:t>
      </w:r>
      <w:r>
        <w:rPr>
          <w:rFonts w:cs="Arial"/>
        </w:rPr>
        <w:t xml:space="preserve">. </w:t>
      </w:r>
      <w:r w:rsidR="00C30566">
        <w:rPr>
          <w:rFonts w:cs="Arial"/>
        </w:rPr>
        <w:t>In these instances, t</w:t>
      </w:r>
      <w:r w:rsidR="00647396">
        <w:rPr>
          <w:rFonts w:cs="Arial"/>
        </w:rPr>
        <w:t xml:space="preserve">he </w:t>
      </w:r>
      <w:r w:rsidR="00647396" w:rsidRPr="00647396">
        <w:rPr>
          <w:rFonts w:cs="Arial"/>
        </w:rPr>
        <w:t>Child Death Case Review Panel</w:t>
      </w:r>
      <w:r w:rsidR="00D47E82">
        <w:rPr>
          <w:rFonts w:cs="Arial"/>
        </w:rPr>
        <w:t xml:space="preserve"> </w:t>
      </w:r>
      <w:r w:rsidR="00C30566">
        <w:rPr>
          <w:rFonts w:cs="Arial"/>
        </w:rPr>
        <w:t>then considers</w:t>
      </w:r>
      <w:r w:rsidR="00A73B53">
        <w:rPr>
          <w:rFonts w:cs="Arial"/>
        </w:rPr>
        <w:t xml:space="preserve"> the department’s review and the Director of Child Protection Litigation’s review for the child at the same time</w:t>
      </w:r>
      <w:r w:rsidR="00D47E82">
        <w:rPr>
          <w:rFonts w:cs="Arial"/>
        </w:rPr>
        <w:t xml:space="preserve">. </w:t>
      </w:r>
    </w:p>
    <w:p w:rsidR="007B1901" w:rsidRPr="003E4CE3" w:rsidRDefault="007B1901" w:rsidP="00DD5024">
      <w:pPr>
        <w:pStyle w:val="Heading2"/>
        <w:spacing w:before="240"/>
        <w:jc w:val="both"/>
        <w:rPr>
          <w:sz w:val="28"/>
        </w:rPr>
      </w:pPr>
      <w:bookmarkStart w:id="28" w:name="_Toc462658379"/>
      <w:bookmarkStart w:id="29" w:name="_Toc463008514"/>
      <w:bookmarkStart w:id="30" w:name="_Toc463343771"/>
      <w:bookmarkStart w:id="31" w:name="_Toc488995788"/>
      <w:bookmarkStart w:id="32" w:name="_Toc488996457"/>
      <w:bookmarkStart w:id="33" w:name="_Toc524517367"/>
      <w:r w:rsidRPr="003E4CE3">
        <w:rPr>
          <w:sz w:val="28"/>
        </w:rPr>
        <w:t xml:space="preserve">Panel </w:t>
      </w:r>
      <w:bookmarkEnd w:id="28"/>
      <w:bookmarkEnd w:id="29"/>
      <w:bookmarkEnd w:id="30"/>
      <w:r w:rsidR="00D862CF">
        <w:rPr>
          <w:sz w:val="28"/>
        </w:rPr>
        <w:t>operations</w:t>
      </w:r>
      <w:bookmarkEnd w:id="31"/>
      <w:bookmarkEnd w:id="32"/>
      <w:bookmarkEnd w:id="33"/>
    </w:p>
    <w:p w:rsidR="00294B7F" w:rsidRDefault="00294B7F" w:rsidP="00DD5024">
      <w:pPr>
        <w:jc w:val="both"/>
        <w:rPr>
          <w:rFonts w:cs="Arial"/>
        </w:rPr>
      </w:pPr>
      <w:r w:rsidRPr="00294B7F">
        <w:rPr>
          <w:rFonts w:cs="Arial"/>
        </w:rPr>
        <w:t>During the reporting period</w:t>
      </w:r>
      <w:r w:rsidR="002E7B2C">
        <w:rPr>
          <w:rFonts w:cs="Arial"/>
        </w:rPr>
        <w:t>,</w:t>
      </w:r>
      <w:r w:rsidRPr="00294B7F">
        <w:rPr>
          <w:rFonts w:cs="Arial"/>
        </w:rPr>
        <w:t xml:space="preserve"> the </w:t>
      </w:r>
      <w:r w:rsidR="00FB7625" w:rsidRPr="00294B7F">
        <w:rPr>
          <w:rFonts w:cs="Arial"/>
        </w:rPr>
        <w:t xml:space="preserve">panels </w:t>
      </w:r>
      <w:r w:rsidRPr="00294B7F">
        <w:rPr>
          <w:rFonts w:cs="Arial"/>
        </w:rPr>
        <w:t xml:space="preserve">considered </w:t>
      </w:r>
      <w:r w:rsidR="00DB248E">
        <w:rPr>
          <w:rFonts w:cs="Arial"/>
        </w:rPr>
        <w:t>58</w:t>
      </w:r>
      <w:r w:rsidR="00E543D0" w:rsidRPr="00294B7F">
        <w:rPr>
          <w:rFonts w:cs="Arial"/>
        </w:rPr>
        <w:t xml:space="preserve"> </w:t>
      </w:r>
      <w:r w:rsidRPr="00294B7F">
        <w:rPr>
          <w:rFonts w:cs="Arial"/>
        </w:rPr>
        <w:t xml:space="preserve">review reports, relating to </w:t>
      </w:r>
      <w:r w:rsidR="00F31E30">
        <w:rPr>
          <w:rFonts w:cs="Arial"/>
        </w:rPr>
        <w:t>56</w:t>
      </w:r>
      <w:r w:rsidR="00F31E30" w:rsidRPr="00294B7F">
        <w:rPr>
          <w:rFonts w:cs="Arial"/>
        </w:rPr>
        <w:t xml:space="preserve"> </w:t>
      </w:r>
      <w:r w:rsidRPr="00294B7F">
        <w:rPr>
          <w:rFonts w:cs="Arial"/>
        </w:rPr>
        <w:t>individual children/cases</w:t>
      </w:r>
      <w:r w:rsidR="00993078">
        <w:rPr>
          <w:rFonts w:cs="Arial"/>
        </w:rPr>
        <w:t xml:space="preserve"> comprising 47 deaths and nine serious injuries</w:t>
      </w:r>
      <w:r w:rsidRPr="00294B7F">
        <w:rPr>
          <w:rFonts w:cs="Arial"/>
        </w:rPr>
        <w:t xml:space="preserve">. For </w:t>
      </w:r>
      <w:r w:rsidR="00F31E30" w:rsidRPr="00F31E30">
        <w:rPr>
          <w:rFonts w:cs="Arial"/>
        </w:rPr>
        <w:t>two children</w:t>
      </w:r>
      <w:r w:rsidR="002E7B2C" w:rsidRPr="00F31E30">
        <w:rPr>
          <w:rFonts w:cs="Arial"/>
        </w:rPr>
        <w:t>,</w:t>
      </w:r>
      <w:r w:rsidRPr="00294B7F">
        <w:rPr>
          <w:rFonts w:cs="Arial"/>
        </w:rPr>
        <w:t xml:space="preserve"> the </w:t>
      </w:r>
      <w:r w:rsidR="00FB7625" w:rsidRPr="00294B7F">
        <w:rPr>
          <w:rFonts w:cs="Arial"/>
        </w:rPr>
        <w:t xml:space="preserve">panels </w:t>
      </w:r>
      <w:r w:rsidRPr="00294B7F">
        <w:rPr>
          <w:rFonts w:cs="Arial"/>
        </w:rPr>
        <w:t xml:space="preserve">considered the </w:t>
      </w:r>
      <w:r w:rsidR="00A73B53">
        <w:rPr>
          <w:rFonts w:cs="Arial"/>
        </w:rPr>
        <w:t>department’s</w:t>
      </w:r>
      <w:r w:rsidRPr="00294B7F">
        <w:rPr>
          <w:rFonts w:cs="Arial"/>
        </w:rPr>
        <w:t xml:space="preserve"> Systems and Practice Review </w:t>
      </w:r>
      <w:r w:rsidR="00A73B53">
        <w:rPr>
          <w:rFonts w:cs="Arial"/>
        </w:rPr>
        <w:t>R</w:t>
      </w:r>
      <w:r w:rsidRPr="00294B7F">
        <w:rPr>
          <w:rFonts w:cs="Arial"/>
        </w:rPr>
        <w:t xml:space="preserve">eport </w:t>
      </w:r>
      <w:r w:rsidR="00B77676">
        <w:rPr>
          <w:rFonts w:cs="Arial"/>
        </w:rPr>
        <w:t>and</w:t>
      </w:r>
      <w:r w:rsidRPr="00294B7F">
        <w:rPr>
          <w:rFonts w:cs="Arial"/>
        </w:rPr>
        <w:t xml:space="preserve"> the</w:t>
      </w:r>
      <w:r w:rsidR="00A70D71" w:rsidRPr="00A70D71">
        <w:rPr>
          <w:rFonts w:cs="Arial"/>
        </w:rPr>
        <w:t xml:space="preserve"> Director of Child Protection Litigation</w:t>
      </w:r>
      <w:r w:rsidR="003E27E3">
        <w:rPr>
          <w:rFonts w:cs="Arial"/>
        </w:rPr>
        <w:t>’s</w:t>
      </w:r>
      <w:r w:rsidR="00B308FD">
        <w:rPr>
          <w:rFonts w:cs="Arial"/>
        </w:rPr>
        <w:t xml:space="preserve"> Review </w:t>
      </w:r>
      <w:r w:rsidR="00A73B53">
        <w:rPr>
          <w:rFonts w:cs="Arial"/>
        </w:rPr>
        <w:t>R</w:t>
      </w:r>
      <w:r w:rsidR="00B308FD">
        <w:rPr>
          <w:rFonts w:cs="Arial"/>
        </w:rPr>
        <w:t>eport.</w:t>
      </w:r>
      <w:r w:rsidR="005E4CF7">
        <w:rPr>
          <w:rFonts w:cs="Arial"/>
        </w:rPr>
        <w:t xml:space="preserve"> </w:t>
      </w:r>
      <w:r w:rsidR="00DB248E">
        <w:rPr>
          <w:rFonts w:cs="Arial"/>
        </w:rPr>
        <w:t xml:space="preserve">Sixteen </w:t>
      </w:r>
      <w:r w:rsidR="007B1901">
        <w:rPr>
          <w:rFonts w:cs="Arial"/>
        </w:rPr>
        <w:t>panels completed reviews during the reporting period.</w:t>
      </w:r>
      <w:r w:rsidR="003434C7">
        <w:rPr>
          <w:rStyle w:val="FootnoteReference"/>
          <w:rFonts w:cs="Arial"/>
        </w:rPr>
        <w:footnoteReference w:id="1"/>
      </w:r>
    </w:p>
    <w:p w:rsidR="007B1901" w:rsidRDefault="007B1901" w:rsidP="00DD5024">
      <w:pPr>
        <w:jc w:val="both"/>
        <w:rPr>
          <w:rFonts w:cs="Arial"/>
        </w:rPr>
      </w:pPr>
      <w:r>
        <w:rPr>
          <w:rFonts w:cs="Arial"/>
        </w:rPr>
        <w:t xml:space="preserve">Panels considered departmental involvement with children and young people </w:t>
      </w:r>
      <w:r w:rsidR="00C30566">
        <w:rPr>
          <w:rFonts w:cs="Arial"/>
        </w:rPr>
        <w:t>occurring across</w:t>
      </w:r>
      <w:r>
        <w:rPr>
          <w:rFonts w:cs="Arial"/>
        </w:rPr>
        <w:t xml:space="preserve"> a number of points on the child protection continuum</w:t>
      </w:r>
      <w:r w:rsidR="000A3185">
        <w:rPr>
          <w:rFonts w:cs="Arial"/>
        </w:rPr>
        <w:t xml:space="preserve"> </w:t>
      </w:r>
      <w:r w:rsidR="00EF7C23">
        <w:rPr>
          <w:rFonts w:cs="Arial"/>
        </w:rPr>
        <w:t>—</w:t>
      </w:r>
      <w:r w:rsidR="000A3185">
        <w:rPr>
          <w:rFonts w:cs="Arial"/>
        </w:rPr>
        <w:t xml:space="preserve"> from intakes, </w:t>
      </w:r>
      <w:r w:rsidR="00EF7C23">
        <w:rPr>
          <w:rFonts w:cs="Arial"/>
        </w:rPr>
        <w:t>Investigation and Assessment</w:t>
      </w:r>
      <w:r w:rsidR="000A3185">
        <w:rPr>
          <w:rFonts w:cs="Arial"/>
        </w:rPr>
        <w:t xml:space="preserve">, </w:t>
      </w:r>
      <w:r w:rsidR="005B7D83">
        <w:rPr>
          <w:rFonts w:cs="Arial"/>
        </w:rPr>
        <w:t>I</w:t>
      </w:r>
      <w:r w:rsidR="00C30566">
        <w:rPr>
          <w:rFonts w:cs="Arial"/>
        </w:rPr>
        <w:t xml:space="preserve">ntervention with </w:t>
      </w:r>
      <w:r w:rsidR="005B7D83">
        <w:rPr>
          <w:rFonts w:cs="Arial"/>
        </w:rPr>
        <w:t>P</w:t>
      </w:r>
      <w:r w:rsidR="00C30566">
        <w:rPr>
          <w:rFonts w:cs="Arial"/>
        </w:rPr>
        <w:t xml:space="preserve">arental </w:t>
      </w:r>
      <w:r w:rsidR="005B7D83">
        <w:rPr>
          <w:rFonts w:cs="Arial"/>
        </w:rPr>
        <w:t>A</w:t>
      </w:r>
      <w:r w:rsidR="00C30566">
        <w:rPr>
          <w:rFonts w:cs="Arial"/>
        </w:rPr>
        <w:t>greement</w:t>
      </w:r>
      <w:r w:rsidR="000A3185">
        <w:rPr>
          <w:rFonts w:cs="Arial"/>
        </w:rPr>
        <w:t xml:space="preserve"> and </w:t>
      </w:r>
      <w:r w:rsidR="00C30566">
        <w:rPr>
          <w:rFonts w:cs="Arial"/>
        </w:rPr>
        <w:t>those subject to</w:t>
      </w:r>
      <w:r w:rsidR="000A3185">
        <w:rPr>
          <w:rFonts w:cs="Arial"/>
        </w:rPr>
        <w:t xml:space="preserve"> Child Protection Orders. The</w:t>
      </w:r>
      <w:r>
        <w:rPr>
          <w:rFonts w:cs="Arial"/>
        </w:rPr>
        <w:t xml:space="preserve"> children and young people were from diverse cultural, family and community backgrounds</w:t>
      </w:r>
      <w:r w:rsidR="000A3185">
        <w:rPr>
          <w:rFonts w:cs="Arial"/>
        </w:rPr>
        <w:t>,</w:t>
      </w:r>
      <w:r>
        <w:rPr>
          <w:rFonts w:cs="Arial"/>
        </w:rPr>
        <w:t xml:space="preserve"> and had </w:t>
      </w:r>
      <w:r w:rsidR="000A3185">
        <w:rPr>
          <w:rFonts w:cs="Arial"/>
        </w:rPr>
        <w:t xml:space="preserve">many </w:t>
      </w:r>
      <w:r>
        <w:rPr>
          <w:rFonts w:cs="Arial"/>
        </w:rPr>
        <w:t>different life experiences, opportunities and challenges.</w:t>
      </w:r>
    </w:p>
    <w:p w:rsidR="007B1901" w:rsidRDefault="007B1901" w:rsidP="00DD5024">
      <w:pPr>
        <w:jc w:val="both"/>
        <w:rPr>
          <w:rFonts w:cs="Arial"/>
        </w:rPr>
      </w:pPr>
      <w:r>
        <w:rPr>
          <w:rFonts w:cs="Arial"/>
        </w:rPr>
        <w:t xml:space="preserve">Each </w:t>
      </w:r>
      <w:r w:rsidR="00E548A6">
        <w:rPr>
          <w:rFonts w:cs="Arial"/>
        </w:rPr>
        <w:t xml:space="preserve">of the </w:t>
      </w:r>
      <w:r w:rsidR="00DB248E">
        <w:rPr>
          <w:rFonts w:cs="Arial"/>
        </w:rPr>
        <w:t xml:space="preserve">16 </w:t>
      </w:r>
      <w:r>
        <w:rPr>
          <w:rFonts w:cs="Arial"/>
        </w:rPr>
        <w:t>panel</w:t>
      </w:r>
      <w:r w:rsidR="00E548A6">
        <w:rPr>
          <w:rFonts w:cs="Arial"/>
        </w:rPr>
        <w:t>s</w:t>
      </w:r>
      <w:r>
        <w:rPr>
          <w:rFonts w:cs="Arial"/>
        </w:rPr>
        <w:t xml:space="preserve"> produced a report outlining broad </w:t>
      </w:r>
      <w:r w:rsidR="00CD4E5F">
        <w:rPr>
          <w:rFonts w:cs="Arial"/>
        </w:rPr>
        <w:t xml:space="preserve">conclusions and recommendations </w:t>
      </w:r>
      <w:r>
        <w:rPr>
          <w:rFonts w:cs="Arial"/>
        </w:rPr>
        <w:t xml:space="preserve">relating to </w:t>
      </w:r>
      <w:r w:rsidR="000A3185">
        <w:rPr>
          <w:rFonts w:cs="Arial"/>
        </w:rPr>
        <w:t>the</w:t>
      </w:r>
      <w:r>
        <w:rPr>
          <w:rFonts w:cs="Arial"/>
        </w:rPr>
        <w:t xml:space="preserve"> cases reviewed and detailed </w:t>
      </w:r>
      <w:r w:rsidR="00CD4E5F" w:rsidRPr="00CD4E5F">
        <w:rPr>
          <w:rFonts w:cs="Arial"/>
        </w:rPr>
        <w:t xml:space="preserve">conclusions and recommendations </w:t>
      </w:r>
      <w:r>
        <w:rPr>
          <w:rFonts w:cs="Arial"/>
        </w:rPr>
        <w:t xml:space="preserve">for each individual case. Each panel made </w:t>
      </w:r>
      <w:r w:rsidR="00CD4E5F" w:rsidRPr="00CD4E5F">
        <w:rPr>
          <w:rFonts w:cs="Arial"/>
        </w:rPr>
        <w:t xml:space="preserve">conclusions and recommendations </w:t>
      </w:r>
      <w:r>
        <w:rPr>
          <w:rFonts w:cs="Arial"/>
        </w:rPr>
        <w:t xml:space="preserve">aimed at systemic improvement based on the individual cases </w:t>
      </w:r>
      <w:r w:rsidR="000A3185">
        <w:rPr>
          <w:rFonts w:cs="Arial"/>
        </w:rPr>
        <w:t>reviewed. The p</w:t>
      </w:r>
      <w:r>
        <w:rPr>
          <w:rFonts w:cs="Arial"/>
        </w:rPr>
        <w:t>anels identified examples of high quality service</w:t>
      </w:r>
      <w:r w:rsidR="000A3185">
        <w:rPr>
          <w:rFonts w:cs="Arial"/>
        </w:rPr>
        <w:t xml:space="preserve"> delivery by departmental staff. The panels also identified</w:t>
      </w:r>
      <w:r>
        <w:rPr>
          <w:rFonts w:cs="Arial"/>
        </w:rPr>
        <w:t xml:space="preserve"> </w:t>
      </w:r>
      <w:r w:rsidR="000A3185">
        <w:rPr>
          <w:rFonts w:cs="Arial"/>
        </w:rPr>
        <w:t xml:space="preserve">key or recurring themes and a range of </w:t>
      </w:r>
      <w:r>
        <w:rPr>
          <w:rFonts w:cs="Arial"/>
        </w:rPr>
        <w:t>areas for improvement.</w:t>
      </w:r>
    </w:p>
    <w:p w:rsidR="00DB248E" w:rsidRDefault="00DB248E" w:rsidP="00DD5024">
      <w:pPr>
        <w:jc w:val="both"/>
        <w:rPr>
          <w:rFonts w:cs="Arial"/>
        </w:rPr>
      </w:pPr>
      <w:r>
        <w:rPr>
          <w:rFonts w:cs="Arial"/>
        </w:rPr>
        <w:t xml:space="preserve">During the reporting period, the panels delivered 16 reports </w:t>
      </w:r>
      <w:r w:rsidR="00962754">
        <w:rPr>
          <w:rFonts w:cs="Arial"/>
        </w:rPr>
        <w:t>to the Director-</w:t>
      </w:r>
      <w:r w:rsidR="00D13C2F">
        <w:rPr>
          <w:rFonts w:cs="Arial"/>
        </w:rPr>
        <w:t>General of the department, and three</w:t>
      </w:r>
      <w:r w:rsidR="00962754">
        <w:rPr>
          <w:rFonts w:cs="Arial"/>
        </w:rPr>
        <w:t xml:space="preserve"> reports to the </w:t>
      </w:r>
      <w:r w:rsidR="00A70D71" w:rsidRPr="00A70D71">
        <w:rPr>
          <w:rFonts w:cs="Arial"/>
        </w:rPr>
        <w:t>Director of Child Protection Litigation</w:t>
      </w:r>
      <w:r w:rsidR="00962754">
        <w:rPr>
          <w:rFonts w:cs="Arial"/>
        </w:rPr>
        <w:t>.</w:t>
      </w:r>
    </w:p>
    <w:p w:rsidR="005E4CF7" w:rsidRDefault="005E4CF7" w:rsidP="00DD5024">
      <w:pPr>
        <w:jc w:val="both"/>
        <w:rPr>
          <w:rFonts w:cs="Arial"/>
        </w:rPr>
      </w:pPr>
      <w:r>
        <w:rPr>
          <w:rFonts w:cs="Arial"/>
        </w:rPr>
        <w:lastRenderedPageBreak/>
        <w:t>In 2017</w:t>
      </w:r>
      <w:r w:rsidR="002E7B2C">
        <w:rPr>
          <w:rFonts w:cs="Arial"/>
        </w:rPr>
        <w:t>,</w:t>
      </w:r>
      <w:r>
        <w:rPr>
          <w:rFonts w:cs="Arial"/>
        </w:rPr>
        <w:t xml:space="preserve"> the </w:t>
      </w:r>
      <w:r w:rsidR="002E7B2C">
        <w:rPr>
          <w:rFonts w:cs="Arial"/>
        </w:rPr>
        <w:t>Queensland Family and Child Commission (</w:t>
      </w:r>
      <w:r>
        <w:rPr>
          <w:rFonts w:cs="Arial"/>
        </w:rPr>
        <w:t>QFCC</w:t>
      </w:r>
      <w:r w:rsidR="002E7B2C">
        <w:rPr>
          <w:rFonts w:cs="Arial"/>
        </w:rPr>
        <w:t>)</w:t>
      </w:r>
      <w:r>
        <w:rPr>
          <w:rFonts w:cs="Arial"/>
        </w:rPr>
        <w:t xml:space="preserve"> published a review report: </w:t>
      </w:r>
      <w:r>
        <w:rPr>
          <w:rFonts w:cs="Arial"/>
          <w:i/>
        </w:rPr>
        <w:t>A systems review of individual agency findings following the death of a child</w:t>
      </w:r>
      <w:r w:rsidRPr="006F5844">
        <w:rPr>
          <w:rFonts w:cs="Arial"/>
        </w:rPr>
        <w:t>.</w:t>
      </w:r>
      <w:r>
        <w:rPr>
          <w:rFonts w:cs="Arial"/>
        </w:rPr>
        <w:t xml:space="preserve"> </w:t>
      </w:r>
      <w:r w:rsidRPr="00775C8A">
        <w:rPr>
          <w:rFonts w:cs="Arial"/>
        </w:rPr>
        <w:t>One overarching recommendation was made that the Queensland Government redesign the</w:t>
      </w:r>
      <w:r>
        <w:rPr>
          <w:rFonts w:cs="Arial"/>
        </w:rPr>
        <w:t xml:space="preserve"> </w:t>
      </w:r>
      <w:r w:rsidRPr="00775C8A">
        <w:rPr>
          <w:rFonts w:cs="Arial"/>
        </w:rPr>
        <w:t>independent model through which the deaths of children and young people known to the child</w:t>
      </w:r>
      <w:r>
        <w:rPr>
          <w:rFonts w:cs="Arial"/>
        </w:rPr>
        <w:t xml:space="preserve"> </w:t>
      </w:r>
      <w:r w:rsidRPr="00775C8A">
        <w:rPr>
          <w:rFonts w:cs="Arial"/>
        </w:rPr>
        <w:t>protection system are considered</w:t>
      </w:r>
      <w:r w:rsidR="00D13C2F">
        <w:rPr>
          <w:rFonts w:cs="Arial"/>
        </w:rPr>
        <w:t>,</w:t>
      </w:r>
      <w:r w:rsidRPr="00775C8A">
        <w:rPr>
          <w:rFonts w:cs="Arial"/>
        </w:rPr>
        <w:t xml:space="preserve"> to promote a shared responsibility and accountability between the</w:t>
      </w:r>
      <w:r>
        <w:rPr>
          <w:rFonts w:cs="Arial"/>
        </w:rPr>
        <w:t xml:space="preserve"> </w:t>
      </w:r>
      <w:r w:rsidRPr="00775C8A">
        <w:rPr>
          <w:rFonts w:cs="Arial"/>
        </w:rPr>
        <w:t>agencies involved in providing services for the child who has died.</w:t>
      </w:r>
      <w:r>
        <w:rPr>
          <w:rFonts w:cs="Arial"/>
        </w:rPr>
        <w:t xml:space="preserve"> </w:t>
      </w:r>
      <w:r w:rsidR="002026ED" w:rsidRPr="00423CD9">
        <w:rPr>
          <w:rFonts w:cs="Arial"/>
        </w:rPr>
        <w:t>The Government is currently considering how best to establish a revised external and independent child death review model having regard to the recommendation and other reports which have recommended oversight bodies for vulnerable children and young people.</w:t>
      </w:r>
    </w:p>
    <w:p w:rsidR="007B1901" w:rsidRPr="00EB7329" w:rsidRDefault="00D862CF" w:rsidP="00DD5024">
      <w:pPr>
        <w:pStyle w:val="Heading2"/>
        <w:spacing w:before="240"/>
        <w:jc w:val="both"/>
        <w:rPr>
          <w:sz w:val="28"/>
        </w:rPr>
      </w:pPr>
      <w:bookmarkStart w:id="34" w:name="_Toc488995789"/>
      <w:bookmarkStart w:id="35" w:name="_Toc488996458"/>
      <w:bookmarkStart w:id="36" w:name="_Toc524517368"/>
      <w:r>
        <w:rPr>
          <w:sz w:val="28"/>
        </w:rPr>
        <w:t>Actions taken</w:t>
      </w:r>
      <w:bookmarkEnd w:id="34"/>
      <w:bookmarkEnd w:id="35"/>
      <w:bookmarkEnd w:id="36"/>
    </w:p>
    <w:p w:rsidR="00DA348D" w:rsidRDefault="000A3185" w:rsidP="00DD5024">
      <w:pPr>
        <w:jc w:val="both"/>
        <w:rPr>
          <w:rFonts w:cs="Arial"/>
        </w:rPr>
      </w:pPr>
      <w:r>
        <w:rPr>
          <w:rFonts w:cs="Arial"/>
        </w:rPr>
        <w:t>Each panel’s</w:t>
      </w:r>
      <w:r w:rsidR="007B1901">
        <w:rPr>
          <w:rFonts w:cs="Arial"/>
        </w:rPr>
        <w:t xml:space="preserve"> report </w:t>
      </w:r>
      <w:r>
        <w:rPr>
          <w:rFonts w:cs="Arial"/>
        </w:rPr>
        <w:t>is</w:t>
      </w:r>
      <w:r w:rsidR="007B1901">
        <w:rPr>
          <w:rFonts w:cs="Arial"/>
        </w:rPr>
        <w:t xml:space="preserve"> provided to the Director-General of the department, and considered by key divisions in the department. A </w:t>
      </w:r>
      <w:r w:rsidR="00D13C2F">
        <w:rPr>
          <w:rFonts w:cs="Arial"/>
        </w:rPr>
        <w:t>departmental response</w:t>
      </w:r>
      <w:r w:rsidR="007B1901">
        <w:rPr>
          <w:rFonts w:cs="Arial"/>
        </w:rPr>
        <w:t xml:space="preserve"> </w:t>
      </w:r>
      <w:r>
        <w:rPr>
          <w:rFonts w:cs="Arial"/>
        </w:rPr>
        <w:t>is</w:t>
      </w:r>
      <w:r w:rsidR="007B1901">
        <w:rPr>
          <w:rFonts w:cs="Arial"/>
        </w:rPr>
        <w:t xml:space="preserve"> prepared for the Director-Genera</w:t>
      </w:r>
      <w:r>
        <w:rPr>
          <w:rFonts w:cs="Arial"/>
        </w:rPr>
        <w:t xml:space="preserve">l </w:t>
      </w:r>
      <w:r w:rsidR="00D13C2F">
        <w:rPr>
          <w:rFonts w:cs="Arial"/>
        </w:rPr>
        <w:t>with respect to</w:t>
      </w:r>
      <w:r>
        <w:rPr>
          <w:rFonts w:cs="Arial"/>
        </w:rPr>
        <w:t xml:space="preserve"> each</w:t>
      </w:r>
      <w:r w:rsidR="00D13C2F">
        <w:rPr>
          <w:rFonts w:cs="Arial"/>
        </w:rPr>
        <w:t xml:space="preserve"> panel</w:t>
      </w:r>
      <w:r>
        <w:rPr>
          <w:rFonts w:cs="Arial"/>
        </w:rPr>
        <w:t xml:space="preserve"> report</w:t>
      </w:r>
      <w:r w:rsidR="007B1901">
        <w:rPr>
          <w:rFonts w:cs="Arial"/>
        </w:rPr>
        <w:t>, outlining the actions the department has taken, or intends to tak</w:t>
      </w:r>
      <w:r w:rsidR="00DA348D">
        <w:rPr>
          <w:rFonts w:cs="Arial"/>
        </w:rPr>
        <w:t xml:space="preserve">e, in response to the </w:t>
      </w:r>
      <w:r w:rsidR="00962754">
        <w:rPr>
          <w:rFonts w:cs="Arial"/>
        </w:rPr>
        <w:t>report’s conclusions</w:t>
      </w:r>
      <w:r w:rsidR="00CD4E5F">
        <w:rPr>
          <w:rFonts w:cs="Arial"/>
        </w:rPr>
        <w:t xml:space="preserve"> </w:t>
      </w:r>
      <w:r w:rsidR="00962754">
        <w:rPr>
          <w:rFonts w:cs="Arial"/>
        </w:rPr>
        <w:t>and recommendations</w:t>
      </w:r>
      <w:r w:rsidR="00DA348D">
        <w:rPr>
          <w:rFonts w:cs="Arial"/>
        </w:rPr>
        <w:t>.</w:t>
      </w:r>
    </w:p>
    <w:p w:rsidR="004D5AC0" w:rsidRDefault="00FA7B29" w:rsidP="00DD5024">
      <w:pPr>
        <w:jc w:val="both"/>
        <w:rPr>
          <w:rFonts w:cs="Arial"/>
        </w:rPr>
      </w:pPr>
      <w:r>
        <w:rPr>
          <w:rFonts w:cs="Arial"/>
        </w:rPr>
        <w:t xml:space="preserve">At </w:t>
      </w:r>
      <w:r w:rsidR="00FC40A6">
        <w:rPr>
          <w:rFonts w:cs="Arial"/>
        </w:rPr>
        <w:t xml:space="preserve">the policy, </w:t>
      </w:r>
      <w:r>
        <w:rPr>
          <w:rFonts w:cs="Arial"/>
        </w:rPr>
        <w:t>practice</w:t>
      </w:r>
      <w:r w:rsidR="00FC40A6">
        <w:rPr>
          <w:rFonts w:cs="Arial"/>
        </w:rPr>
        <w:t xml:space="preserve"> and resourcing</w:t>
      </w:r>
      <w:r>
        <w:rPr>
          <w:rFonts w:cs="Arial"/>
        </w:rPr>
        <w:t xml:space="preserve"> level</w:t>
      </w:r>
      <w:r w:rsidR="00FC40A6">
        <w:rPr>
          <w:rFonts w:cs="Arial"/>
        </w:rPr>
        <w:t>s</w:t>
      </w:r>
      <w:r>
        <w:rPr>
          <w:rFonts w:cs="Arial"/>
        </w:rPr>
        <w:t xml:space="preserve">, the department </w:t>
      </w:r>
      <w:r w:rsidR="00003FBE">
        <w:rPr>
          <w:rFonts w:cs="Arial"/>
        </w:rPr>
        <w:t>is committed to r</w:t>
      </w:r>
      <w:r w:rsidR="00FF3610">
        <w:rPr>
          <w:rFonts w:cs="Arial"/>
        </w:rPr>
        <w:t>espond</w:t>
      </w:r>
      <w:r w:rsidR="00003FBE">
        <w:rPr>
          <w:rFonts w:cs="Arial"/>
        </w:rPr>
        <w:t>ing</w:t>
      </w:r>
      <w:r w:rsidR="00FF3610">
        <w:rPr>
          <w:rFonts w:cs="Arial"/>
        </w:rPr>
        <w:t xml:space="preserve"> to and act</w:t>
      </w:r>
      <w:r w:rsidR="00003FBE">
        <w:rPr>
          <w:rFonts w:cs="Arial"/>
        </w:rPr>
        <w:t>ing</w:t>
      </w:r>
      <w:r w:rsidR="00FF3610">
        <w:rPr>
          <w:rFonts w:cs="Arial"/>
        </w:rPr>
        <w:t xml:space="preserve"> on</w:t>
      </w:r>
      <w:r>
        <w:rPr>
          <w:rFonts w:cs="Arial"/>
        </w:rPr>
        <w:t xml:space="preserve"> the </w:t>
      </w:r>
      <w:r w:rsidR="00CD4E5F" w:rsidRPr="00CD4E5F">
        <w:rPr>
          <w:rFonts w:cs="Arial"/>
        </w:rPr>
        <w:t xml:space="preserve">conclusions and recommendations </w:t>
      </w:r>
      <w:r>
        <w:rPr>
          <w:rFonts w:cs="Arial"/>
        </w:rPr>
        <w:t>of panels throughout the year</w:t>
      </w:r>
      <w:r w:rsidR="00FF3610">
        <w:rPr>
          <w:rFonts w:cs="Arial"/>
        </w:rPr>
        <w:t xml:space="preserve">. </w:t>
      </w:r>
      <w:r w:rsidR="00BD3915">
        <w:rPr>
          <w:rFonts w:cs="Arial"/>
        </w:rPr>
        <w:t xml:space="preserve">Recommendations </w:t>
      </w:r>
      <w:r>
        <w:rPr>
          <w:rFonts w:cs="Arial"/>
        </w:rPr>
        <w:t xml:space="preserve">and responses </w:t>
      </w:r>
      <w:r w:rsidR="00003FBE">
        <w:rPr>
          <w:rFonts w:cs="Arial"/>
        </w:rPr>
        <w:t>actively inform</w:t>
      </w:r>
      <w:r>
        <w:rPr>
          <w:rFonts w:cs="Arial"/>
        </w:rPr>
        <w:t xml:space="preserve"> departmental ref</w:t>
      </w:r>
      <w:r w:rsidR="00467012">
        <w:rPr>
          <w:rFonts w:cs="Arial"/>
        </w:rPr>
        <w:t>orm and performance mechanisms.</w:t>
      </w:r>
      <w:r w:rsidR="00003FBE">
        <w:rPr>
          <w:rFonts w:cs="Arial"/>
        </w:rPr>
        <w:t xml:space="preserve"> Departmental actions and initiatives that have occurred in response to panel conclusions and recommendations are detailed in Chapter 4 of this report. </w:t>
      </w:r>
    </w:p>
    <w:p w:rsidR="002E7B2C" w:rsidRDefault="002E7B2C" w:rsidP="00DD5024">
      <w:pPr>
        <w:jc w:val="both"/>
        <w:rPr>
          <w:rFonts w:cs="Arial"/>
        </w:rPr>
      </w:pPr>
    </w:p>
    <w:p w:rsidR="002E7B2C" w:rsidRDefault="002E7B2C" w:rsidP="00DD5024">
      <w:pPr>
        <w:jc w:val="both"/>
        <w:rPr>
          <w:rFonts w:cs="Arial"/>
        </w:rPr>
      </w:pPr>
    </w:p>
    <w:p w:rsidR="002E7B2C" w:rsidRDefault="002E7B2C" w:rsidP="00DD5024">
      <w:pPr>
        <w:jc w:val="both"/>
        <w:rPr>
          <w:rFonts w:cs="Arial"/>
        </w:rPr>
        <w:sectPr w:rsidR="002E7B2C" w:rsidSect="00591B31">
          <w:headerReference w:type="first" r:id="rId14"/>
          <w:footerReference w:type="first" r:id="rId15"/>
          <w:pgSz w:w="11906" w:h="16838" w:code="9"/>
          <w:pgMar w:top="2098" w:right="1418" w:bottom="1418" w:left="1418" w:header="426" w:footer="450" w:gutter="0"/>
          <w:cols w:space="708"/>
          <w:titlePg/>
          <w:docGrid w:linePitch="360"/>
        </w:sectPr>
      </w:pPr>
    </w:p>
    <w:p w:rsidR="002E7B2C" w:rsidRDefault="00187F7A" w:rsidP="00DD5024">
      <w:pPr>
        <w:pStyle w:val="Heading1"/>
        <w:spacing w:before="480"/>
        <w:jc w:val="both"/>
      </w:pPr>
      <w:bookmarkStart w:id="37" w:name="_Toc524517369"/>
      <w:bookmarkStart w:id="38" w:name="_Toc424043165"/>
      <w:bookmarkStart w:id="39" w:name="_Toc424043252"/>
      <w:r w:rsidRPr="0073301E">
        <w:lastRenderedPageBreak/>
        <w:t>Chapter 1</w:t>
      </w:r>
      <w:bookmarkStart w:id="40" w:name="_Toc463343774"/>
      <w:bookmarkEnd w:id="37"/>
    </w:p>
    <w:p w:rsidR="00D46AD6" w:rsidRPr="0073301E" w:rsidRDefault="00CB101A" w:rsidP="00DD5024">
      <w:pPr>
        <w:pStyle w:val="Heading1"/>
        <w:spacing w:before="480"/>
        <w:jc w:val="both"/>
      </w:pPr>
      <w:bookmarkStart w:id="41" w:name="_Toc524517370"/>
      <w:r>
        <w:t>The</w:t>
      </w:r>
      <w:r w:rsidR="00E8719D" w:rsidRPr="0073301E">
        <w:t xml:space="preserve"> </w:t>
      </w:r>
      <w:bookmarkEnd w:id="38"/>
      <w:bookmarkEnd w:id="39"/>
      <w:r w:rsidR="001A5175">
        <w:t>r</w:t>
      </w:r>
      <w:r w:rsidR="001A5175" w:rsidRPr="0073301E">
        <w:t>eview</w:t>
      </w:r>
      <w:bookmarkEnd w:id="40"/>
      <w:r>
        <w:t xml:space="preserve"> system</w:t>
      </w:r>
      <w:bookmarkEnd w:id="41"/>
    </w:p>
    <w:p w:rsidR="004E2E90" w:rsidRPr="001A5175" w:rsidRDefault="004E2E90" w:rsidP="00DD5024">
      <w:pPr>
        <w:pStyle w:val="Heading2"/>
        <w:spacing w:before="240"/>
        <w:jc w:val="both"/>
        <w:rPr>
          <w:sz w:val="28"/>
        </w:rPr>
      </w:pPr>
      <w:bookmarkStart w:id="42" w:name="_Toc524517371"/>
      <w:r w:rsidRPr="001A5175">
        <w:rPr>
          <w:sz w:val="28"/>
        </w:rPr>
        <w:t>Background</w:t>
      </w:r>
      <w:bookmarkEnd w:id="42"/>
    </w:p>
    <w:p w:rsidR="00510A1D" w:rsidRDefault="00510A1D" w:rsidP="00DD5024">
      <w:pPr>
        <w:jc w:val="both"/>
        <w:rPr>
          <w:rFonts w:cs="Arial"/>
        </w:rPr>
      </w:pPr>
      <w:r w:rsidRPr="0073301E">
        <w:rPr>
          <w:rFonts w:cs="Arial"/>
        </w:rPr>
        <w:t>The Department of</w:t>
      </w:r>
      <w:r w:rsidR="00737DA3" w:rsidRPr="0073301E">
        <w:rPr>
          <w:rFonts w:cs="Arial"/>
        </w:rPr>
        <w:t xml:space="preserve"> </w:t>
      </w:r>
      <w:r w:rsidR="00962754">
        <w:rPr>
          <w:rFonts w:cs="Arial"/>
        </w:rPr>
        <w:t>Child Safety, Youth and Women</w:t>
      </w:r>
      <w:r w:rsidR="00737DA3" w:rsidRPr="0073301E">
        <w:rPr>
          <w:rFonts w:cs="Arial"/>
        </w:rPr>
        <w:t xml:space="preserve"> </w:t>
      </w:r>
      <w:r w:rsidR="0097294D">
        <w:rPr>
          <w:rFonts w:cs="Arial"/>
        </w:rPr>
        <w:t xml:space="preserve">(the department) </w:t>
      </w:r>
      <w:r w:rsidR="00737DA3" w:rsidRPr="0073301E">
        <w:rPr>
          <w:rFonts w:cs="Arial"/>
        </w:rPr>
        <w:t>is the statutory child protection agency in Queensland.</w:t>
      </w:r>
      <w:r w:rsidR="00636345">
        <w:rPr>
          <w:rFonts w:cs="Arial"/>
        </w:rPr>
        <w:t xml:space="preserve"> </w:t>
      </w:r>
      <w:r w:rsidR="00737DA3" w:rsidRPr="0073301E">
        <w:rPr>
          <w:rFonts w:cs="Arial"/>
        </w:rPr>
        <w:t xml:space="preserve">The </w:t>
      </w:r>
      <w:r w:rsidR="00794E1D" w:rsidRPr="0073301E">
        <w:rPr>
          <w:rFonts w:cs="Arial"/>
        </w:rPr>
        <w:t>d</w:t>
      </w:r>
      <w:r w:rsidR="00737DA3" w:rsidRPr="0073301E">
        <w:rPr>
          <w:rFonts w:cs="Arial"/>
        </w:rPr>
        <w:t xml:space="preserve">epartment works closely with other government departments, non-government agencies and the community to support families </w:t>
      </w:r>
      <w:r w:rsidR="0097294D">
        <w:rPr>
          <w:rFonts w:cs="Arial"/>
        </w:rPr>
        <w:t xml:space="preserve">or carers </w:t>
      </w:r>
      <w:r w:rsidR="00737DA3" w:rsidRPr="0073301E">
        <w:rPr>
          <w:rFonts w:cs="Arial"/>
        </w:rPr>
        <w:t>to keep children and young people safe from abuse and neglect.</w:t>
      </w:r>
    </w:p>
    <w:p w:rsidR="00DF11FA" w:rsidRDefault="00DF11FA" w:rsidP="00DD5024">
      <w:pPr>
        <w:jc w:val="both"/>
        <w:rPr>
          <w:rFonts w:cs="Arial"/>
        </w:rPr>
      </w:pPr>
      <w:r w:rsidRPr="00DF11FA">
        <w:rPr>
          <w:rFonts w:cs="Arial"/>
        </w:rPr>
        <w:t>Children ‘known to the department’ encompass</w:t>
      </w:r>
      <w:r>
        <w:rPr>
          <w:rFonts w:cs="Arial"/>
        </w:rPr>
        <w:t>es</w:t>
      </w:r>
      <w:r w:rsidRPr="00DF11FA">
        <w:rPr>
          <w:rFonts w:cs="Arial"/>
        </w:rPr>
        <w:t xml:space="preserve"> all those children who come to the attention of the department in the 12 months preceding their death or serious injury. This may include through intake processes, when concerns about abuse or neglect are recorded and assessed or when ongoing intervention occurs with a child and their family, including when a child protection order is sought.</w:t>
      </w:r>
    </w:p>
    <w:p w:rsidR="0097294D" w:rsidRPr="001A5175" w:rsidRDefault="0041221C" w:rsidP="00DD5024">
      <w:pPr>
        <w:pStyle w:val="Heading2"/>
        <w:spacing w:before="240"/>
        <w:jc w:val="both"/>
        <w:rPr>
          <w:sz w:val="28"/>
        </w:rPr>
      </w:pPr>
      <w:bookmarkStart w:id="43" w:name="_Toc524517372"/>
      <w:r>
        <w:rPr>
          <w:sz w:val="28"/>
        </w:rPr>
        <w:t>Review framework</w:t>
      </w:r>
      <w:bookmarkEnd w:id="43"/>
    </w:p>
    <w:p w:rsidR="0097294D" w:rsidRDefault="0097294D" w:rsidP="00DD5024">
      <w:pPr>
        <w:jc w:val="both"/>
        <w:rPr>
          <w:rFonts w:cs="Arial"/>
        </w:rPr>
      </w:pPr>
      <w:r w:rsidRPr="0073301E">
        <w:rPr>
          <w:rFonts w:cs="Arial"/>
        </w:rPr>
        <w:t>Since 2004, Queensland has utilised a two-tiered system for reviewing involvement with children and young people known to the department who have died.</w:t>
      </w:r>
    </w:p>
    <w:p w:rsidR="0097294D" w:rsidRDefault="0097294D" w:rsidP="00DD5024">
      <w:pPr>
        <w:jc w:val="both"/>
        <w:rPr>
          <w:rFonts w:cs="Arial"/>
        </w:rPr>
      </w:pPr>
      <w:r>
        <w:rPr>
          <w:rFonts w:cs="Arial"/>
        </w:rPr>
        <w:t>T</w:t>
      </w:r>
      <w:r w:rsidRPr="0073301E">
        <w:rPr>
          <w:rFonts w:cs="Arial"/>
        </w:rPr>
        <w:t>he department undertakes Systems and Practice Reviews of its involvement following the death or serious physical injury of a child who is known to the department in the year</w:t>
      </w:r>
      <w:r>
        <w:rPr>
          <w:rFonts w:cs="Arial"/>
        </w:rPr>
        <w:t xml:space="preserve"> prior to their injury or death</w:t>
      </w:r>
      <w:r w:rsidRPr="0073301E">
        <w:rPr>
          <w:rFonts w:cs="Arial"/>
        </w:rPr>
        <w:t>. Systems and Practice Reviews are conducted in accordance with Chapter 7A of the</w:t>
      </w:r>
      <w:r w:rsidR="009551CB">
        <w:rPr>
          <w:rFonts w:cs="Arial"/>
        </w:rPr>
        <w:t xml:space="preserve"> </w:t>
      </w:r>
      <w:r w:rsidR="00620693" w:rsidRPr="00620693">
        <w:rPr>
          <w:rFonts w:cs="Arial"/>
          <w:i/>
        </w:rPr>
        <w:t xml:space="preserve">Child Protection </w:t>
      </w:r>
      <w:r w:rsidR="008452FB" w:rsidRPr="00620693">
        <w:rPr>
          <w:rFonts w:cs="Arial"/>
          <w:i/>
        </w:rPr>
        <w:t>Act</w:t>
      </w:r>
      <w:r w:rsidR="00620693" w:rsidRPr="00620693">
        <w:rPr>
          <w:rFonts w:cs="Arial"/>
          <w:i/>
        </w:rPr>
        <w:t xml:space="preserve"> 1999</w:t>
      </w:r>
      <w:r w:rsidR="00620693">
        <w:rPr>
          <w:rFonts w:cs="Arial"/>
        </w:rPr>
        <w:t xml:space="preserve"> (the Act)</w:t>
      </w:r>
      <w:r w:rsidR="008452FB" w:rsidRPr="0073301E">
        <w:rPr>
          <w:rFonts w:cs="Arial"/>
        </w:rPr>
        <w:t>,</w:t>
      </w:r>
      <w:r w:rsidRPr="002E7B2C">
        <w:rPr>
          <w:rFonts w:cs="Arial"/>
        </w:rPr>
        <w:t xml:space="preserve"> </w:t>
      </w:r>
      <w:r w:rsidRPr="0073301E">
        <w:rPr>
          <w:rFonts w:cs="Arial"/>
        </w:rPr>
        <w:t>and focus on facilitating ongoing learning and improvement in the provision of services by the department and promoting the ac</w:t>
      </w:r>
      <w:r>
        <w:rPr>
          <w:rFonts w:cs="Arial"/>
        </w:rPr>
        <w:t>countability of the department.</w:t>
      </w:r>
    </w:p>
    <w:p w:rsidR="00FF3610" w:rsidRPr="002E7B2C" w:rsidRDefault="00FF3610" w:rsidP="00DD5024">
      <w:pPr>
        <w:jc w:val="both"/>
        <w:rPr>
          <w:rFonts w:cs="Arial"/>
        </w:rPr>
      </w:pPr>
      <w:r w:rsidRPr="002E7B2C">
        <w:rPr>
          <w:rFonts w:cs="Arial"/>
        </w:rPr>
        <w:t>The</w:t>
      </w:r>
      <w:r w:rsidR="00D34C1E" w:rsidRPr="002E7B2C">
        <w:rPr>
          <w:rFonts w:cs="Arial"/>
        </w:rPr>
        <w:t xml:space="preserve"> Act</w:t>
      </w:r>
      <w:r w:rsidRPr="002E7B2C">
        <w:rPr>
          <w:rFonts w:cs="Arial"/>
        </w:rPr>
        <w:t xml:space="preserve"> includes provisions under </w:t>
      </w:r>
      <w:r w:rsidR="00D13C2F" w:rsidRPr="00867C9D">
        <w:rPr>
          <w:rFonts w:cs="Arial"/>
        </w:rPr>
        <w:t xml:space="preserve">Chapter </w:t>
      </w:r>
      <w:r w:rsidRPr="00867C9D">
        <w:rPr>
          <w:rFonts w:cs="Arial"/>
        </w:rPr>
        <w:t>7A</w:t>
      </w:r>
      <w:r w:rsidRPr="002E7B2C">
        <w:rPr>
          <w:rFonts w:cs="Arial"/>
        </w:rPr>
        <w:t xml:space="preserve"> requiring the department to carry out a review of its involvement with any child who dies or is seriously physically injured if:</w:t>
      </w:r>
    </w:p>
    <w:p w:rsidR="00FF3610" w:rsidRPr="0073301E" w:rsidRDefault="00FF3610" w:rsidP="00DD5024">
      <w:pPr>
        <w:numPr>
          <w:ilvl w:val="0"/>
          <w:numId w:val="2"/>
        </w:numPr>
        <w:jc w:val="both"/>
        <w:rPr>
          <w:rFonts w:cs="Arial"/>
        </w:rPr>
      </w:pPr>
      <w:r w:rsidRPr="0073301E">
        <w:rPr>
          <w:rFonts w:cs="Arial"/>
        </w:rPr>
        <w:t>at the time of the child’s death or serious physical injury, the child is in the chief executi</w:t>
      </w:r>
      <w:r w:rsidR="00027AE1">
        <w:rPr>
          <w:rFonts w:cs="Arial"/>
        </w:rPr>
        <w:t>ve’s custody or guardianship</w:t>
      </w:r>
      <w:r w:rsidR="00B308FD">
        <w:rPr>
          <w:rFonts w:cs="Arial"/>
        </w:rPr>
        <w:t>,</w:t>
      </w:r>
      <w:r w:rsidR="00027AE1">
        <w:rPr>
          <w:rFonts w:cs="Arial"/>
        </w:rPr>
        <w:t xml:space="preserve"> or</w:t>
      </w:r>
    </w:p>
    <w:p w:rsidR="00FF3610" w:rsidRPr="0073301E" w:rsidRDefault="00FF3610" w:rsidP="00DD5024">
      <w:pPr>
        <w:numPr>
          <w:ilvl w:val="0"/>
          <w:numId w:val="2"/>
        </w:numPr>
        <w:jc w:val="both"/>
        <w:rPr>
          <w:rFonts w:cs="Arial"/>
        </w:rPr>
      </w:pPr>
      <w:r w:rsidRPr="0073301E">
        <w:rPr>
          <w:rFonts w:cs="Arial"/>
        </w:rPr>
        <w:t>within one year before the child’s death or serious physical injury, the chief executive became aware of alleged harm or alleged risk of harm to the child in the course of performing functions under or relating to the administration of the Act</w:t>
      </w:r>
      <w:r w:rsidR="00B308FD">
        <w:rPr>
          <w:rFonts w:cs="Arial"/>
        </w:rPr>
        <w:t>,</w:t>
      </w:r>
      <w:r>
        <w:rPr>
          <w:rFonts w:cs="Arial"/>
        </w:rPr>
        <w:t xml:space="preserve"> </w:t>
      </w:r>
      <w:r w:rsidR="00027AE1">
        <w:rPr>
          <w:rFonts w:cs="Arial"/>
        </w:rPr>
        <w:t>or</w:t>
      </w:r>
    </w:p>
    <w:p w:rsidR="00FF3610" w:rsidRPr="0073301E" w:rsidRDefault="00FF3610" w:rsidP="00DD5024">
      <w:pPr>
        <w:numPr>
          <w:ilvl w:val="0"/>
          <w:numId w:val="2"/>
        </w:numPr>
        <w:jc w:val="both"/>
        <w:rPr>
          <w:rFonts w:cs="Arial"/>
        </w:rPr>
      </w:pPr>
      <w:r w:rsidRPr="0073301E">
        <w:rPr>
          <w:rFonts w:cs="Arial"/>
        </w:rPr>
        <w:t>within one year before the child’s death or serious physical injury, the chief executive took action under the Act in relation to the child</w:t>
      </w:r>
      <w:r w:rsidR="00B308FD">
        <w:rPr>
          <w:rFonts w:cs="Arial"/>
        </w:rPr>
        <w:t>,</w:t>
      </w:r>
      <w:r>
        <w:rPr>
          <w:rFonts w:cs="Arial"/>
        </w:rPr>
        <w:t xml:space="preserve"> </w:t>
      </w:r>
      <w:r w:rsidRPr="0073301E">
        <w:rPr>
          <w:rFonts w:cs="Arial"/>
        </w:rPr>
        <w:t>or</w:t>
      </w:r>
    </w:p>
    <w:p w:rsidR="00FF3610" w:rsidRPr="0073301E" w:rsidRDefault="00FF3610" w:rsidP="00DD5024">
      <w:pPr>
        <w:numPr>
          <w:ilvl w:val="0"/>
          <w:numId w:val="2"/>
        </w:numPr>
        <w:jc w:val="both"/>
        <w:rPr>
          <w:rFonts w:cs="Arial"/>
        </w:rPr>
      </w:pPr>
      <w:r w:rsidRPr="0073301E">
        <w:rPr>
          <w:rFonts w:cs="Arial"/>
        </w:rPr>
        <w:t>the child was less than one year old at the time of death or serious physical injury and, before the child was born, the chief executive reasonably suspected the child might be in need of protection after he or she was born</w:t>
      </w:r>
      <w:r w:rsidR="00B308FD">
        <w:rPr>
          <w:rFonts w:cs="Arial"/>
        </w:rPr>
        <w:t>,</w:t>
      </w:r>
      <w:r w:rsidRPr="0073301E">
        <w:rPr>
          <w:rFonts w:cs="Arial"/>
        </w:rPr>
        <w:t xml:space="preserve"> or</w:t>
      </w:r>
    </w:p>
    <w:p w:rsidR="00FF3610" w:rsidRDefault="004E2A22" w:rsidP="00DD5024">
      <w:pPr>
        <w:numPr>
          <w:ilvl w:val="0"/>
          <w:numId w:val="2"/>
        </w:numPr>
        <w:jc w:val="both"/>
        <w:rPr>
          <w:rFonts w:cs="Arial"/>
        </w:rPr>
      </w:pPr>
      <w:r w:rsidRPr="004E2A22">
        <w:rPr>
          <w:rFonts w:cs="Arial"/>
        </w:rPr>
        <w:t>the Minister requests a review.</w:t>
      </w:r>
    </w:p>
    <w:p w:rsidR="007725F3" w:rsidRDefault="00E878FD" w:rsidP="00DD5024">
      <w:pPr>
        <w:jc w:val="both"/>
        <w:rPr>
          <w:rFonts w:cs="Arial"/>
        </w:rPr>
      </w:pPr>
      <w:r w:rsidRPr="00620693">
        <w:rPr>
          <w:rFonts w:cs="Arial"/>
        </w:rPr>
        <w:t>Systems and Practice</w:t>
      </w:r>
      <w:r w:rsidR="00FF3610" w:rsidRPr="00620693">
        <w:rPr>
          <w:rFonts w:cs="Arial"/>
        </w:rPr>
        <w:t xml:space="preserve"> Reviews may occur in addition to criminal investigations and proceedings, coronial investigations and inquests, and reviews by other agencies.</w:t>
      </w:r>
    </w:p>
    <w:p w:rsidR="00DA348D" w:rsidRDefault="00BC65C3" w:rsidP="00DD5024">
      <w:pPr>
        <w:jc w:val="both"/>
        <w:rPr>
          <w:rFonts w:cs="Arial"/>
        </w:rPr>
      </w:pPr>
      <w:r w:rsidRPr="0073301E">
        <w:rPr>
          <w:rFonts w:cs="Arial"/>
        </w:rPr>
        <w:t xml:space="preserve">Child Death Case Review Panels were established on 1 July 2014 </w:t>
      </w:r>
      <w:r>
        <w:rPr>
          <w:rFonts w:cs="Arial"/>
        </w:rPr>
        <w:t xml:space="preserve">under the </w:t>
      </w:r>
      <w:r w:rsidRPr="00620693">
        <w:rPr>
          <w:rFonts w:cs="Arial"/>
        </w:rPr>
        <w:t xml:space="preserve">Act </w:t>
      </w:r>
      <w:r w:rsidRPr="0073301E">
        <w:rPr>
          <w:rFonts w:cs="Arial"/>
        </w:rPr>
        <w:t xml:space="preserve">to replace the Child Death Case Review Committee </w:t>
      </w:r>
      <w:r>
        <w:rPr>
          <w:rFonts w:cs="Arial"/>
        </w:rPr>
        <w:t xml:space="preserve">(supported by the former Commission for Children </w:t>
      </w:r>
      <w:r>
        <w:rPr>
          <w:rFonts w:cs="Arial"/>
        </w:rPr>
        <w:lastRenderedPageBreak/>
        <w:t xml:space="preserve">and Young People and Child Guardian) </w:t>
      </w:r>
      <w:r w:rsidRPr="0073301E">
        <w:rPr>
          <w:rFonts w:cs="Arial"/>
        </w:rPr>
        <w:t xml:space="preserve">in </w:t>
      </w:r>
      <w:r>
        <w:rPr>
          <w:rFonts w:cs="Arial"/>
        </w:rPr>
        <w:t>overseeing</w:t>
      </w:r>
      <w:r w:rsidRPr="0073301E">
        <w:rPr>
          <w:rFonts w:cs="Arial"/>
        </w:rPr>
        <w:t xml:space="preserve"> the department’s reviews as recommended by the Queensland Child Protection Commission of Inquiry.</w:t>
      </w:r>
    </w:p>
    <w:p w:rsidR="00DA348D" w:rsidRPr="00620693" w:rsidRDefault="002052ED" w:rsidP="00DD5024">
      <w:pPr>
        <w:jc w:val="both"/>
        <w:rPr>
          <w:rFonts w:cs="Arial"/>
        </w:rPr>
      </w:pPr>
      <w:r w:rsidRPr="00620693">
        <w:rPr>
          <w:rFonts w:cs="Arial"/>
        </w:rPr>
        <w:t xml:space="preserve">As of </w:t>
      </w:r>
      <w:r w:rsidR="00B244EC" w:rsidRPr="00620693">
        <w:rPr>
          <w:rFonts w:cs="Arial"/>
        </w:rPr>
        <w:t xml:space="preserve">1 July 2016, </w:t>
      </w:r>
      <w:r w:rsidR="00D57187" w:rsidRPr="00620693">
        <w:rPr>
          <w:rFonts w:cs="Arial"/>
        </w:rPr>
        <w:t xml:space="preserve">pursuant to </w:t>
      </w:r>
      <w:r w:rsidR="001D3103" w:rsidRPr="00620693">
        <w:rPr>
          <w:rFonts w:cs="Arial"/>
        </w:rPr>
        <w:t>t</w:t>
      </w:r>
      <w:r w:rsidR="00FF3610" w:rsidRPr="00620693">
        <w:rPr>
          <w:rFonts w:cs="Arial"/>
        </w:rPr>
        <w:t xml:space="preserve">he </w:t>
      </w:r>
      <w:r w:rsidR="008C3A8B" w:rsidRPr="00620693">
        <w:rPr>
          <w:rFonts w:cs="Arial"/>
        </w:rPr>
        <w:t>Act</w:t>
      </w:r>
      <w:r w:rsidR="00A70D71">
        <w:rPr>
          <w:rFonts w:cs="Arial"/>
        </w:rPr>
        <w:t>,</w:t>
      </w:r>
      <w:r w:rsidR="00FF3610" w:rsidRPr="00620693">
        <w:rPr>
          <w:rFonts w:cs="Arial"/>
        </w:rPr>
        <w:t xml:space="preserve"> the Director of Child Protection Litigation</w:t>
      </w:r>
      <w:r w:rsidR="00846C41">
        <w:rPr>
          <w:rFonts w:cs="Arial"/>
        </w:rPr>
        <w:t xml:space="preserve"> (in the Department of Justice and Attorney-General)</w:t>
      </w:r>
      <w:r w:rsidR="00FF3610" w:rsidRPr="00620693">
        <w:rPr>
          <w:rFonts w:cs="Arial"/>
        </w:rPr>
        <w:t xml:space="preserve"> </w:t>
      </w:r>
      <w:r w:rsidR="00D57187" w:rsidRPr="00620693">
        <w:rPr>
          <w:rFonts w:cs="Arial"/>
        </w:rPr>
        <w:t xml:space="preserve">is required </w:t>
      </w:r>
      <w:r w:rsidR="00FF3610" w:rsidRPr="00620693">
        <w:rPr>
          <w:rFonts w:cs="Arial"/>
        </w:rPr>
        <w:t xml:space="preserve">to conduct an internal review on matters where a child has died or suffered a serious injury and the Director of Child Protection Litigation </w:t>
      </w:r>
      <w:r w:rsidR="00660DDC">
        <w:rPr>
          <w:rFonts w:cs="Arial"/>
        </w:rPr>
        <w:t>had</w:t>
      </w:r>
      <w:r w:rsidR="00660DDC" w:rsidRPr="00620693">
        <w:rPr>
          <w:rFonts w:cs="Arial"/>
        </w:rPr>
        <w:t xml:space="preserve"> </w:t>
      </w:r>
      <w:r w:rsidR="00FF3610" w:rsidRPr="00620693">
        <w:rPr>
          <w:rFonts w:cs="Arial"/>
        </w:rPr>
        <w:t xml:space="preserve">performed </w:t>
      </w:r>
      <w:r w:rsidR="00660DDC">
        <w:rPr>
          <w:rFonts w:cs="Arial"/>
        </w:rPr>
        <w:t xml:space="preserve">or was performing </w:t>
      </w:r>
      <w:r w:rsidR="00FF3610" w:rsidRPr="00620693">
        <w:rPr>
          <w:rFonts w:cs="Arial"/>
        </w:rPr>
        <w:t>a litigation function in relation to the child within one year before</w:t>
      </w:r>
      <w:r w:rsidR="00660DDC">
        <w:rPr>
          <w:rFonts w:cs="Arial"/>
        </w:rPr>
        <w:t>, or at the time of,</w:t>
      </w:r>
      <w:r w:rsidR="00FF3610" w:rsidRPr="00620693">
        <w:rPr>
          <w:rFonts w:cs="Arial"/>
        </w:rPr>
        <w:t xml:space="preserve"> the child’s death or serious injury</w:t>
      </w:r>
      <w:r w:rsidR="00FF3610" w:rsidRPr="00620693">
        <w:rPr>
          <w:rFonts w:cs="Arial"/>
          <w:vertAlign w:val="superscript"/>
        </w:rPr>
        <w:footnoteReference w:id="2"/>
      </w:r>
      <w:r w:rsidR="00620693">
        <w:rPr>
          <w:rFonts w:cs="Arial"/>
        </w:rPr>
        <w:t>.</w:t>
      </w:r>
      <w:r w:rsidR="001C659E" w:rsidRPr="00620693">
        <w:rPr>
          <w:rFonts w:cs="Arial"/>
        </w:rPr>
        <w:t xml:space="preserve"> The review by the Director of Child Protection Litigation is then reviewed </w:t>
      </w:r>
      <w:r w:rsidR="001D3103" w:rsidRPr="00620693">
        <w:rPr>
          <w:rFonts w:cs="Arial"/>
        </w:rPr>
        <w:t xml:space="preserve">together with the associated Systems and Practice Review </w:t>
      </w:r>
      <w:r w:rsidR="001C659E" w:rsidRPr="00620693">
        <w:rPr>
          <w:rFonts w:cs="Arial"/>
        </w:rPr>
        <w:t xml:space="preserve">by the </w:t>
      </w:r>
      <w:bookmarkStart w:id="44" w:name="_Toc424043167"/>
      <w:bookmarkStart w:id="45" w:name="_Toc424043254"/>
      <w:bookmarkStart w:id="46" w:name="_Toc424043170"/>
      <w:bookmarkStart w:id="47" w:name="_Toc424043257"/>
      <w:r w:rsidR="00620693">
        <w:rPr>
          <w:rFonts w:cs="Arial"/>
        </w:rPr>
        <w:t>Child Death Case Review Panels.</w:t>
      </w:r>
    </w:p>
    <w:p w:rsidR="00A609FD" w:rsidRPr="00294067" w:rsidRDefault="0041221C" w:rsidP="00DD5024">
      <w:pPr>
        <w:pStyle w:val="Heading2"/>
        <w:spacing w:before="240"/>
        <w:jc w:val="both"/>
        <w:rPr>
          <w:sz w:val="28"/>
        </w:rPr>
      </w:pPr>
      <w:bookmarkStart w:id="48" w:name="_Toc524517373"/>
      <w:r>
        <w:rPr>
          <w:sz w:val="28"/>
        </w:rPr>
        <w:t xml:space="preserve">Tier 1: </w:t>
      </w:r>
      <w:r w:rsidR="0097294D">
        <w:rPr>
          <w:sz w:val="28"/>
        </w:rPr>
        <w:t>Internal S</w:t>
      </w:r>
      <w:r w:rsidR="00A609FD" w:rsidRPr="00294067">
        <w:rPr>
          <w:sz w:val="28"/>
        </w:rPr>
        <w:t>ystems and Practice Review</w:t>
      </w:r>
      <w:bookmarkEnd w:id="44"/>
      <w:bookmarkEnd w:id="45"/>
      <w:r w:rsidR="00FF3610">
        <w:rPr>
          <w:sz w:val="28"/>
        </w:rPr>
        <w:t>s</w:t>
      </w:r>
      <w:bookmarkEnd w:id="48"/>
    </w:p>
    <w:p w:rsidR="00A609FD" w:rsidRDefault="00A609FD" w:rsidP="00DD5024">
      <w:pPr>
        <w:jc w:val="both"/>
        <w:rPr>
          <w:rFonts w:cs="Arial"/>
        </w:rPr>
      </w:pPr>
      <w:r w:rsidRPr="0073301E">
        <w:rPr>
          <w:rFonts w:cs="Arial"/>
        </w:rPr>
        <w:t>The department takes the death and serious physical injury of any child or young person seriously and seeks, through its review process, to identify opportunities to improve child protection service delivery to Queensland’s children and young people.</w:t>
      </w:r>
      <w:r w:rsidR="00350786">
        <w:rPr>
          <w:rFonts w:cs="Arial"/>
        </w:rPr>
        <w:t xml:space="preserve"> </w:t>
      </w:r>
      <w:r w:rsidRPr="0073301E">
        <w:rPr>
          <w:rFonts w:cs="Arial"/>
        </w:rPr>
        <w:t>The department is responsible for undertaking a</w:t>
      </w:r>
      <w:r w:rsidR="00BC27BA">
        <w:rPr>
          <w:rFonts w:cs="Arial"/>
        </w:rPr>
        <w:t>n internal</w:t>
      </w:r>
      <w:r w:rsidRPr="0073301E">
        <w:rPr>
          <w:rFonts w:cs="Arial"/>
        </w:rPr>
        <w:t xml:space="preserve"> Systems and Practice Review of its involvement with children and young people who have died or suffered a serious physical injury. The department’s review is the first tier of Queensland’s two</w:t>
      </w:r>
      <w:r w:rsidR="00350786">
        <w:rPr>
          <w:rFonts w:cs="Arial"/>
        </w:rPr>
        <w:t>-</w:t>
      </w:r>
      <w:r w:rsidRPr="0073301E">
        <w:rPr>
          <w:rFonts w:cs="Arial"/>
        </w:rPr>
        <w:t>tiere</w:t>
      </w:r>
      <w:r w:rsidR="00C8565A">
        <w:rPr>
          <w:rFonts w:cs="Arial"/>
        </w:rPr>
        <w:t>d case review system.</w:t>
      </w:r>
    </w:p>
    <w:bookmarkEnd w:id="46"/>
    <w:bookmarkEnd w:id="47"/>
    <w:p w:rsidR="00961A42" w:rsidRDefault="0071325D" w:rsidP="00DD5024">
      <w:pPr>
        <w:jc w:val="both"/>
        <w:rPr>
          <w:rFonts w:cs="Arial"/>
        </w:rPr>
      </w:pPr>
      <w:r w:rsidRPr="0073301E">
        <w:rPr>
          <w:rFonts w:cs="Arial"/>
        </w:rPr>
        <w:t>The purpose of the review is to facilitate ongoing learning and improvement in the provision of services by the department and to promote the accountability of the departm</w:t>
      </w:r>
      <w:r w:rsidR="00045A28" w:rsidRPr="0073301E">
        <w:rPr>
          <w:rFonts w:cs="Arial"/>
        </w:rPr>
        <w:t>ent.</w:t>
      </w:r>
      <w:r w:rsidR="00952952">
        <w:rPr>
          <w:rFonts w:cs="Arial"/>
        </w:rPr>
        <w:t xml:space="preserve"> </w:t>
      </w:r>
      <w:r w:rsidR="00C851F7" w:rsidRPr="0073301E">
        <w:rPr>
          <w:rFonts w:cs="Arial"/>
        </w:rPr>
        <w:t>A Systems and Practice Review seeks out learning and development opportunities for continuously improving the child protection system. To achieve this, the reviews are transparent, inclusive and constructively focused on systems and practice improvements for children.</w:t>
      </w:r>
      <w:bookmarkStart w:id="49" w:name="_Toc424043172"/>
      <w:bookmarkStart w:id="50" w:name="_Toc424043259"/>
    </w:p>
    <w:bookmarkEnd w:id="49"/>
    <w:bookmarkEnd w:id="50"/>
    <w:p w:rsidR="00C851F7" w:rsidRDefault="00C851F7" w:rsidP="00DD5024">
      <w:pPr>
        <w:jc w:val="both"/>
        <w:rPr>
          <w:rFonts w:cs="Arial"/>
        </w:rPr>
      </w:pPr>
      <w:r w:rsidRPr="0073301E">
        <w:rPr>
          <w:rFonts w:cs="Arial"/>
        </w:rPr>
        <w:t>The term of reference</w:t>
      </w:r>
      <w:r w:rsidR="00216B82" w:rsidRPr="0073301E">
        <w:rPr>
          <w:rFonts w:cs="Arial"/>
        </w:rPr>
        <w:t xml:space="preserve"> </w:t>
      </w:r>
      <w:r w:rsidRPr="0073301E">
        <w:rPr>
          <w:rFonts w:cs="Arial"/>
        </w:rPr>
        <w:t>for reviews is to:</w:t>
      </w:r>
    </w:p>
    <w:p w:rsidR="00C851F7" w:rsidRDefault="00C851F7" w:rsidP="00DD5024">
      <w:pPr>
        <w:tabs>
          <w:tab w:val="right" w:pos="9180"/>
        </w:tabs>
        <w:ind w:left="630" w:right="548"/>
        <w:jc w:val="both"/>
        <w:rPr>
          <w:rFonts w:cs="Arial"/>
          <w:i/>
          <w:iCs/>
        </w:rPr>
      </w:pPr>
      <w:r w:rsidRPr="0073301E">
        <w:rPr>
          <w:rFonts w:cs="Arial"/>
          <w:i/>
          <w:iCs/>
        </w:rPr>
        <w:t xml:space="preserve">Review Department of </w:t>
      </w:r>
      <w:r w:rsidR="00721728">
        <w:rPr>
          <w:rFonts w:cs="Arial"/>
          <w:i/>
          <w:iCs/>
        </w:rPr>
        <w:t>Child Safety, Youth and Women’s</w:t>
      </w:r>
      <w:r w:rsidRPr="0073301E">
        <w:rPr>
          <w:rFonts w:cs="Arial"/>
          <w:i/>
          <w:iCs/>
        </w:rPr>
        <w:t xml:space="preserve"> service</w:t>
      </w:r>
      <w:r w:rsidR="001542D0" w:rsidRPr="0073301E">
        <w:rPr>
          <w:rFonts w:cs="Arial"/>
          <w:i/>
          <w:iCs/>
        </w:rPr>
        <w:t xml:space="preserve"> </w:t>
      </w:r>
      <w:r w:rsidRPr="0073301E">
        <w:rPr>
          <w:rFonts w:cs="Arial"/>
          <w:i/>
          <w:iCs/>
        </w:rPr>
        <w:t xml:space="preserve">delivery to the Subject Child under the Child Protection Act 1999 in the </w:t>
      </w:r>
      <w:r w:rsidR="00BC65C3">
        <w:rPr>
          <w:rFonts w:cs="Arial"/>
          <w:i/>
          <w:iCs/>
        </w:rPr>
        <w:t>year</w:t>
      </w:r>
      <w:r w:rsidRPr="0073301E">
        <w:rPr>
          <w:rFonts w:cs="Arial"/>
          <w:i/>
          <w:iCs/>
        </w:rPr>
        <w:t xml:space="preserve"> prior to the child’s injury or death with a focus on ensuring continuous improvement of service delivery, public accountability and improved outcomes for children.</w:t>
      </w:r>
    </w:p>
    <w:p w:rsidR="007951A3" w:rsidRDefault="007951A3" w:rsidP="00DD5024">
      <w:pPr>
        <w:jc w:val="both"/>
        <w:rPr>
          <w:rFonts w:cs="Arial"/>
        </w:rPr>
      </w:pPr>
      <w:r>
        <w:rPr>
          <w:rFonts w:cs="Arial"/>
        </w:rPr>
        <w:t xml:space="preserve">For serious physical injury reviews, the Systems and Practice Review will also consider the injury event and analyse service delivery factors that may have helped to prevent the injury. </w:t>
      </w:r>
    </w:p>
    <w:p w:rsidR="0097294D" w:rsidRPr="00027AE1" w:rsidRDefault="00C851F7" w:rsidP="00DD5024">
      <w:pPr>
        <w:jc w:val="both"/>
        <w:rPr>
          <w:rFonts w:cs="Arial"/>
        </w:rPr>
      </w:pPr>
      <w:r w:rsidRPr="0073301E">
        <w:rPr>
          <w:rFonts w:cs="Arial"/>
        </w:rPr>
        <w:t>For Aboriginal and Torres Strait Islander children, the S</w:t>
      </w:r>
      <w:r w:rsidR="00045A28" w:rsidRPr="0073301E">
        <w:rPr>
          <w:rFonts w:cs="Arial"/>
        </w:rPr>
        <w:t xml:space="preserve">ystems and </w:t>
      </w:r>
      <w:r w:rsidRPr="0073301E">
        <w:rPr>
          <w:rFonts w:cs="Arial"/>
        </w:rPr>
        <w:t>P</w:t>
      </w:r>
      <w:r w:rsidR="00045A28" w:rsidRPr="0073301E">
        <w:rPr>
          <w:rFonts w:cs="Arial"/>
        </w:rPr>
        <w:t xml:space="preserve">ractice </w:t>
      </w:r>
      <w:r w:rsidRPr="0073301E">
        <w:rPr>
          <w:rFonts w:cs="Arial"/>
        </w:rPr>
        <w:t>R</w:t>
      </w:r>
      <w:r w:rsidR="00045A28" w:rsidRPr="0073301E">
        <w:rPr>
          <w:rFonts w:cs="Arial"/>
        </w:rPr>
        <w:t>eview</w:t>
      </w:r>
      <w:r w:rsidRPr="0073301E">
        <w:rPr>
          <w:rFonts w:cs="Arial"/>
        </w:rPr>
        <w:t xml:space="preserve"> will also consider whether </w:t>
      </w:r>
      <w:r w:rsidR="00FF3610">
        <w:rPr>
          <w:rFonts w:cs="Arial"/>
        </w:rPr>
        <w:t>the</w:t>
      </w:r>
      <w:r w:rsidRPr="0073301E">
        <w:rPr>
          <w:rFonts w:cs="Arial"/>
        </w:rPr>
        <w:t xml:space="preserve"> child receive</w:t>
      </w:r>
      <w:r w:rsidR="00FF3610">
        <w:rPr>
          <w:rFonts w:cs="Arial"/>
        </w:rPr>
        <w:t>d</w:t>
      </w:r>
      <w:r w:rsidRPr="0073301E">
        <w:rPr>
          <w:rFonts w:cs="Arial"/>
        </w:rPr>
        <w:t xml:space="preserve"> services in a culturally appropriate manner.</w:t>
      </w:r>
    </w:p>
    <w:p w:rsidR="0050383F" w:rsidRPr="00027AE1" w:rsidRDefault="00453A39" w:rsidP="00DD5024">
      <w:pPr>
        <w:jc w:val="both"/>
        <w:rPr>
          <w:rFonts w:cs="Arial"/>
        </w:rPr>
      </w:pPr>
      <w:r w:rsidRPr="00027AE1">
        <w:rPr>
          <w:rFonts w:cs="Arial"/>
        </w:rPr>
        <w:t>The Systems and Practice Review Committee</w:t>
      </w:r>
      <w:r w:rsidR="00B61516" w:rsidRPr="00027AE1">
        <w:rPr>
          <w:rFonts w:cs="Arial"/>
        </w:rPr>
        <w:t xml:space="preserve"> </w:t>
      </w:r>
      <w:r w:rsidR="006B73B9" w:rsidRPr="00027AE1">
        <w:rPr>
          <w:rFonts w:cs="Arial"/>
        </w:rPr>
        <w:t xml:space="preserve">oversees </w:t>
      </w:r>
      <w:r w:rsidRPr="00027AE1">
        <w:rPr>
          <w:rFonts w:cs="Arial"/>
        </w:rPr>
        <w:t xml:space="preserve">Systems and Practice Review outcomes and has responsibility for </w:t>
      </w:r>
      <w:r w:rsidR="009434DE">
        <w:rPr>
          <w:rFonts w:cs="Arial"/>
        </w:rPr>
        <w:t xml:space="preserve">identifying learnings and </w:t>
      </w:r>
      <w:r w:rsidRPr="00027AE1">
        <w:rPr>
          <w:rFonts w:cs="Arial"/>
        </w:rPr>
        <w:t xml:space="preserve">making recommendations in Systems and Practice Review reports. </w:t>
      </w:r>
      <w:r w:rsidR="0050383F" w:rsidRPr="00027AE1">
        <w:rPr>
          <w:rFonts w:cs="Arial"/>
        </w:rPr>
        <w:t>The committee considers all Systems and Practice Reviews prior to</w:t>
      </w:r>
      <w:r w:rsidR="00460E55" w:rsidRPr="00027AE1">
        <w:rPr>
          <w:rFonts w:cs="Arial"/>
        </w:rPr>
        <w:t xml:space="preserve"> them</w:t>
      </w:r>
      <w:r w:rsidR="0050383F" w:rsidRPr="00027AE1">
        <w:rPr>
          <w:rFonts w:cs="Arial"/>
        </w:rPr>
        <w:t xml:space="preserve"> being finalised and provided to the Child Death Case Review Panel Secretariat.</w:t>
      </w:r>
    </w:p>
    <w:p w:rsidR="002A0C29" w:rsidRPr="00620693" w:rsidRDefault="00166E63" w:rsidP="00DD5024">
      <w:pPr>
        <w:jc w:val="both"/>
        <w:rPr>
          <w:rFonts w:cs="Arial"/>
        </w:rPr>
      </w:pPr>
      <w:r w:rsidRPr="00620693">
        <w:rPr>
          <w:rFonts w:cs="Arial"/>
        </w:rPr>
        <w:t>The committee</w:t>
      </w:r>
      <w:r w:rsidR="00D11468" w:rsidRPr="00620693">
        <w:rPr>
          <w:rFonts w:cs="Arial"/>
        </w:rPr>
        <w:t xml:space="preserve"> is chaired by </w:t>
      </w:r>
      <w:r w:rsidR="00EF7C23" w:rsidRPr="00620693">
        <w:rPr>
          <w:rFonts w:cs="Arial"/>
        </w:rPr>
        <w:t xml:space="preserve">the </w:t>
      </w:r>
      <w:r w:rsidR="00D11468" w:rsidRPr="00620693">
        <w:rPr>
          <w:rFonts w:cs="Arial"/>
        </w:rPr>
        <w:t xml:space="preserve">Executive Director, </w:t>
      </w:r>
      <w:r w:rsidR="00BC65C3" w:rsidRPr="00620693">
        <w:rPr>
          <w:rFonts w:cs="Arial"/>
        </w:rPr>
        <w:t>Practice Connect</w:t>
      </w:r>
      <w:r w:rsidR="006B73B9" w:rsidRPr="00620693">
        <w:rPr>
          <w:rFonts w:cs="Arial"/>
        </w:rPr>
        <w:t>,</w:t>
      </w:r>
      <w:r w:rsidR="00D11468" w:rsidRPr="00620693">
        <w:rPr>
          <w:rFonts w:cs="Arial"/>
        </w:rPr>
        <w:t xml:space="preserve"> and </w:t>
      </w:r>
      <w:r w:rsidRPr="00620693">
        <w:rPr>
          <w:rFonts w:cs="Arial"/>
        </w:rPr>
        <w:t>has membership from across key</w:t>
      </w:r>
      <w:r w:rsidR="002A0C29" w:rsidRPr="00620693">
        <w:rPr>
          <w:rFonts w:cs="Arial"/>
        </w:rPr>
        <w:t xml:space="preserve"> departmental areas</w:t>
      </w:r>
      <w:r w:rsidR="00AB0AAB">
        <w:rPr>
          <w:rFonts w:cs="Arial"/>
        </w:rPr>
        <w:t>,</w:t>
      </w:r>
      <w:r w:rsidR="002A0C29" w:rsidRPr="00620693">
        <w:rPr>
          <w:rFonts w:cs="Arial"/>
        </w:rPr>
        <w:t xml:space="preserve"> including:</w:t>
      </w:r>
    </w:p>
    <w:p w:rsidR="002A0C29" w:rsidRPr="00AB5F28" w:rsidRDefault="00027AE1" w:rsidP="00DD5024">
      <w:pPr>
        <w:numPr>
          <w:ilvl w:val="0"/>
          <w:numId w:val="2"/>
        </w:numPr>
        <w:jc w:val="both"/>
        <w:rPr>
          <w:rFonts w:cs="Arial"/>
        </w:rPr>
      </w:pPr>
      <w:r w:rsidRPr="00AB5F28">
        <w:rPr>
          <w:rFonts w:cs="Arial"/>
        </w:rPr>
        <w:t>Workforce Capability</w:t>
      </w:r>
    </w:p>
    <w:p w:rsidR="002A0C29" w:rsidRPr="00AB5F28" w:rsidRDefault="00890D59" w:rsidP="00DD5024">
      <w:pPr>
        <w:numPr>
          <w:ilvl w:val="0"/>
          <w:numId w:val="2"/>
        </w:numPr>
        <w:jc w:val="both"/>
        <w:rPr>
          <w:rFonts w:cs="Arial"/>
        </w:rPr>
      </w:pPr>
      <w:r w:rsidRPr="00AB5F28">
        <w:rPr>
          <w:rFonts w:cs="Arial"/>
        </w:rPr>
        <w:t>Practice</w:t>
      </w:r>
      <w:r w:rsidR="00867C9D">
        <w:rPr>
          <w:rFonts w:cs="Arial"/>
        </w:rPr>
        <w:t xml:space="preserve"> Advice and</w:t>
      </w:r>
      <w:r w:rsidRPr="00AB5F28">
        <w:rPr>
          <w:rFonts w:cs="Arial"/>
        </w:rPr>
        <w:t xml:space="preserve"> Support</w:t>
      </w:r>
    </w:p>
    <w:p w:rsidR="002A0C29" w:rsidRPr="00AB5F28" w:rsidRDefault="002A0C29" w:rsidP="00DD5024">
      <w:pPr>
        <w:numPr>
          <w:ilvl w:val="0"/>
          <w:numId w:val="2"/>
        </w:numPr>
        <w:jc w:val="both"/>
        <w:rPr>
          <w:rFonts w:cs="Arial"/>
        </w:rPr>
      </w:pPr>
      <w:r w:rsidRPr="00AB5F28">
        <w:rPr>
          <w:rFonts w:cs="Arial"/>
        </w:rPr>
        <w:t>Review</w:t>
      </w:r>
      <w:r w:rsidR="00620693">
        <w:rPr>
          <w:rFonts w:cs="Arial"/>
        </w:rPr>
        <w:t xml:space="preserve"> </w:t>
      </w:r>
    </w:p>
    <w:p w:rsidR="002A0C29" w:rsidRPr="00AB5F28" w:rsidRDefault="00867C9D" w:rsidP="00DD5024">
      <w:pPr>
        <w:numPr>
          <w:ilvl w:val="0"/>
          <w:numId w:val="2"/>
        </w:numPr>
        <w:jc w:val="both"/>
        <w:rPr>
          <w:rFonts w:cs="Arial"/>
        </w:rPr>
      </w:pPr>
      <w:r>
        <w:rPr>
          <w:rFonts w:cs="Arial"/>
        </w:rPr>
        <w:t>Operational Support</w:t>
      </w:r>
    </w:p>
    <w:p w:rsidR="00D11468" w:rsidRPr="00AB5F28" w:rsidRDefault="007A7266" w:rsidP="00DD5024">
      <w:pPr>
        <w:numPr>
          <w:ilvl w:val="0"/>
          <w:numId w:val="2"/>
        </w:numPr>
        <w:jc w:val="both"/>
        <w:rPr>
          <w:rFonts w:cs="Arial"/>
        </w:rPr>
      </w:pPr>
      <w:r w:rsidRPr="00AB5F28">
        <w:rPr>
          <w:rFonts w:cs="Arial"/>
        </w:rPr>
        <w:lastRenderedPageBreak/>
        <w:t>Aboriginal and Torres Strait Islander Child Famil</w:t>
      </w:r>
      <w:r w:rsidR="00867C9D">
        <w:rPr>
          <w:rFonts w:cs="Arial"/>
        </w:rPr>
        <w:t>ies</w:t>
      </w:r>
    </w:p>
    <w:p w:rsidR="002A0C29" w:rsidRPr="00AB5F28" w:rsidRDefault="00D11468" w:rsidP="00DD5024">
      <w:pPr>
        <w:numPr>
          <w:ilvl w:val="0"/>
          <w:numId w:val="2"/>
        </w:numPr>
        <w:jc w:val="both"/>
        <w:rPr>
          <w:rFonts w:cs="Arial"/>
        </w:rPr>
      </w:pPr>
      <w:r w:rsidRPr="00AB5F28">
        <w:rPr>
          <w:rFonts w:cs="Arial"/>
        </w:rPr>
        <w:t xml:space="preserve">Violence </w:t>
      </w:r>
      <w:r w:rsidR="00867C9D">
        <w:rPr>
          <w:rFonts w:cs="Arial"/>
        </w:rPr>
        <w:t>Prevention</w:t>
      </w:r>
    </w:p>
    <w:p w:rsidR="00AB0AAB" w:rsidRPr="00067900" w:rsidRDefault="006B73B9" w:rsidP="00DD5024">
      <w:pPr>
        <w:numPr>
          <w:ilvl w:val="0"/>
          <w:numId w:val="2"/>
        </w:numPr>
        <w:jc w:val="both"/>
        <w:rPr>
          <w:rFonts w:cs="Arial"/>
        </w:rPr>
      </w:pPr>
      <w:r w:rsidRPr="00AB5F28">
        <w:rPr>
          <w:rFonts w:cs="Arial"/>
        </w:rPr>
        <w:t xml:space="preserve">the </w:t>
      </w:r>
      <w:r w:rsidR="0037799B" w:rsidRPr="00AB5F28">
        <w:rPr>
          <w:rFonts w:cs="Arial"/>
        </w:rPr>
        <w:t>R</w:t>
      </w:r>
      <w:r w:rsidR="00166E63" w:rsidRPr="00AB5F28">
        <w:rPr>
          <w:rFonts w:cs="Arial"/>
        </w:rPr>
        <w:t xml:space="preserve">egional </w:t>
      </w:r>
      <w:r w:rsidR="0037799B" w:rsidRPr="00AB5F28">
        <w:rPr>
          <w:rFonts w:cs="Arial"/>
        </w:rPr>
        <w:t>D</w:t>
      </w:r>
      <w:r w:rsidR="00166E63" w:rsidRPr="00AB5F28">
        <w:rPr>
          <w:rFonts w:cs="Arial"/>
        </w:rPr>
        <w:t>irector</w:t>
      </w:r>
      <w:r w:rsidR="00A03B16" w:rsidRPr="00AB5F28">
        <w:rPr>
          <w:rFonts w:cs="Arial"/>
        </w:rPr>
        <w:t>/s</w:t>
      </w:r>
      <w:r w:rsidR="00166E63" w:rsidRPr="00AB5F28">
        <w:rPr>
          <w:rFonts w:cs="Arial"/>
        </w:rPr>
        <w:t xml:space="preserve"> for each review being discussed.</w:t>
      </w:r>
    </w:p>
    <w:p w:rsidR="00453A39" w:rsidRPr="00620693" w:rsidRDefault="00453A39" w:rsidP="00DD5024">
      <w:pPr>
        <w:jc w:val="both"/>
        <w:rPr>
          <w:rFonts w:cs="Arial"/>
        </w:rPr>
      </w:pPr>
      <w:r w:rsidRPr="00620693">
        <w:rPr>
          <w:rFonts w:cs="Arial"/>
        </w:rPr>
        <w:t xml:space="preserve">The </w:t>
      </w:r>
      <w:r w:rsidR="00027AE1" w:rsidRPr="00620693">
        <w:rPr>
          <w:rFonts w:cs="Arial"/>
        </w:rPr>
        <w:t>S</w:t>
      </w:r>
      <w:r w:rsidR="00B77676">
        <w:rPr>
          <w:rFonts w:cs="Arial"/>
        </w:rPr>
        <w:t xml:space="preserve">ystems and </w:t>
      </w:r>
      <w:r w:rsidR="00027AE1" w:rsidRPr="00620693">
        <w:rPr>
          <w:rFonts w:cs="Arial"/>
        </w:rPr>
        <w:t>P</w:t>
      </w:r>
      <w:r w:rsidR="00B77676">
        <w:rPr>
          <w:rFonts w:cs="Arial"/>
        </w:rPr>
        <w:t xml:space="preserve">ractice </w:t>
      </w:r>
      <w:r w:rsidR="00027AE1" w:rsidRPr="00620693">
        <w:rPr>
          <w:rFonts w:cs="Arial"/>
        </w:rPr>
        <w:t>R</w:t>
      </w:r>
      <w:r w:rsidR="00B77676">
        <w:rPr>
          <w:rFonts w:cs="Arial"/>
        </w:rPr>
        <w:t xml:space="preserve">eview </w:t>
      </w:r>
      <w:r w:rsidR="00A73B53" w:rsidRPr="00620693">
        <w:rPr>
          <w:rFonts w:cs="Arial"/>
        </w:rPr>
        <w:t>C</w:t>
      </w:r>
      <w:r w:rsidR="00A73B53">
        <w:rPr>
          <w:rFonts w:cs="Arial"/>
        </w:rPr>
        <w:t>ommittee</w:t>
      </w:r>
      <w:r w:rsidRPr="00620693">
        <w:rPr>
          <w:rFonts w:cs="Arial"/>
        </w:rPr>
        <w:t xml:space="preserve"> </w:t>
      </w:r>
      <w:r w:rsidR="006B73B9" w:rsidRPr="00620693">
        <w:rPr>
          <w:rFonts w:cs="Arial"/>
        </w:rPr>
        <w:t xml:space="preserve">uses </w:t>
      </w:r>
      <w:r w:rsidRPr="00620693">
        <w:rPr>
          <w:rFonts w:cs="Arial"/>
        </w:rPr>
        <w:t>the following terms of reference when considering Systems and Practice Reviews:</w:t>
      </w:r>
    </w:p>
    <w:p w:rsidR="00453A39" w:rsidRPr="000B36F9" w:rsidRDefault="00642B6D" w:rsidP="00DD5024">
      <w:pPr>
        <w:numPr>
          <w:ilvl w:val="0"/>
          <w:numId w:val="2"/>
        </w:numPr>
        <w:jc w:val="both"/>
        <w:rPr>
          <w:rFonts w:cs="Arial"/>
        </w:rPr>
      </w:pPr>
      <w:r w:rsidRPr="000B36F9">
        <w:rPr>
          <w:rFonts w:cs="Arial"/>
        </w:rPr>
        <w:t>w</w:t>
      </w:r>
      <w:r w:rsidR="00453A39" w:rsidRPr="000B36F9">
        <w:rPr>
          <w:rFonts w:cs="Arial"/>
        </w:rPr>
        <w:t>hether there is a link between the department’s practice or decisions and the serious physical injury or death of the chil</w:t>
      </w:r>
      <w:r w:rsidR="006B73B9" w:rsidRPr="000B36F9">
        <w:rPr>
          <w:rFonts w:cs="Arial"/>
        </w:rPr>
        <w:t>d</w:t>
      </w:r>
    </w:p>
    <w:p w:rsidR="00453A39" w:rsidRPr="000B36F9" w:rsidRDefault="00642B6D" w:rsidP="00DD5024">
      <w:pPr>
        <w:numPr>
          <w:ilvl w:val="0"/>
          <w:numId w:val="2"/>
        </w:numPr>
        <w:jc w:val="both"/>
        <w:rPr>
          <w:rFonts w:cs="Arial"/>
        </w:rPr>
      </w:pPr>
      <w:r w:rsidRPr="000B36F9">
        <w:rPr>
          <w:rFonts w:cs="Arial"/>
        </w:rPr>
        <w:t>t</w:t>
      </w:r>
      <w:r w:rsidR="00453A39" w:rsidRPr="000B36F9">
        <w:rPr>
          <w:rFonts w:cs="Arial"/>
        </w:rPr>
        <w:t>he accountability of officers involved in the case and whether any identified practice issues amount to misconduct and require referral to Ethical Standards</w:t>
      </w:r>
    </w:p>
    <w:p w:rsidR="00453A39" w:rsidRPr="000B36F9" w:rsidRDefault="00642B6D" w:rsidP="00DD5024">
      <w:pPr>
        <w:numPr>
          <w:ilvl w:val="0"/>
          <w:numId w:val="2"/>
        </w:numPr>
        <w:jc w:val="both"/>
        <w:rPr>
          <w:rFonts w:cs="Arial"/>
        </w:rPr>
      </w:pPr>
      <w:r w:rsidRPr="000B36F9">
        <w:rPr>
          <w:rFonts w:cs="Arial"/>
        </w:rPr>
        <w:t>w</w:t>
      </w:r>
      <w:r w:rsidR="00453A39" w:rsidRPr="000B36F9">
        <w:rPr>
          <w:rFonts w:cs="Arial"/>
        </w:rPr>
        <w:t xml:space="preserve">hether there are </w:t>
      </w:r>
      <w:r w:rsidR="00460E55" w:rsidRPr="000B36F9">
        <w:rPr>
          <w:rFonts w:cs="Arial"/>
        </w:rPr>
        <w:t>learnings</w:t>
      </w:r>
      <w:r w:rsidR="00453A39" w:rsidRPr="000B36F9">
        <w:rPr>
          <w:rFonts w:cs="Arial"/>
        </w:rPr>
        <w:t xml:space="preserve"> identified that could be used to inform reform activities</w:t>
      </w:r>
    </w:p>
    <w:p w:rsidR="00453A39" w:rsidRPr="000B36F9" w:rsidRDefault="00642B6D" w:rsidP="00DD5024">
      <w:pPr>
        <w:numPr>
          <w:ilvl w:val="0"/>
          <w:numId w:val="2"/>
        </w:numPr>
        <w:jc w:val="both"/>
        <w:rPr>
          <w:rFonts w:cs="Arial"/>
        </w:rPr>
      </w:pPr>
      <w:r w:rsidRPr="000B36F9">
        <w:rPr>
          <w:rFonts w:cs="Arial"/>
        </w:rPr>
        <w:t>h</w:t>
      </w:r>
      <w:r w:rsidR="00453A39" w:rsidRPr="000B36F9">
        <w:rPr>
          <w:rFonts w:cs="Arial"/>
        </w:rPr>
        <w:t>ow any learnings from the S</w:t>
      </w:r>
      <w:r w:rsidR="00460E55" w:rsidRPr="000B36F9">
        <w:rPr>
          <w:rFonts w:cs="Arial"/>
        </w:rPr>
        <w:t xml:space="preserve">ystems and </w:t>
      </w:r>
      <w:r w:rsidR="00453A39" w:rsidRPr="000B36F9">
        <w:rPr>
          <w:rFonts w:cs="Arial"/>
        </w:rPr>
        <w:t>P</w:t>
      </w:r>
      <w:r w:rsidR="00460E55" w:rsidRPr="000B36F9">
        <w:rPr>
          <w:rFonts w:cs="Arial"/>
        </w:rPr>
        <w:t xml:space="preserve">ractice </w:t>
      </w:r>
      <w:r w:rsidR="00453A39" w:rsidRPr="000B36F9">
        <w:rPr>
          <w:rFonts w:cs="Arial"/>
        </w:rPr>
        <w:t>R</w:t>
      </w:r>
      <w:r w:rsidR="00460E55" w:rsidRPr="000B36F9">
        <w:rPr>
          <w:rFonts w:cs="Arial"/>
        </w:rPr>
        <w:t>eview</w:t>
      </w:r>
      <w:r w:rsidR="00453A39" w:rsidRPr="000B36F9">
        <w:rPr>
          <w:rFonts w:cs="Arial"/>
        </w:rPr>
        <w:t xml:space="preserve"> could be used to strengthen frontline practice</w:t>
      </w:r>
    </w:p>
    <w:p w:rsidR="00453A39" w:rsidRPr="000B36F9" w:rsidRDefault="00642B6D" w:rsidP="00DD5024">
      <w:pPr>
        <w:numPr>
          <w:ilvl w:val="0"/>
          <w:numId w:val="2"/>
        </w:numPr>
        <w:jc w:val="both"/>
        <w:rPr>
          <w:rFonts w:cs="Arial"/>
        </w:rPr>
      </w:pPr>
      <w:r w:rsidRPr="000B36F9">
        <w:rPr>
          <w:rFonts w:cs="Arial"/>
        </w:rPr>
        <w:t>w</w:t>
      </w:r>
      <w:r w:rsidR="00453A39" w:rsidRPr="000B36F9">
        <w:rPr>
          <w:rFonts w:cs="Arial"/>
        </w:rPr>
        <w:t>hether there are opportunities identified to improve the child safety service system</w:t>
      </w:r>
      <w:r w:rsidR="00290917" w:rsidRPr="000B36F9">
        <w:rPr>
          <w:rFonts w:cs="Arial"/>
        </w:rPr>
        <w:t xml:space="preserve"> more broadly</w:t>
      </w:r>
    </w:p>
    <w:p w:rsidR="00453A39" w:rsidRPr="0073301E" w:rsidRDefault="00642B6D" w:rsidP="00DD5024">
      <w:pPr>
        <w:numPr>
          <w:ilvl w:val="0"/>
          <w:numId w:val="2"/>
        </w:numPr>
        <w:jc w:val="both"/>
        <w:rPr>
          <w:rFonts w:cs="Arial"/>
        </w:rPr>
      </w:pPr>
      <w:r w:rsidRPr="000B36F9">
        <w:rPr>
          <w:rFonts w:cs="Arial"/>
        </w:rPr>
        <w:t>w</w:t>
      </w:r>
      <w:r w:rsidR="00453A39" w:rsidRPr="000B36F9">
        <w:rPr>
          <w:rFonts w:cs="Arial"/>
        </w:rPr>
        <w:t>hether there are opportunities identified for enhancing internal and external collaboration</w:t>
      </w:r>
    </w:p>
    <w:p w:rsidR="00453A39" w:rsidRPr="0073301E" w:rsidRDefault="00642B6D" w:rsidP="00DD5024">
      <w:pPr>
        <w:numPr>
          <w:ilvl w:val="0"/>
          <w:numId w:val="2"/>
        </w:numPr>
        <w:jc w:val="both"/>
        <w:rPr>
          <w:rFonts w:cs="Arial"/>
        </w:rPr>
      </w:pPr>
      <w:r w:rsidRPr="0073301E">
        <w:rPr>
          <w:rFonts w:cs="Arial"/>
        </w:rPr>
        <w:t>w</w:t>
      </w:r>
      <w:r w:rsidR="00453A39" w:rsidRPr="0073301E">
        <w:rPr>
          <w:rFonts w:cs="Arial"/>
        </w:rPr>
        <w:t>hether there is high quality practice identified in the review that merits recognition.</w:t>
      </w:r>
    </w:p>
    <w:p w:rsidR="003E2F8A" w:rsidRPr="0073301E" w:rsidRDefault="00290917" w:rsidP="00DD5024">
      <w:pPr>
        <w:jc w:val="both"/>
        <w:rPr>
          <w:rFonts w:cs="Arial"/>
        </w:rPr>
      </w:pPr>
      <w:r w:rsidRPr="0073301E">
        <w:rPr>
          <w:rFonts w:cs="Arial"/>
        </w:rPr>
        <w:t>In addition, f</w:t>
      </w:r>
      <w:r w:rsidR="00453A39" w:rsidRPr="0073301E">
        <w:rPr>
          <w:rFonts w:cs="Arial"/>
        </w:rPr>
        <w:t xml:space="preserve">or reviews relating to Aboriginal or Torres Strait </w:t>
      </w:r>
      <w:r w:rsidR="0050383F" w:rsidRPr="0073301E">
        <w:rPr>
          <w:rFonts w:cs="Arial"/>
        </w:rPr>
        <w:t>Islander children</w:t>
      </w:r>
      <w:r w:rsidR="006B73B9">
        <w:rPr>
          <w:rFonts w:cs="Arial"/>
        </w:rPr>
        <w:t>,</w:t>
      </w:r>
      <w:r w:rsidR="0050383F" w:rsidRPr="0073301E">
        <w:rPr>
          <w:rFonts w:cs="Arial"/>
        </w:rPr>
        <w:t xml:space="preserve"> the committee </w:t>
      </w:r>
      <w:r w:rsidR="00453A39" w:rsidRPr="0073301E">
        <w:rPr>
          <w:rFonts w:cs="Arial"/>
        </w:rPr>
        <w:t>consider</w:t>
      </w:r>
      <w:r w:rsidR="0050383F" w:rsidRPr="0073301E">
        <w:rPr>
          <w:rFonts w:cs="Arial"/>
        </w:rPr>
        <w:t>s</w:t>
      </w:r>
      <w:r w:rsidRPr="0073301E">
        <w:rPr>
          <w:rFonts w:cs="Arial"/>
        </w:rPr>
        <w:t xml:space="preserve"> </w:t>
      </w:r>
      <w:r w:rsidR="009F4795">
        <w:rPr>
          <w:rFonts w:cs="Arial"/>
        </w:rPr>
        <w:t xml:space="preserve">whether the service delivery ensured </w:t>
      </w:r>
      <w:r w:rsidR="00DB1ACD">
        <w:rPr>
          <w:rFonts w:cs="Arial"/>
        </w:rPr>
        <w:t xml:space="preserve">that </w:t>
      </w:r>
      <w:r w:rsidR="009F4795">
        <w:rPr>
          <w:rFonts w:cs="Arial"/>
        </w:rPr>
        <w:t>the child received services in a culturally appropriate manner.</w:t>
      </w:r>
    </w:p>
    <w:p w:rsidR="0071325D" w:rsidRPr="0073301E" w:rsidRDefault="0071325D" w:rsidP="00DD5024">
      <w:pPr>
        <w:jc w:val="both"/>
        <w:rPr>
          <w:rFonts w:cs="Arial"/>
        </w:rPr>
      </w:pPr>
      <w:r w:rsidRPr="0073301E">
        <w:rPr>
          <w:rFonts w:cs="Arial"/>
        </w:rPr>
        <w:t xml:space="preserve">As soon as </w:t>
      </w:r>
      <w:r w:rsidRPr="001A16C9">
        <w:rPr>
          <w:rFonts w:cs="Arial"/>
        </w:rPr>
        <w:t>practicable</w:t>
      </w:r>
      <w:r w:rsidRPr="0073301E">
        <w:rPr>
          <w:rFonts w:cs="Arial"/>
        </w:rPr>
        <w:t>, and not more than six months after being notified of the death, serious physical injury or Minister</w:t>
      </w:r>
      <w:r w:rsidR="00DD710A" w:rsidRPr="0073301E">
        <w:rPr>
          <w:rFonts w:cs="Arial"/>
        </w:rPr>
        <w:t>’</w:t>
      </w:r>
      <w:r w:rsidRPr="0073301E">
        <w:rPr>
          <w:rFonts w:cs="Arial"/>
        </w:rPr>
        <w:t xml:space="preserve">s request for a review, the </w:t>
      </w:r>
      <w:r w:rsidR="00581A0A" w:rsidRPr="0073301E">
        <w:rPr>
          <w:rFonts w:cs="Arial"/>
        </w:rPr>
        <w:t>department</w:t>
      </w:r>
      <w:r w:rsidRPr="0073301E">
        <w:rPr>
          <w:rFonts w:cs="Arial"/>
        </w:rPr>
        <w:t xml:space="preserve"> must:</w:t>
      </w:r>
    </w:p>
    <w:p w:rsidR="0071325D" w:rsidRPr="0073301E" w:rsidRDefault="0071325D" w:rsidP="00DD5024">
      <w:pPr>
        <w:numPr>
          <w:ilvl w:val="0"/>
          <w:numId w:val="2"/>
        </w:numPr>
        <w:jc w:val="both"/>
        <w:rPr>
          <w:rFonts w:cs="Arial"/>
        </w:rPr>
      </w:pPr>
      <w:r w:rsidRPr="0073301E">
        <w:rPr>
          <w:rFonts w:cs="Arial"/>
        </w:rPr>
        <w:t>complete the review</w:t>
      </w:r>
    </w:p>
    <w:p w:rsidR="0071325D" w:rsidRPr="0073301E" w:rsidRDefault="0071325D" w:rsidP="00DD5024">
      <w:pPr>
        <w:numPr>
          <w:ilvl w:val="0"/>
          <w:numId w:val="2"/>
        </w:numPr>
        <w:jc w:val="both"/>
        <w:rPr>
          <w:rFonts w:cs="Arial"/>
        </w:rPr>
      </w:pPr>
      <w:r w:rsidRPr="0073301E">
        <w:rPr>
          <w:rFonts w:cs="Arial"/>
        </w:rPr>
        <w:t>prepare a report about the review</w:t>
      </w:r>
    </w:p>
    <w:p w:rsidR="0071325D" w:rsidRDefault="006B73B9" w:rsidP="00DD5024">
      <w:pPr>
        <w:numPr>
          <w:ilvl w:val="0"/>
          <w:numId w:val="2"/>
        </w:numPr>
        <w:jc w:val="both"/>
        <w:rPr>
          <w:rFonts w:cs="Arial"/>
        </w:rPr>
      </w:pPr>
      <w:r>
        <w:rPr>
          <w:rFonts w:cs="Arial"/>
        </w:rPr>
        <w:t>provide</w:t>
      </w:r>
      <w:r w:rsidRPr="0073301E">
        <w:rPr>
          <w:rFonts w:cs="Arial"/>
        </w:rPr>
        <w:t xml:space="preserve"> </w:t>
      </w:r>
      <w:r w:rsidR="0071325D" w:rsidRPr="0073301E">
        <w:rPr>
          <w:rFonts w:cs="Arial"/>
        </w:rPr>
        <w:t>a copy of the report and any documents obtained by the chief executive</w:t>
      </w:r>
      <w:r>
        <w:rPr>
          <w:rFonts w:cs="Arial"/>
        </w:rPr>
        <w:t>,</w:t>
      </w:r>
      <w:r w:rsidR="0071325D" w:rsidRPr="0073301E">
        <w:rPr>
          <w:rFonts w:cs="Arial"/>
        </w:rPr>
        <w:t xml:space="preserve"> and used for the review</w:t>
      </w:r>
      <w:r>
        <w:rPr>
          <w:rFonts w:cs="Arial"/>
        </w:rPr>
        <w:t>,</w:t>
      </w:r>
      <w:r w:rsidR="0071325D" w:rsidRPr="0073301E">
        <w:rPr>
          <w:rFonts w:cs="Arial"/>
        </w:rPr>
        <w:t xml:space="preserve"> to the Child Death Case Review </w:t>
      </w:r>
      <w:r w:rsidR="00E8719D" w:rsidRPr="0073301E">
        <w:rPr>
          <w:rFonts w:cs="Arial"/>
        </w:rPr>
        <w:t>Panel</w:t>
      </w:r>
      <w:r w:rsidR="0071325D" w:rsidRPr="0073301E">
        <w:rPr>
          <w:rFonts w:cs="Arial"/>
        </w:rPr>
        <w:t>.</w:t>
      </w:r>
    </w:p>
    <w:p w:rsidR="0050383F" w:rsidRPr="00294067" w:rsidRDefault="0041221C" w:rsidP="00DD5024">
      <w:pPr>
        <w:pStyle w:val="Heading2"/>
        <w:spacing w:before="240"/>
        <w:jc w:val="both"/>
        <w:rPr>
          <w:sz w:val="28"/>
        </w:rPr>
      </w:pPr>
      <w:bookmarkStart w:id="51" w:name="_Toc524517374"/>
      <w:r>
        <w:rPr>
          <w:sz w:val="28"/>
        </w:rPr>
        <w:t xml:space="preserve">Tier 2: </w:t>
      </w:r>
      <w:r w:rsidR="00DD710A" w:rsidRPr="00294067">
        <w:rPr>
          <w:sz w:val="28"/>
        </w:rPr>
        <w:t>Child Death Case Review Panels</w:t>
      </w:r>
      <w:bookmarkEnd w:id="51"/>
    </w:p>
    <w:p w:rsidR="00105680" w:rsidRPr="001A16C9" w:rsidRDefault="00041726" w:rsidP="00DD5024">
      <w:pPr>
        <w:jc w:val="both"/>
        <w:rPr>
          <w:rFonts w:cs="Arial"/>
        </w:rPr>
      </w:pPr>
      <w:r w:rsidRPr="0073301E">
        <w:rPr>
          <w:rFonts w:cs="Arial"/>
        </w:rPr>
        <w:t xml:space="preserve">Child Death Case Review Panels </w:t>
      </w:r>
      <w:r w:rsidR="00045612" w:rsidRPr="0073301E">
        <w:rPr>
          <w:rFonts w:cs="Arial"/>
        </w:rPr>
        <w:t>are the second tier of Queensland’s case review system and provide important accountability and oversight of Queensland’s child protection system.</w:t>
      </w:r>
      <w:r w:rsidR="001542D0" w:rsidRPr="0073301E">
        <w:rPr>
          <w:rFonts w:cs="Arial"/>
        </w:rPr>
        <w:t xml:space="preserve"> </w:t>
      </w:r>
      <w:r w:rsidR="009839B7" w:rsidRPr="001A16C9">
        <w:rPr>
          <w:rFonts w:cs="Arial"/>
        </w:rPr>
        <w:t xml:space="preserve">The </w:t>
      </w:r>
      <w:r w:rsidR="006B73B9" w:rsidRPr="001A16C9">
        <w:rPr>
          <w:rFonts w:cs="Arial"/>
        </w:rPr>
        <w:t>p</w:t>
      </w:r>
      <w:r w:rsidR="009839B7" w:rsidRPr="001A16C9">
        <w:rPr>
          <w:rFonts w:cs="Arial"/>
        </w:rPr>
        <w:t xml:space="preserve">anel considers </w:t>
      </w:r>
      <w:r w:rsidR="006B73B9" w:rsidRPr="001A16C9">
        <w:rPr>
          <w:rFonts w:cs="Arial"/>
        </w:rPr>
        <w:t xml:space="preserve">the </w:t>
      </w:r>
      <w:r w:rsidR="009839B7" w:rsidRPr="001A16C9">
        <w:rPr>
          <w:rFonts w:cs="Arial"/>
        </w:rPr>
        <w:t>departmental reviews of all child deaths and children who suffered serious physical injuries if they were in the department’s care or were known to the department in the 12 months prior to their death.</w:t>
      </w:r>
    </w:p>
    <w:p w:rsidR="00041726" w:rsidRPr="001A16C9" w:rsidRDefault="002A0C29" w:rsidP="00DD5024">
      <w:pPr>
        <w:jc w:val="both"/>
        <w:rPr>
          <w:rFonts w:cs="Arial"/>
        </w:rPr>
      </w:pPr>
      <w:r w:rsidRPr="001A16C9">
        <w:rPr>
          <w:rFonts w:cs="Arial"/>
        </w:rPr>
        <w:t>The</w:t>
      </w:r>
      <w:r w:rsidR="008C3A8B" w:rsidRPr="001A16C9">
        <w:rPr>
          <w:rFonts w:cs="Arial"/>
        </w:rPr>
        <w:t xml:space="preserve"> Act</w:t>
      </w:r>
      <w:r w:rsidRPr="001A16C9">
        <w:rPr>
          <w:rFonts w:cs="Arial"/>
        </w:rPr>
        <w:t xml:space="preserve"> contains provisions for Child Death Case Review Panel</w:t>
      </w:r>
      <w:r w:rsidR="00E878FD" w:rsidRPr="001A16C9">
        <w:rPr>
          <w:rFonts w:cs="Arial"/>
        </w:rPr>
        <w:t>s</w:t>
      </w:r>
      <w:r w:rsidRPr="001A16C9">
        <w:rPr>
          <w:rFonts w:cs="Arial"/>
        </w:rPr>
        <w:t xml:space="preserve"> in relation to:</w:t>
      </w:r>
    </w:p>
    <w:p w:rsidR="002A0C29" w:rsidRPr="0073301E" w:rsidRDefault="002A0C29" w:rsidP="00DD5024">
      <w:pPr>
        <w:numPr>
          <w:ilvl w:val="0"/>
          <w:numId w:val="2"/>
        </w:numPr>
        <w:jc w:val="both"/>
        <w:rPr>
          <w:rFonts w:cs="Arial"/>
        </w:rPr>
      </w:pPr>
      <w:r w:rsidRPr="000B36F9">
        <w:rPr>
          <w:rFonts w:cs="Arial"/>
        </w:rPr>
        <w:t>the purpose of review</w:t>
      </w:r>
      <w:r w:rsidR="00F43051">
        <w:rPr>
          <w:rFonts w:cs="Arial"/>
        </w:rPr>
        <w:t>s</w:t>
      </w:r>
    </w:p>
    <w:p w:rsidR="002A0C29" w:rsidRPr="0073301E" w:rsidRDefault="002A0C29" w:rsidP="00DD5024">
      <w:pPr>
        <w:numPr>
          <w:ilvl w:val="0"/>
          <w:numId w:val="2"/>
        </w:numPr>
        <w:jc w:val="both"/>
        <w:rPr>
          <w:rFonts w:cs="Arial"/>
        </w:rPr>
      </w:pPr>
      <w:r w:rsidRPr="000B36F9">
        <w:rPr>
          <w:rFonts w:cs="Arial"/>
        </w:rPr>
        <w:t>membership and panel formation</w:t>
      </w:r>
    </w:p>
    <w:p w:rsidR="002A0C29" w:rsidRPr="0073301E" w:rsidRDefault="002A0C29" w:rsidP="00DD5024">
      <w:pPr>
        <w:numPr>
          <w:ilvl w:val="0"/>
          <w:numId w:val="2"/>
        </w:numPr>
        <w:jc w:val="both"/>
        <w:rPr>
          <w:rFonts w:cs="Arial"/>
        </w:rPr>
      </w:pPr>
      <w:r w:rsidRPr="0073301E">
        <w:rPr>
          <w:rFonts w:cs="Arial"/>
        </w:rPr>
        <w:t>the conduct of business by panels</w:t>
      </w:r>
    </w:p>
    <w:p w:rsidR="00F43051" w:rsidRDefault="002A0C29" w:rsidP="00DD5024">
      <w:pPr>
        <w:numPr>
          <w:ilvl w:val="0"/>
          <w:numId w:val="2"/>
        </w:numPr>
        <w:ind w:left="714" w:hanging="357"/>
        <w:jc w:val="both"/>
        <w:rPr>
          <w:rFonts w:cs="Arial"/>
        </w:rPr>
      </w:pPr>
      <w:r w:rsidRPr="0073301E">
        <w:rPr>
          <w:rFonts w:cs="Arial"/>
        </w:rPr>
        <w:t xml:space="preserve">Child Death Case Review Panel reports </w:t>
      </w:r>
    </w:p>
    <w:p w:rsidR="00B308FD" w:rsidRPr="00DA348D" w:rsidRDefault="002A0C29" w:rsidP="00DD5024">
      <w:pPr>
        <w:numPr>
          <w:ilvl w:val="0"/>
          <w:numId w:val="2"/>
        </w:numPr>
        <w:ind w:left="714" w:hanging="357"/>
        <w:jc w:val="both"/>
        <w:rPr>
          <w:rFonts w:cs="Arial"/>
        </w:rPr>
      </w:pPr>
      <w:r w:rsidRPr="0073301E">
        <w:rPr>
          <w:rFonts w:cs="Arial"/>
        </w:rPr>
        <w:t>annual reporting.</w:t>
      </w:r>
    </w:p>
    <w:p w:rsidR="00D1295B" w:rsidRPr="001A16C9" w:rsidRDefault="00D1295B" w:rsidP="00DD5024">
      <w:pPr>
        <w:jc w:val="both"/>
        <w:rPr>
          <w:rFonts w:cs="Arial"/>
        </w:rPr>
      </w:pPr>
      <w:r w:rsidRPr="001A16C9">
        <w:rPr>
          <w:rFonts w:cs="Arial"/>
        </w:rPr>
        <w:lastRenderedPageBreak/>
        <w:t>The Minister is required to have the C</w:t>
      </w:r>
      <w:r w:rsidR="00585355" w:rsidRPr="001A16C9">
        <w:rPr>
          <w:rFonts w:cs="Arial"/>
        </w:rPr>
        <w:t xml:space="preserve">hild </w:t>
      </w:r>
      <w:r w:rsidRPr="001A16C9">
        <w:rPr>
          <w:rFonts w:cs="Arial"/>
        </w:rPr>
        <w:t>D</w:t>
      </w:r>
      <w:r w:rsidR="00585355" w:rsidRPr="001A16C9">
        <w:rPr>
          <w:rFonts w:cs="Arial"/>
        </w:rPr>
        <w:t xml:space="preserve">eath </w:t>
      </w:r>
      <w:r w:rsidRPr="001A16C9">
        <w:rPr>
          <w:rFonts w:cs="Arial"/>
        </w:rPr>
        <w:t>C</w:t>
      </w:r>
      <w:r w:rsidR="00585355" w:rsidRPr="001A16C9">
        <w:rPr>
          <w:rFonts w:cs="Arial"/>
        </w:rPr>
        <w:t xml:space="preserve">ase </w:t>
      </w:r>
      <w:r w:rsidRPr="001A16C9">
        <w:rPr>
          <w:rFonts w:cs="Arial"/>
        </w:rPr>
        <w:t>R</w:t>
      </w:r>
      <w:r w:rsidR="00585355" w:rsidRPr="001A16C9">
        <w:rPr>
          <w:rFonts w:cs="Arial"/>
        </w:rPr>
        <w:t xml:space="preserve">eview </w:t>
      </w:r>
      <w:r w:rsidRPr="001A16C9">
        <w:rPr>
          <w:rFonts w:cs="Arial"/>
        </w:rPr>
        <w:t>P</w:t>
      </w:r>
      <w:r w:rsidR="00585355" w:rsidRPr="001A16C9">
        <w:rPr>
          <w:rFonts w:cs="Arial"/>
        </w:rPr>
        <w:t>anel</w:t>
      </w:r>
      <w:r w:rsidRPr="001A16C9">
        <w:rPr>
          <w:rFonts w:cs="Arial"/>
        </w:rPr>
        <w:t xml:space="preserve">, or an existing review panel, review departmental reviews </w:t>
      </w:r>
      <w:r w:rsidR="00585355" w:rsidRPr="001A16C9">
        <w:rPr>
          <w:rFonts w:cs="Arial"/>
        </w:rPr>
        <w:t>for</w:t>
      </w:r>
      <w:r w:rsidR="00DD710A" w:rsidRPr="001A16C9">
        <w:rPr>
          <w:rFonts w:cs="Arial"/>
        </w:rPr>
        <w:t xml:space="preserve"> the</w:t>
      </w:r>
      <w:r w:rsidR="00585355" w:rsidRPr="001A16C9">
        <w:rPr>
          <w:rFonts w:cs="Arial"/>
        </w:rPr>
        <w:t xml:space="preserve"> </w:t>
      </w:r>
      <w:r w:rsidRPr="001A16C9">
        <w:rPr>
          <w:rFonts w:cs="Arial"/>
        </w:rPr>
        <w:t xml:space="preserve">purpose </w:t>
      </w:r>
      <w:r w:rsidR="00585355" w:rsidRPr="001A16C9">
        <w:rPr>
          <w:rFonts w:cs="Arial"/>
        </w:rPr>
        <w:t xml:space="preserve">of </w:t>
      </w:r>
      <w:r w:rsidRPr="0073301E">
        <w:rPr>
          <w:rFonts w:cs="Arial"/>
        </w:rPr>
        <w:t>facilitat</w:t>
      </w:r>
      <w:r w:rsidR="00585355" w:rsidRPr="0073301E">
        <w:rPr>
          <w:rFonts w:cs="Arial"/>
        </w:rPr>
        <w:t>ing</w:t>
      </w:r>
      <w:r w:rsidRPr="0073301E">
        <w:rPr>
          <w:rFonts w:cs="Arial"/>
        </w:rPr>
        <w:t xml:space="preserve"> ongoing learning and development in the provision of services by the department and to promote the accountability of the department</w:t>
      </w:r>
      <w:r w:rsidR="00027AE1" w:rsidRPr="001A16C9">
        <w:rPr>
          <w:rFonts w:cs="Arial"/>
        </w:rPr>
        <w:t>.</w:t>
      </w:r>
    </w:p>
    <w:p w:rsidR="00D1295B" w:rsidRDefault="006B73B9" w:rsidP="00DD5024">
      <w:pPr>
        <w:jc w:val="both"/>
        <w:rPr>
          <w:rFonts w:cs="Arial"/>
        </w:rPr>
      </w:pPr>
      <w:r>
        <w:rPr>
          <w:rFonts w:cs="Arial"/>
        </w:rPr>
        <w:t xml:space="preserve">Members of </w:t>
      </w:r>
      <w:r w:rsidR="00585355" w:rsidRPr="0073301E">
        <w:rPr>
          <w:rFonts w:cs="Arial"/>
        </w:rPr>
        <w:t>Child Death Case Review P</w:t>
      </w:r>
      <w:r w:rsidR="00D1295B" w:rsidRPr="0073301E">
        <w:rPr>
          <w:rFonts w:cs="Arial"/>
        </w:rPr>
        <w:t>anel</w:t>
      </w:r>
      <w:r w:rsidR="00585355" w:rsidRPr="0073301E">
        <w:rPr>
          <w:rFonts w:cs="Arial"/>
        </w:rPr>
        <w:t>s</w:t>
      </w:r>
      <w:r w:rsidR="00D1295B" w:rsidRPr="0073301E">
        <w:rPr>
          <w:rFonts w:cs="Arial"/>
        </w:rPr>
        <w:t xml:space="preserve"> </w:t>
      </w:r>
      <w:r>
        <w:rPr>
          <w:rFonts w:cs="Arial"/>
        </w:rPr>
        <w:t>are</w:t>
      </w:r>
      <w:r w:rsidR="00D1295B" w:rsidRPr="0073301E">
        <w:rPr>
          <w:rFonts w:cs="Arial"/>
        </w:rPr>
        <w:t xml:space="preserve"> drawn from a pool of approved members.</w:t>
      </w:r>
      <w:r w:rsidR="001542D0" w:rsidRPr="0073301E">
        <w:rPr>
          <w:rFonts w:cs="Arial"/>
        </w:rPr>
        <w:t xml:space="preserve"> </w:t>
      </w:r>
      <w:r w:rsidR="00D1295B" w:rsidRPr="0073301E">
        <w:rPr>
          <w:rFonts w:cs="Arial"/>
        </w:rPr>
        <w:t xml:space="preserve">A person is eligible to be a member of the </w:t>
      </w:r>
      <w:r w:rsidR="00585355" w:rsidRPr="001A16C9">
        <w:rPr>
          <w:rFonts w:cs="Arial"/>
        </w:rPr>
        <w:t>Child Death Case Review Panel</w:t>
      </w:r>
      <w:r w:rsidR="00D1295B" w:rsidRPr="0073301E">
        <w:rPr>
          <w:rFonts w:cs="Arial"/>
        </w:rPr>
        <w:t xml:space="preserve"> if they have expertise in the field of paediatrics and child health, forensic pathology, mental health, investigations or child protection</w:t>
      </w:r>
      <w:r w:rsidR="00EF7C23">
        <w:rPr>
          <w:rFonts w:cs="Arial"/>
        </w:rPr>
        <w:t>,</w:t>
      </w:r>
      <w:r w:rsidR="00D1295B" w:rsidRPr="0073301E">
        <w:rPr>
          <w:rFonts w:cs="Arial"/>
        </w:rPr>
        <w:t xml:space="preserve"> </w:t>
      </w:r>
      <w:r w:rsidR="00CC3848">
        <w:rPr>
          <w:rFonts w:cs="Arial"/>
        </w:rPr>
        <w:t>or has expertise in litigation relating to child protection proceedings or proceedings of a similar nature</w:t>
      </w:r>
      <w:r w:rsidR="009615D5">
        <w:rPr>
          <w:rFonts w:cs="Arial"/>
        </w:rPr>
        <w:t xml:space="preserve">. A person is also eligible for </w:t>
      </w:r>
      <w:r w:rsidR="00AE4133">
        <w:rPr>
          <w:rFonts w:cs="Arial"/>
        </w:rPr>
        <w:t>membership if,</w:t>
      </w:r>
      <w:r w:rsidR="00D1295B" w:rsidRPr="0073301E">
        <w:rPr>
          <w:rFonts w:cs="Arial"/>
        </w:rPr>
        <w:t xml:space="preserve"> because of their qualifications, experience or membership of an entity</w:t>
      </w:r>
      <w:r w:rsidR="009615D5">
        <w:rPr>
          <w:rFonts w:cs="Arial"/>
        </w:rPr>
        <w:t>,</w:t>
      </w:r>
      <w:r w:rsidR="00AE4133">
        <w:rPr>
          <w:rFonts w:cs="Arial"/>
        </w:rPr>
        <w:t xml:space="preserve"> they</w:t>
      </w:r>
      <w:r w:rsidR="00D1295B" w:rsidRPr="0073301E">
        <w:rPr>
          <w:rFonts w:cs="Arial"/>
        </w:rPr>
        <w:t xml:space="preserve"> are likely to</w:t>
      </w:r>
      <w:r w:rsidR="00DD710A" w:rsidRPr="0073301E">
        <w:rPr>
          <w:rFonts w:cs="Arial"/>
        </w:rPr>
        <w:t xml:space="preserve"> make</w:t>
      </w:r>
      <w:r w:rsidR="00D1295B" w:rsidRPr="0073301E">
        <w:rPr>
          <w:rFonts w:cs="Arial"/>
        </w:rPr>
        <w:t xml:space="preserve"> a valuable contribution to the work of the panel.</w:t>
      </w:r>
      <w:r w:rsidR="001542D0" w:rsidRPr="0073301E">
        <w:rPr>
          <w:rFonts w:cs="Arial"/>
        </w:rPr>
        <w:t xml:space="preserve"> </w:t>
      </w:r>
      <w:r w:rsidR="00D1295B" w:rsidRPr="0073301E">
        <w:rPr>
          <w:rFonts w:cs="Arial"/>
        </w:rPr>
        <w:t>A member of the pool can hold office for no longer than two years.</w:t>
      </w:r>
    </w:p>
    <w:p w:rsidR="00D24611" w:rsidRPr="0073301E" w:rsidRDefault="00D1295B" w:rsidP="00DD5024">
      <w:pPr>
        <w:jc w:val="both"/>
        <w:rPr>
          <w:rFonts w:cs="Arial"/>
        </w:rPr>
      </w:pPr>
      <w:r w:rsidRPr="0073301E">
        <w:rPr>
          <w:rFonts w:cs="Arial"/>
        </w:rPr>
        <w:t xml:space="preserve">Each </w:t>
      </w:r>
      <w:r w:rsidRPr="000B36F9">
        <w:rPr>
          <w:rFonts w:eastAsia="Calibri" w:cs="Arial"/>
          <w:szCs w:val="22"/>
        </w:rPr>
        <w:t>review</w:t>
      </w:r>
      <w:r w:rsidRPr="0073301E">
        <w:rPr>
          <w:rFonts w:cs="Arial"/>
        </w:rPr>
        <w:t xml:space="preserve"> panel must include</w:t>
      </w:r>
      <w:r w:rsidR="00D24611" w:rsidRPr="0073301E">
        <w:rPr>
          <w:rFonts w:cs="Arial"/>
        </w:rPr>
        <w:t>:</w:t>
      </w:r>
    </w:p>
    <w:p w:rsidR="00D24611" w:rsidRPr="0073301E" w:rsidRDefault="00D1295B" w:rsidP="00DD5024">
      <w:pPr>
        <w:numPr>
          <w:ilvl w:val="0"/>
          <w:numId w:val="2"/>
        </w:numPr>
        <w:jc w:val="both"/>
        <w:rPr>
          <w:rFonts w:cs="Arial"/>
        </w:rPr>
      </w:pPr>
      <w:r w:rsidRPr="0073301E">
        <w:rPr>
          <w:rFonts w:cs="Arial"/>
        </w:rPr>
        <w:t>at least three people who are not public service employees who the Minister is satisfied have specialist experience in child protection issues</w:t>
      </w:r>
    </w:p>
    <w:p w:rsidR="00D24611" w:rsidRPr="0073301E" w:rsidRDefault="00D1295B" w:rsidP="00DD5024">
      <w:pPr>
        <w:numPr>
          <w:ilvl w:val="0"/>
          <w:numId w:val="2"/>
        </w:numPr>
        <w:jc w:val="both"/>
        <w:rPr>
          <w:rFonts w:cs="Arial"/>
        </w:rPr>
      </w:pPr>
      <w:r w:rsidRPr="0073301E">
        <w:rPr>
          <w:rFonts w:cs="Arial"/>
        </w:rPr>
        <w:t>at least one, and no more than three, departmental employees</w:t>
      </w:r>
    </w:p>
    <w:p w:rsidR="00D24611" w:rsidRPr="0073301E" w:rsidRDefault="00D1295B" w:rsidP="00DD5024">
      <w:pPr>
        <w:numPr>
          <w:ilvl w:val="0"/>
          <w:numId w:val="2"/>
        </w:numPr>
        <w:jc w:val="both"/>
        <w:rPr>
          <w:rFonts w:cs="Arial"/>
        </w:rPr>
      </w:pPr>
      <w:r w:rsidRPr="0073301E">
        <w:rPr>
          <w:rFonts w:cs="Arial"/>
        </w:rPr>
        <w:t>at least one public service officer who is employed as a senior officer or senior executive officer in a different department</w:t>
      </w:r>
    </w:p>
    <w:p w:rsidR="00D1295B" w:rsidRDefault="006332DE" w:rsidP="00DD5024">
      <w:pPr>
        <w:numPr>
          <w:ilvl w:val="0"/>
          <w:numId w:val="2"/>
        </w:numPr>
        <w:ind w:left="714" w:hanging="357"/>
        <w:jc w:val="both"/>
        <w:rPr>
          <w:rFonts w:cs="Arial"/>
        </w:rPr>
      </w:pPr>
      <w:r w:rsidRPr="0073301E">
        <w:rPr>
          <w:rFonts w:cs="Arial"/>
        </w:rPr>
        <w:t>a</w:t>
      </w:r>
      <w:r w:rsidR="00D1295B" w:rsidRPr="0073301E">
        <w:rPr>
          <w:rFonts w:cs="Arial"/>
        </w:rPr>
        <w:t xml:space="preserve">t least one panel member </w:t>
      </w:r>
      <w:r w:rsidR="00216B82" w:rsidRPr="0073301E">
        <w:rPr>
          <w:rFonts w:cs="Arial"/>
        </w:rPr>
        <w:t xml:space="preserve">who </w:t>
      </w:r>
      <w:r w:rsidR="006B73B9">
        <w:rPr>
          <w:rFonts w:cs="Arial"/>
        </w:rPr>
        <w:t>is</w:t>
      </w:r>
      <w:r w:rsidR="00D1295B" w:rsidRPr="0073301E">
        <w:rPr>
          <w:rFonts w:cs="Arial"/>
        </w:rPr>
        <w:t xml:space="preserve"> an Aboriginal or</w:t>
      </w:r>
      <w:r w:rsidR="003E2F8A">
        <w:rPr>
          <w:rFonts w:cs="Arial"/>
        </w:rPr>
        <w:t xml:space="preserve"> Torres Strait Islander person.</w:t>
      </w:r>
    </w:p>
    <w:p w:rsidR="00AE4133" w:rsidRDefault="00AE4133" w:rsidP="00DD5024">
      <w:pPr>
        <w:jc w:val="both"/>
        <w:rPr>
          <w:rFonts w:cs="Arial"/>
        </w:rPr>
      </w:pPr>
      <w:r>
        <w:rPr>
          <w:rFonts w:cs="Arial"/>
        </w:rPr>
        <w:t>If the panel is established for reviewing a review by the Director of Child Protection Litigation, the panel must also include a member with expertise in litigation relat</w:t>
      </w:r>
      <w:r w:rsidR="00DD33F8" w:rsidRPr="00867C9D">
        <w:rPr>
          <w:rFonts w:cs="Arial"/>
        </w:rPr>
        <w:t>ed</w:t>
      </w:r>
      <w:r>
        <w:rPr>
          <w:rFonts w:cs="Arial"/>
        </w:rPr>
        <w:t xml:space="preserve"> to child protection proceedings or proceedings of a similar nature. </w:t>
      </w:r>
    </w:p>
    <w:p w:rsidR="00AF430A" w:rsidRDefault="00AF430A" w:rsidP="00DD5024">
      <w:pPr>
        <w:jc w:val="both"/>
        <w:rPr>
          <w:rFonts w:cs="Arial"/>
        </w:rPr>
      </w:pPr>
      <w:r w:rsidRPr="0073301E">
        <w:rPr>
          <w:rFonts w:cs="Arial"/>
        </w:rPr>
        <w:t xml:space="preserve">The Minister is responsible for approving the composition of a panel and the cases assigned to </w:t>
      </w:r>
      <w:r w:rsidR="0001141A">
        <w:rPr>
          <w:rFonts w:cs="Arial"/>
        </w:rPr>
        <w:t>a</w:t>
      </w:r>
      <w:r w:rsidR="0001141A" w:rsidRPr="0073301E">
        <w:rPr>
          <w:rFonts w:cs="Arial"/>
        </w:rPr>
        <w:t xml:space="preserve"> </w:t>
      </w:r>
      <w:r w:rsidRPr="0073301E">
        <w:rPr>
          <w:rFonts w:cs="Arial"/>
        </w:rPr>
        <w:t>panel for its consideration</w:t>
      </w:r>
      <w:r w:rsidR="00D24A8D">
        <w:rPr>
          <w:rFonts w:cs="Arial"/>
        </w:rPr>
        <w:t>.</w:t>
      </w:r>
      <w:r w:rsidR="007F6247">
        <w:rPr>
          <w:rStyle w:val="FootnoteReference"/>
          <w:rFonts w:cs="Arial"/>
        </w:rPr>
        <w:footnoteReference w:id="3"/>
      </w:r>
      <w:r w:rsidR="00D24A8D">
        <w:rPr>
          <w:rFonts w:cs="Arial"/>
        </w:rPr>
        <w:t xml:space="preserve"> A review panel may be allocated one or more reviews.</w:t>
      </w:r>
      <w:r w:rsidR="00963207" w:rsidRPr="0073301E">
        <w:rPr>
          <w:rFonts w:cs="Arial"/>
        </w:rPr>
        <w:t xml:space="preserve"> </w:t>
      </w:r>
      <w:r w:rsidR="00D24A8D">
        <w:rPr>
          <w:rFonts w:cs="Arial"/>
        </w:rPr>
        <w:t xml:space="preserve">The </w:t>
      </w:r>
      <w:r w:rsidR="00D24A8D" w:rsidRPr="00D24A8D">
        <w:rPr>
          <w:rFonts w:cs="Arial"/>
        </w:rPr>
        <w:t xml:space="preserve">Child Death Case Review Panel Secretariat </w:t>
      </w:r>
      <w:r w:rsidR="006A3F8D">
        <w:rPr>
          <w:rFonts w:cs="Arial"/>
        </w:rPr>
        <w:t xml:space="preserve">assists the Minister to allocate reviews and </w:t>
      </w:r>
      <w:r w:rsidR="005D3CF3">
        <w:rPr>
          <w:rFonts w:cs="Arial"/>
        </w:rPr>
        <w:t xml:space="preserve">select </w:t>
      </w:r>
      <w:r w:rsidR="006A3F8D">
        <w:rPr>
          <w:rFonts w:cs="Arial"/>
        </w:rPr>
        <w:t xml:space="preserve">members to </w:t>
      </w:r>
      <w:r w:rsidR="005D3CF3">
        <w:rPr>
          <w:rFonts w:cs="Arial"/>
        </w:rPr>
        <w:t xml:space="preserve">convene </w:t>
      </w:r>
      <w:r w:rsidR="006A3F8D">
        <w:rPr>
          <w:rFonts w:cs="Arial"/>
        </w:rPr>
        <w:t>a panel</w:t>
      </w:r>
      <w:r w:rsidR="005D3CF3">
        <w:rPr>
          <w:rFonts w:cs="Arial"/>
        </w:rPr>
        <w:t>. Members are selected from the pool</w:t>
      </w:r>
      <w:r w:rsidR="006A3F8D">
        <w:rPr>
          <w:rFonts w:cs="Arial"/>
        </w:rPr>
        <w:t xml:space="preserve"> according to the themes and characteristics of the cases </w:t>
      </w:r>
      <w:r w:rsidR="005D3CF3">
        <w:rPr>
          <w:rFonts w:cs="Arial"/>
        </w:rPr>
        <w:t xml:space="preserve">to be reviewed by the panel </w:t>
      </w:r>
      <w:r w:rsidR="006A3F8D">
        <w:rPr>
          <w:rFonts w:cs="Arial"/>
        </w:rPr>
        <w:t>and the members’ areas of expertise</w:t>
      </w:r>
      <w:r w:rsidR="00963207" w:rsidRPr="0073301E">
        <w:rPr>
          <w:rFonts w:cs="Arial"/>
        </w:rPr>
        <w:t>.</w:t>
      </w:r>
    </w:p>
    <w:p w:rsidR="00FF3610" w:rsidRDefault="00B727CE" w:rsidP="00DD5024">
      <w:pPr>
        <w:jc w:val="both"/>
        <w:rPr>
          <w:rFonts w:cs="Arial"/>
          <w:szCs w:val="22"/>
          <w:lang w:val="en-GB"/>
        </w:rPr>
      </w:pPr>
      <w:r w:rsidRPr="0073301E">
        <w:rPr>
          <w:rFonts w:cs="Arial"/>
          <w:szCs w:val="22"/>
        </w:rPr>
        <w:t xml:space="preserve">A </w:t>
      </w:r>
      <w:r w:rsidR="0001141A">
        <w:rPr>
          <w:rFonts w:cs="Arial"/>
          <w:szCs w:val="22"/>
        </w:rPr>
        <w:t>p</w:t>
      </w:r>
      <w:r w:rsidRPr="0073301E">
        <w:rPr>
          <w:rFonts w:cs="Arial"/>
          <w:szCs w:val="22"/>
        </w:rPr>
        <w:t>anel can conduct its business, including meetings, in any way it considers appropriate and is not subject to direction by the Minister about the way it performs its functions</w:t>
      </w:r>
      <w:r w:rsidR="006349A9">
        <w:rPr>
          <w:rFonts w:cs="Arial"/>
          <w:szCs w:val="22"/>
        </w:rPr>
        <w:t>.</w:t>
      </w:r>
      <w:r w:rsidR="007F6247">
        <w:rPr>
          <w:rStyle w:val="FootnoteReference"/>
          <w:rFonts w:cs="Arial"/>
          <w:szCs w:val="22"/>
        </w:rPr>
        <w:footnoteReference w:id="4"/>
      </w:r>
      <w:r w:rsidR="001542D0" w:rsidRPr="0073301E">
        <w:rPr>
          <w:rFonts w:cs="Arial"/>
          <w:szCs w:val="22"/>
        </w:rPr>
        <w:t xml:space="preserve"> </w:t>
      </w:r>
      <w:r w:rsidRPr="0073301E">
        <w:rPr>
          <w:rFonts w:cs="Arial"/>
          <w:szCs w:val="22"/>
          <w:lang w:val="en-GB"/>
        </w:rPr>
        <w:t>Panels typically meet and discuss the allocated cases. The panel critically reflects on the department’s Systems and Practice Review, departmental involvement and the circumstances of the family</w:t>
      </w:r>
      <w:r w:rsidR="001A5B19">
        <w:rPr>
          <w:rFonts w:cs="Arial"/>
          <w:szCs w:val="22"/>
          <w:lang w:val="en-GB"/>
        </w:rPr>
        <w:t xml:space="preserve"> leading up to the death or injury</w:t>
      </w:r>
      <w:r w:rsidRPr="0073301E">
        <w:rPr>
          <w:rFonts w:cs="Arial"/>
          <w:szCs w:val="22"/>
          <w:lang w:val="en-GB"/>
        </w:rPr>
        <w:t>.</w:t>
      </w:r>
    </w:p>
    <w:p w:rsidR="0050383F" w:rsidRPr="00FF3610" w:rsidRDefault="0050383F" w:rsidP="00DD5024">
      <w:pPr>
        <w:jc w:val="both"/>
        <w:rPr>
          <w:rFonts w:cs="Arial"/>
          <w:szCs w:val="22"/>
          <w:lang w:val="en-GB"/>
        </w:rPr>
      </w:pPr>
      <w:r w:rsidRPr="0073301E">
        <w:rPr>
          <w:rFonts w:cs="Arial"/>
        </w:rPr>
        <w:t xml:space="preserve">Child </w:t>
      </w:r>
      <w:r w:rsidRPr="000B36F9">
        <w:rPr>
          <w:rFonts w:eastAsia="Calibri" w:cs="Arial"/>
          <w:szCs w:val="22"/>
        </w:rPr>
        <w:t>Death</w:t>
      </w:r>
      <w:r w:rsidRPr="0073301E">
        <w:rPr>
          <w:rFonts w:cs="Arial"/>
        </w:rPr>
        <w:t xml:space="preserve"> Case Review Panels must decide the extent and terms of reference </w:t>
      </w:r>
      <w:r w:rsidR="00B11D78" w:rsidRPr="0073301E">
        <w:rPr>
          <w:rFonts w:cs="Arial"/>
        </w:rPr>
        <w:t>for the</w:t>
      </w:r>
      <w:r w:rsidR="00CD4D0C" w:rsidRPr="0073301E">
        <w:rPr>
          <w:rFonts w:cs="Arial"/>
        </w:rPr>
        <w:t>ir</w:t>
      </w:r>
      <w:r w:rsidR="00B11D78" w:rsidRPr="0073301E">
        <w:rPr>
          <w:rFonts w:cs="Arial"/>
        </w:rPr>
        <w:t xml:space="preserve"> review.</w:t>
      </w:r>
      <w:r w:rsidR="001542D0" w:rsidRPr="0073301E">
        <w:rPr>
          <w:rFonts w:cs="Arial"/>
        </w:rPr>
        <w:t xml:space="preserve"> </w:t>
      </w:r>
      <w:r w:rsidR="006349A9">
        <w:rPr>
          <w:rFonts w:cs="Arial"/>
        </w:rPr>
        <w:t>When reviewing the department’s review, s</w:t>
      </w:r>
      <w:r w:rsidR="002A0C29" w:rsidRPr="0073301E">
        <w:rPr>
          <w:rFonts w:cs="Arial"/>
        </w:rPr>
        <w:t>ection 246DB(</w:t>
      </w:r>
      <w:r w:rsidR="002D5F1A">
        <w:rPr>
          <w:rFonts w:cs="Arial"/>
        </w:rPr>
        <w:t>2</w:t>
      </w:r>
      <w:r w:rsidR="002A0C29" w:rsidRPr="0073301E">
        <w:rPr>
          <w:rFonts w:cs="Arial"/>
        </w:rPr>
        <w:t xml:space="preserve">) of the </w:t>
      </w:r>
      <w:r w:rsidR="006A7688" w:rsidRPr="00B84EA1">
        <w:rPr>
          <w:rFonts w:cs="Arial"/>
        </w:rPr>
        <w:t>Act</w:t>
      </w:r>
      <w:r w:rsidRPr="0073301E">
        <w:rPr>
          <w:rFonts w:cs="Arial"/>
        </w:rPr>
        <w:t xml:space="preserve"> states </w:t>
      </w:r>
      <w:r w:rsidR="00BA3DDF">
        <w:rPr>
          <w:rFonts w:cs="Arial"/>
        </w:rPr>
        <w:t xml:space="preserve">that </w:t>
      </w:r>
      <w:r w:rsidRPr="0073301E">
        <w:rPr>
          <w:rFonts w:cs="Arial"/>
        </w:rPr>
        <w:t>Child Death Case Review Panels may decide to consider:</w:t>
      </w:r>
    </w:p>
    <w:p w:rsidR="0050383F" w:rsidRPr="0073301E" w:rsidRDefault="0050383F" w:rsidP="00DD5024">
      <w:pPr>
        <w:numPr>
          <w:ilvl w:val="0"/>
          <w:numId w:val="2"/>
        </w:numPr>
        <w:jc w:val="both"/>
        <w:rPr>
          <w:rFonts w:cs="Arial"/>
        </w:rPr>
      </w:pPr>
      <w:r w:rsidRPr="0073301E">
        <w:rPr>
          <w:rFonts w:cs="Arial"/>
        </w:rPr>
        <w:t>a matter within the terms of reference of the chief executive</w:t>
      </w:r>
      <w:r w:rsidR="00DD710A" w:rsidRPr="0073301E">
        <w:rPr>
          <w:rFonts w:cs="Arial"/>
        </w:rPr>
        <w:t>’</w:t>
      </w:r>
      <w:r w:rsidRPr="0073301E">
        <w:rPr>
          <w:rFonts w:cs="Arial"/>
        </w:rPr>
        <w:t>s review</w:t>
      </w:r>
    </w:p>
    <w:p w:rsidR="0050383F" w:rsidRPr="0073301E" w:rsidRDefault="0050383F" w:rsidP="00DD5024">
      <w:pPr>
        <w:numPr>
          <w:ilvl w:val="0"/>
          <w:numId w:val="2"/>
        </w:numPr>
        <w:jc w:val="both"/>
        <w:rPr>
          <w:rFonts w:cs="Arial"/>
        </w:rPr>
      </w:pPr>
      <w:r w:rsidRPr="0073301E">
        <w:rPr>
          <w:rFonts w:cs="Arial"/>
        </w:rPr>
        <w:t>ways of improving the department</w:t>
      </w:r>
      <w:r w:rsidR="00DD710A" w:rsidRPr="0073301E">
        <w:rPr>
          <w:rFonts w:cs="Arial"/>
        </w:rPr>
        <w:t>’</w:t>
      </w:r>
      <w:r w:rsidRPr="0073301E">
        <w:rPr>
          <w:rFonts w:cs="Arial"/>
        </w:rPr>
        <w:t>s practices relating to the delivery of services to children and families</w:t>
      </w:r>
    </w:p>
    <w:p w:rsidR="0050383F" w:rsidRPr="0073301E" w:rsidRDefault="0050383F" w:rsidP="00DD5024">
      <w:pPr>
        <w:numPr>
          <w:ilvl w:val="0"/>
          <w:numId w:val="2"/>
        </w:numPr>
        <w:ind w:left="714" w:hanging="357"/>
        <w:jc w:val="both"/>
        <w:rPr>
          <w:rFonts w:cs="Arial"/>
        </w:rPr>
      </w:pPr>
      <w:r w:rsidRPr="0073301E">
        <w:rPr>
          <w:rFonts w:cs="Arial"/>
        </w:rPr>
        <w:t>ways of improving the relationship between the department and other entities with functions involving children and families</w:t>
      </w:r>
    </w:p>
    <w:p w:rsidR="0050383F" w:rsidRDefault="0050383F" w:rsidP="00DD5024">
      <w:pPr>
        <w:numPr>
          <w:ilvl w:val="0"/>
          <w:numId w:val="2"/>
        </w:numPr>
        <w:ind w:left="714" w:hanging="357"/>
        <w:jc w:val="both"/>
        <w:rPr>
          <w:rFonts w:cs="Arial"/>
        </w:rPr>
      </w:pPr>
      <w:r w:rsidRPr="0073301E">
        <w:rPr>
          <w:rFonts w:cs="Arial"/>
        </w:rPr>
        <w:lastRenderedPageBreak/>
        <w:t>whether disciplinary action should be taken against a public service employee of the department in relation to the department</w:t>
      </w:r>
      <w:r w:rsidR="00DD710A" w:rsidRPr="0073301E">
        <w:rPr>
          <w:rFonts w:cs="Arial"/>
        </w:rPr>
        <w:t>’</w:t>
      </w:r>
      <w:r w:rsidRPr="0073301E">
        <w:rPr>
          <w:rFonts w:cs="Arial"/>
        </w:rPr>
        <w:t>s involvement with a child.</w:t>
      </w:r>
    </w:p>
    <w:p w:rsidR="002D5F1A" w:rsidRPr="00FF3610" w:rsidRDefault="006349A9" w:rsidP="00DD5024">
      <w:pPr>
        <w:jc w:val="both"/>
        <w:rPr>
          <w:rFonts w:cs="Arial"/>
          <w:szCs w:val="22"/>
          <w:lang w:val="en-GB"/>
        </w:rPr>
      </w:pPr>
      <w:r>
        <w:rPr>
          <w:rFonts w:cs="Arial"/>
          <w:szCs w:val="22"/>
          <w:lang w:val="en-GB"/>
        </w:rPr>
        <w:t xml:space="preserve">When </w:t>
      </w:r>
      <w:r w:rsidR="002D5F1A">
        <w:rPr>
          <w:rFonts w:cs="Arial"/>
          <w:szCs w:val="22"/>
          <w:lang w:val="en-GB"/>
        </w:rPr>
        <w:t>reviewing</w:t>
      </w:r>
      <w:r>
        <w:rPr>
          <w:rFonts w:cs="Arial"/>
          <w:szCs w:val="22"/>
          <w:lang w:val="en-GB"/>
        </w:rPr>
        <w:t xml:space="preserve"> the </w:t>
      </w:r>
      <w:r w:rsidR="002D5F1A">
        <w:rPr>
          <w:rFonts w:cs="Arial"/>
          <w:szCs w:val="22"/>
          <w:lang w:val="en-GB"/>
        </w:rPr>
        <w:t xml:space="preserve">Director of Child Protection Litigation’ review, </w:t>
      </w:r>
      <w:r w:rsidR="002D5F1A">
        <w:rPr>
          <w:rFonts w:cs="Arial"/>
        </w:rPr>
        <w:t>s</w:t>
      </w:r>
      <w:r w:rsidR="002D5F1A" w:rsidRPr="0073301E">
        <w:rPr>
          <w:rFonts w:cs="Arial"/>
        </w:rPr>
        <w:t>ection 246DB(</w:t>
      </w:r>
      <w:r w:rsidR="002D5F1A">
        <w:rPr>
          <w:rFonts w:cs="Arial"/>
        </w:rPr>
        <w:t>2</w:t>
      </w:r>
      <w:r w:rsidR="002D5F1A" w:rsidRPr="0073301E">
        <w:rPr>
          <w:rFonts w:cs="Arial"/>
        </w:rPr>
        <w:t xml:space="preserve">) of the </w:t>
      </w:r>
      <w:r w:rsidR="002D5F1A" w:rsidRPr="00B84EA1">
        <w:rPr>
          <w:rFonts w:cs="Arial"/>
        </w:rPr>
        <w:t>Act</w:t>
      </w:r>
      <w:r w:rsidR="002D5F1A" w:rsidRPr="0073301E">
        <w:rPr>
          <w:rFonts w:cs="Arial"/>
        </w:rPr>
        <w:t xml:space="preserve"> states </w:t>
      </w:r>
      <w:r w:rsidR="002D5F1A">
        <w:rPr>
          <w:rFonts w:cs="Arial"/>
        </w:rPr>
        <w:t xml:space="preserve">that </w:t>
      </w:r>
      <w:r w:rsidR="002D5F1A" w:rsidRPr="0073301E">
        <w:rPr>
          <w:rFonts w:cs="Arial"/>
        </w:rPr>
        <w:t>Child Death Case Review Panels may decide to consider:</w:t>
      </w:r>
    </w:p>
    <w:p w:rsidR="002D5F1A" w:rsidRDefault="00B33408" w:rsidP="00DD5024">
      <w:pPr>
        <w:numPr>
          <w:ilvl w:val="0"/>
          <w:numId w:val="2"/>
        </w:numPr>
        <w:jc w:val="both"/>
        <w:rPr>
          <w:rFonts w:cs="Arial"/>
        </w:rPr>
      </w:pPr>
      <w:r>
        <w:rPr>
          <w:rFonts w:cs="Arial"/>
        </w:rPr>
        <w:t xml:space="preserve">ways of improving the guidelines made by the Director of Child Protection Litigation under the </w:t>
      </w:r>
      <w:r w:rsidRPr="00B33408">
        <w:rPr>
          <w:rFonts w:cs="Arial"/>
          <w:i/>
        </w:rPr>
        <w:t>Director of Child Protection Litigation Act 2016</w:t>
      </w:r>
      <w:r>
        <w:rPr>
          <w:rFonts w:cs="Arial"/>
        </w:rPr>
        <w:t>, section 39, and any other relevant policies</w:t>
      </w:r>
    </w:p>
    <w:p w:rsidR="00B33408" w:rsidRDefault="005B7CBA" w:rsidP="00DD5024">
      <w:pPr>
        <w:numPr>
          <w:ilvl w:val="0"/>
          <w:numId w:val="2"/>
        </w:numPr>
        <w:jc w:val="both"/>
        <w:rPr>
          <w:rFonts w:cs="Arial"/>
        </w:rPr>
      </w:pPr>
      <w:r>
        <w:rPr>
          <w:rFonts w:cs="Arial"/>
        </w:rPr>
        <w:t>ways of improving the relationship between the Office of the Director of Child Protection Litigation and the department</w:t>
      </w:r>
    </w:p>
    <w:p w:rsidR="005B7CBA" w:rsidRDefault="005B7CBA" w:rsidP="00DD5024">
      <w:pPr>
        <w:numPr>
          <w:ilvl w:val="0"/>
          <w:numId w:val="2"/>
        </w:numPr>
        <w:jc w:val="both"/>
        <w:rPr>
          <w:rFonts w:cs="Arial"/>
        </w:rPr>
      </w:pPr>
      <w:r>
        <w:rPr>
          <w:rFonts w:cs="Arial"/>
        </w:rPr>
        <w:t>whether disciplinary action should be taken against a member of the Director of Child Protection Litigation’s staff in relation to the staff member’s performance of a litigation function.</w:t>
      </w:r>
    </w:p>
    <w:p w:rsidR="003E2F8A" w:rsidRPr="0073301E" w:rsidRDefault="0050383F" w:rsidP="00DD5024">
      <w:pPr>
        <w:jc w:val="both"/>
        <w:rPr>
          <w:rFonts w:cs="Arial"/>
          <w:lang w:val="en-GB"/>
        </w:rPr>
      </w:pPr>
      <w:r w:rsidRPr="0073301E">
        <w:rPr>
          <w:rFonts w:cs="Arial"/>
          <w:szCs w:val="22"/>
          <w:lang w:val="en-GB"/>
        </w:rPr>
        <w:t xml:space="preserve">Following the </w:t>
      </w:r>
      <w:r w:rsidR="00B11D78" w:rsidRPr="0073301E">
        <w:rPr>
          <w:rFonts w:cs="Arial"/>
          <w:szCs w:val="22"/>
          <w:lang w:val="en-GB"/>
        </w:rPr>
        <w:t xml:space="preserve">panel </w:t>
      </w:r>
      <w:r w:rsidRPr="0073301E">
        <w:rPr>
          <w:rFonts w:cs="Arial"/>
          <w:szCs w:val="22"/>
          <w:lang w:val="en-GB"/>
        </w:rPr>
        <w:t>meeting</w:t>
      </w:r>
      <w:r w:rsidR="006A7688">
        <w:rPr>
          <w:rFonts w:cs="Arial"/>
          <w:szCs w:val="22"/>
          <w:lang w:val="en-GB"/>
        </w:rPr>
        <w:t>,</w:t>
      </w:r>
      <w:r w:rsidRPr="0073301E">
        <w:rPr>
          <w:rFonts w:cs="Arial"/>
          <w:szCs w:val="22"/>
          <w:lang w:val="en-GB"/>
        </w:rPr>
        <w:t xml:space="preserve"> a final report is prepared by the panel chair, with support </w:t>
      </w:r>
      <w:r w:rsidR="0001141A">
        <w:rPr>
          <w:rFonts w:cs="Arial"/>
          <w:szCs w:val="22"/>
          <w:lang w:val="en-GB"/>
        </w:rPr>
        <w:t>from</w:t>
      </w:r>
      <w:r w:rsidR="0001141A" w:rsidRPr="0073301E">
        <w:rPr>
          <w:rFonts w:cs="Arial"/>
          <w:szCs w:val="22"/>
          <w:lang w:val="en-GB"/>
        </w:rPr>
        <w:t xml:space="preserve"> </w:t>
      </w:r>
      <w:r w:rsidRPr="0073301E">
        <w:rPr>
          <w:rFonts w:cs="Arial"/>
          <w:szCs w:val="22"/>
          <w:lang w:val="en-GB"/>
        </w:rPr>
        <w:t xml:space="preserve">the </w:t>
      </w:r>
      <w:r w:rsidR="00041726" w:rsidRPr="0073301E">
        <w:rPr>
          <w:rFonts w:cs="Arial"/>
          <w:szCs w:val="22"/>
          <w:lang w:val="en-GB"/>
        </w:rPr>
        <w:t xml:space="preserve">Child Death Case Review Panel </w:t>
      </w:r>
      <w:r w:rsidR="00CD4D0C" w:rsidRPr="0073301E">
        <w:rPr>
          <w:rFonts w:cs="Arial"/>
          <w:szCs w:val="22"/>
          <w:lang w:val="en-GB"/>
        </w:rPr>
        <w:t>S</w:t>
      </w:r>
      <w:r w:rsidRPr="0073301E">
        <w:rPr>
          <w:rFonts w:cs="Arial"/>
          <w:szCs w:val="22"/>
          <w:lang w:val="en-GB"/>
        </w:rPr>
        <w:t>ecretariat, outlining the views</w:t>
      </w:r>
      <w:r w:rsidR="00D80CAD">
        <w:rPr>
          <w:rFonts w:cs="Arial"/>
          <w:szCs w:val="22"/>
          <w:lang w:val="en-GB"/>
        </w:rPr>
        <w:t>, conclusions and recommendations</w:t>
      </w:r>
      <w:r w:rsidRPr="0073301E">
        <w:rPr>
          <w:rFonts w:cs="Arial"/>
          <w:szCs w:val="22"/>
          <w:lang w:val="en-GB"/>
        </w:rPr>
        <w:t xml:space="preserve"> of the panel. This report typically contains the panel’s consideration and </w:t>
      </w:r>
      <w:r w:rsidR="00D80CAD">
        <w:rPr>
          <w:rFonts w:cs="Arial"/>
          <w:szCs w:val="22"/>
          <w:lang w:val="en-GB"/>
        </w:rPr>
        <w:t>conclusions</w:t>
      </w:r>
      <w:r w:rsidR="00D80CAD" w:rsidRPr="0073301E">
        <w:rPr>
          <w:rFonts w:cs="Arial"/>
          <w:szCs w:val="22"/>
          <w:lang w:val="en-GB"/>
        </w:rPr>
        <w:t xml:space="preserve"> </w:t>
      </w:r>
      <w:r w:rsidRPr="0073301E">
        <w:rPr>
          <w:rFonts w:cs="Arial"/>
          <w:szCs w:val="22"/>
          <w:lang w:val="en-GB"/>
        </w:rPr>
        <w:t>for each departmental Systems and Practice Review</w:t>
      </w:r>
      <w:r w:rsidR="0001141A">
        <w:rPr>
          <w:rFonts w:cs="Arial"/>
          <w:szCs w:val="22"/>
          <w:lang w:val="en-GB"/>
        </w:rPr>
        <w:t xml:space="preserve">. It also includes </w:t>
      </w:r>
      <w:r w:rsidRPr="0073301E">
        <w:rPr>
          <w:rFonts w:cs="Arial"/>
          <w:szCs w:val="22"/>
          <w:lang w:val="en-GB"/>
        </w:rPr>
        <w:t xml:space="preserve">any </w:t>
      </w:r>
      <w:r w:rsidR="00867C9D">
        <w:rPr>
          <w:rFonts w:cs="Arial"/>
          <w:szCs w:val="22"/>
          <w:lang w:val="en-GB"/>
        </w:rPr>
        <w:t>broader overarching</w:t>
      </w:r>
      <w:r w:rsidR="0001141A">
        <w:rPr>
          <w:rFonts w:cs="Arial"/>
          <w:szCs w:val="22"/>
          <w:lang w:val="en-GB"/>
        </w:rPr>
        <w:t xml:space="preserve"> </w:t>
      </w:r>
      <w:r w:rsidRPr="0073301E">
        <w:rPr>
          <w:rFonts w:cs="Arial"/>
          <w:szCs w:val="22"/>
          <w:lang w:val="en-GB"/>
        </w:rPr>
        <w:t>themes</w:t>
      </w:r>
      <w:r w:rsidR="00CD4E5F">
        <w:rPr>
          <w:rFonts w:cs="Arial"/>
          <w:szCs w:val="22"/>
          <w:lang w:val="en-GB"/>
        </w:rPr>
        <w:t xml:space="preserve">, </w:t>
      </w:r>
      <w:r w:rsidR="00CD4E5F" w:rsidRPr="00CD4E5F">
        <w:rPr>
          <w:rFonts w:cs="Arial"/>
          <w:szCs w:val="22"/>
        </w:rPr>
        <w:t>conclusions and recommendations</w:t>
      </w:r>
      <w:r w:rsidR="00867C9D">
        <w:rPr>
          <w:rFonts w:cs="Arial"/>
          <w:szCs w:val="22"/>
        </w:rPr>
        <w:t xml:space="preserve"> that may be</w:t>
      </w:r>
      <w:r w:rsidR="00867C9D">
        <w:rPr>
          <w:rFonts w:cs="Arial"/>
          <w:szCs w:val="22"/>
          <w:lang w:val="en-GB"/>
        </w:rPr>
        <w:t xml:space="preserve"> identified by the p</w:t>
      </w:r>
      <w:r w:rsidRPr="0073301E">
        <w:rPr>
          <w:rFonts w:cs="Arial"/>
          <w:szCs w:val="22"/>
          <w:lang w:val="en-GB"/>
        </w:rPr>
        <w:t>anel</w:t>
      </w:r>
      <w:r w:rsidR="00867C9D">
        <w:rPr>
          <w:rFonts w:cs="Arial"/>
          <w:szCs w:val="22"/>
          <w:lang w:val="en-GB"/>
        </w:rPr>
        <w:t>.</w:t>
      </w:r>
    </w:p>
    <w:p w:rsidR="002F08CB" w:rsidRDefault="00D1295B" w:rsidP="00DD5024">
      <w:pPr>
        <w:jc w:val="both"/>
        <w:rPr>
          <w:rFonts w:cs="Arial"/>
          <w:szCs w:val="22"/>
          <w:lang w:val="en-GB"/>
        </w:rPr>
      </w:pPr>
      <w:r w:rsidRPr="00335F78">
        <w:rPr>
          <w:rFonts w:cs="Arial"/>
          <w:szCs w:val="22"/>
          <w:lang w:val="en-GB"/>
        </w:rPr>
        <w:t>Within six months of receiving the department</w:t>
      </w:r>
      <w:r w:rsidR="00601724" w:rsidRPr="00335F78">
        <w:rPr>
          <w:rFonts w:cs="Arial"/>
          <w:szCs w:val="22"/>
          <w:lang w:val="en-GB"/>
        </w:rPr>
        <w:t>’</w:t>
      </w:r>
      <w:r w:rsidRPr="00335F78">
        <w:rPr>
          <w:rFonts w:cs="Arial"/>
          <w:szCs w:val="22"/>
          <w:lang w:val="en-GB"/>
        </w:rPr>
        <w:t>s review report</w:t>
      </w:r>
      <w:r w:rsidR="00F80B47" w:rsidRPr="00335F78">
        <w:rPr>
          <w:rFonts w:cs="Arial"/>
          <w:szCs w:val="22"/>
          <w:lang w:val="en-GB"/>
        </w:rPr>
        <w:t>,</w:t>
      </w:r>
      <w:r w:rsidRPr="00335F78">
        <w:rPr>
          <w:rFonts w:cs="Arial"/>
          <w:szCs w:val="22"/>
          <w:lang w:val="en-GB"/>
        </w:rPr>
        <w:t xml:space="preserve"> the </w:t>
      </w:r>
      <w:r w:rsidR="00585355" w:rsidRPr="00335F78">
        <w:rPr>
          <w:rFonts w:cs="Arial"/>
          <w:szCs w:val="22"/>
          <w:lang w:val="en-GB"/>
        </w:rPr>
        <w:t>Child Death Case Review Panel</w:t>
      </w:r>
      <w:r w:rsidRPr="00335F78">
        <w:rPr>
          <w:rFonts w:cs="Arial"/>
          <w:szCs w:val="22"/>
          <w:lang w:val="en-GB"/>
        </w:rPr>
        <w:t xml:space="preserve"> must complete its review, prepare a report and provide it to the </w:t>
      </w:r>
      <w:r w:rsidR="001A16C9" w:rsidRPr="00335F78">
        <w:rPr>
          <w:rFonts w:cs="Arial"/>
          <w:szCs w:val="22"/>
          <w:lang w:val="en-GB"/>
        </w:rPr>
        <w:t>chief executive</w:t>
      </w:r>
      <w:r w:rsidR="002F08CB">
        <w:rPr>
          <w:rFonts w:cs="Arial"/>
          <w:szCs w:val="22"/>
          <w:lang w:val="en-GB"/>
        </w:rPr>
        <w:t xml:space="preserve"> of the department</w:t>
      </w:r>
      <w:r w:rsidR="00D80CAD" w:rsidRPr="00335F78">
        <w:rPr>
          <w:rFonts w:cs="Arial"/>
          <w:szCs w:val="22"/>
          <w:lang w:val="en-GB"/>
        </w:rPr>
        <w:t>.</w:t>
      </w:r>
      <w:r w:rsidR="00E147A3" w:rsidRPr="00335F78">
        <w:rPr>
          <w:rStyle w:val="FootnoteReference"/>
          <w:rFonts w:cs="Arial"/>
        </w:rPr>
        <w:footnoteReference w:id="5"/>
      </w:r>
      <w:r w:rsidR="001542D0" w:rsidRPr="00335F78">
        <w:rPr>
          <w:rFonts w:cs="Arial"/>
          <w:szCs w:val="22"/>
          <w:lang w:val="en-GB"/>
        </w:rPr>
        <w:t xml:space="preserve"> </w:t>
      </w:r>
      <w:r w:rsidR="002F08CB">
        <w:rPr>
          <w:rFonts w:cs="Arial"/>
          <w:szCs w:val="22"/>
          <w:lang w:val="en-GB"/>
        </w:rPr>
        <w:t>If both the department and the Director of Child Protection Litigation are required to carry out a review, the panel must review both reviews at the same time, prepare its reports and deliver them to the chief executive and the Director of Child Protection Litigation within six months of receiving both reviews.</w:t>
      </w:r>
      <w:r w:rsidR="002F08CB">
        <w:rPr>
          <w:rStyle w:val="FootnoteReference"/>
          <w:rFonts w:cs="Arial"/>
          <w:szCs w:val="22"/>
          <w:lang w:val="en-GB"/>
        </w:rPr>
        <w:footnoteReference w:id="6"/>
      </w:r>
      <w:r w:rsidR="002F08CB">
        <w:rPr>
          <w:rFonts w:cs="Arial"/>
          <w:szCs w:val="22"/>
          <w:lang w:val="en-GB"/>
        </w:rPr>
        <w:t xml:space="preserve"> </w:t>
      </w:r>
      <w:r w:rsidR="00692796" w:rsidRPr="00692796">
        <w:rPr>
          <w:rFonts w:cs="Arial"/>
          <w:i/>
          <w:szCs w:val="22"/>
          <w:lang w:val="en-GB"/>
        </w:rPr>
        <w:t>Figure 1</w:t>
      </w:r>
      <w:r w:rsidR="00692796">
        <w:rPr>
          <w:rFonts w:cs="Arial"/>
          <w:szCs w:val="22"/>
          <w:lang w:val="en-GB"/>
        </w:rPr>
        <w:t xml:space="preserve"> explains the Queensland case review system</w:t>
      </w:r>
      <w:r w:rsidR="00D94594">
        <w:rPr>
          <w:rFonts w:cs="Arial"/>
          <w:szCs w:val="22"/>
          <w:lang w:val="en-GB"/>
        </w:rPr>
        <w:t xml:space="preserve"> for those children known to the child protection system</w:t>
      </w:r>
      <w:r w:rsidR="00692796">
        <w:rPr>
          <w:rFonts w:cs="Arial"/>
          <w:szCs w:val="22"/>
          <w:lang w:val="en-GB"/>
        </w:rPr>
        <w:t xml:space="preserve">.  </w:t>
      </w:r>
    </w:p>
    <w:p w:rsidR="00335F78" w:rsidRDefault="00D1295B" w:rsidP="00DD5024">
      <w:pPr>
        <w:jc w:val="both"/>
        <w:rPr>
          <w:rFonts w:cs="Arial"/>
          <w:szCs w:val="22"/>
          <w:lang w:val="en-GB"/>
        </w:rPr>
      </w:pPr>
      <w:r w:rsidRPr="00335F78">
        <w:rPr>
          <w:rFonts w:cs="Arial"/>
          <w:szCs w:val="22"/>
          <w:lang w:val="en-GB"/>
        </w:rPr>
        <w:t xml:space="preserve">The </w:t>
      </w:r>
      <w:r w:rsidR="001A16C9" w:rsidRPr="00335F78">
        <w:rPr>
          <w:rFonts w:cs="Arial"/>
          <w:szCs w:val="22"/>
          <w:lang w:val="en-GB"/>
        </w:rPr>
        <w:t xml:space="preserve">chief executive </w:t>
      </w:r>
      <w:r w:rsidR="002F08CB">
        <w:rPr>
          <w:rFonts w:cs="Arial"/>
          <w:szCs w:val="22"/>
          <w:lang w:val="en-GB"/>
        </w:rPr>
        <w:t xml:space="preserve">of the department </w:t>
      </w:r>
      <w:r w:rsidRPr="00335F78">
        <w:rPr>
          <w:rFonts w:cs="Arial"/>
          <w:szCs w:val="22"/>
          <w:lang w:val="en-GB"/>
        </w:rPr>
        <w:t xml:space="preserve">must give a copy of </w:t>
      </w:r>
      <w:r w:rsidR="000E3776">
        <w:rPr>
          <w:rFonts w:cs="Arial"/>
          <w:szCs w:val="22"/>
          <w:lang w:val="en-GB"/>
        </w:rPr>
        <w:t>its</w:t>
      </w:r>
      <w:r w:rsidR="000E3776" w:rsidRPr="00335F78">
        <w:rPr>
          <w:rFonts w:cs="Arial"/>
          <w:szCs w:val="22"/>
          <w:lang w:val="en-GB"/>
        </w:rPr>
        <w:t xml:space="preserve"> </w:t>
      </w:r>
      <w:r w:rsidRPr="00335F78">
        <w:rPr>
          <w:rFonts w:cs="Arial"/>
          <w:szCs w:val="22"/>
          <w:lang w:val="en-GB"/>
        </w:rPr>
        <w:t>report to the Minister if the review was initiated by a request from the Minister or</w:t>
      </w:r>
      <w:r w:rsidR="00CD4D0C" w:rsidRPr="00335F78">
        <w:rPr>
          <w:rFonts w:cs="Arial"/>
          <w:szCs w:val="22"/>
          <w:lang w:val="en-GB"/>
        </w:rPr>
        <w:t xml:space="preserve"> if</w:t>
      </w:r>
      <w:r w:rsidRPr="00335F78">
        <w:rPr>
          <w:rFonts w:cs="Arial"/>
          <w:szCs w:val="22"/>
          <w:lang w:val="en-GB"/>
        </w:rPr>
        <w:t xml:space="preserve"> the Min</w:t>
      </w:r>
      <w:r w:rsidR="00DD33F8">
        <w:rPr>
          <w:rFonts w:cs="Arial"/>
          <w:szCs w:val="22"/>
          <w:lang w:val="en-GB"/>
        </w:rPr>
        <w:t>i</w:t>
      </w:r>
      <w:r w:rsidRPr="00335F78">
        <w:rPr>
          <w:rFonts w:cs="Arial"/>
          <w:szCs w:val="22"/>
          <w:lang w:val="en-GB"/>
        </w:rPr>
        <w:t>ster requests a copy.</w:t>
      </w:r>
      <w:r w:rsidR="002F08CB">
        <w:rPr>
          <w:rFonts w:cs="Arial"/>
          <w:szCs w:val="22"/>
          <w:lang w:val="en-GB"/>
        </w:rPr>
        <w:t xml:space="preserve"> The Director of Child Protection Litigation </w:t>
      </w:r>
      <w:r w:rsidR="000E3776">
        <w:rPr>
          <w:rFonts w:cs="Arial"/>
          <w:szCs w:val="22"/>
          <w:lang w:val="en-GB"/>
        </w:rPr>
        <w:t xml:space="preserve">must give a copy of its report to the Minister for Justice if requested. </w:t>
      </w:r>
    </w:p>
    <w:p w:rsidR="00335F78" w:rsidRDefault="000E3776" w:rsidP="00DD5024">
      <w:pPr>
        <w:jc w:val="both"/>
        <w:rPr>
          <w:rFonts w:cs="Arial"/>
          <w:szCs w:val="22"/>
          <w:lang w:val="en-GB"/>
        </w:rPr>
      </w:pPr>
      <w:r>
        <w:rPr>
          <w:rFonts w:cs="Arial"/>
          <w:szCs w:val="22"/>
          <w:lang w:val="en-GB"/>
        </w:rPr>
        <w:t xml:space="preserve">The chief executive of the department and the Director of Child Protection Litigation may give copies of their respective reports to each other. </w:t>
      </w:r>
    </w:p>
    <w:p w:rsidR="000E3776" w:rsidRDefault="000E3776" w:rsidP="00DD5024">
      <w:pPr>
        <w:jc w:val="both"/>
        <w:rPr>
          <w:rFonts w:cs="Arial"/>
          <w:szCs w:val="22"/>
          <w:lang w:val="en-GB"/>
        </w:rPr>
      </w:pPr>
    </w:p>
    <w:p w:rsidR="009B2570" w:rsidRDefault="009B2570" w:rsidP="009B2570">
      <w:pPr>
        <w:spacing w:before="82"/>
        <w:ind w:left="-284"/>
        <w:rPr>
          <w:rFonts w:cs="Arial"/>
          <w:spacing w:val="1"/>
          <w:w w:val="125"/>
        </w:rPr>
        <w:sectPr w:rsidR="009B2570" w:rsidSect="00591B31">
          <w:headerReference w:type="default" r:id="rId16"/>
          <w:pgSz w:w="11906" w:h="16838" w:code="9"/>
          <w:pgMar w:top="2098" w:right="1418" w:bottom="1418" w:left="1418" w:header="426" w:footer="450" w:gutter="0"/>
          <w:cols w:space="708"/>
          <w:titlePg/>
          <w:docGrid w:linePitch="360"/>
        </w:sectPr>
      </w:pPr>
    </w:p>
    <w:p w:rsidR="009B2570" w:rsidRPr="00142823" w:rsidRDefault="009B2570" w:rsidP="009B2570">
      <w:pPr>
        <w:spacing w:before="82"/>
        <w:ind w:left="-284"/>
        <w:rPr>
          <w:rFonts w:cs="Arial"/>
        </w:rPr>
      </w:pPr>
      <w:r w:rsidRPr="00142823">
        <w:rPr>
          <w:rFonts w:cs="Arial"/>
          <w:spacing w:val="1"/>
          <w:w w:val="125"/>
        </w:rPr>
        <w:lastRenderedPageBreak/>
        <w:t>F</w:t>
      </w:r>
      <w:r w:rsidRPr="00142823">
        <w:rPr>
          <w:rFonts w:cs="Arial"/>
          <w:spacing w:val="-3"/>
          <w:w w:val="125"/>
        </w:rPr>
        <w:t>i</w:t>
      </w:r>
      <w:r w:rsidRPr="00142823">
        <w:rPr>
          <w:rFonts w:cs="Arial"/>
          <w:w w:val="125"/>
        </w:rPr>
        <w:t>g</w:t>
      </w:r>
      <w:r w:rsidRPr="00142823">
        <w:rPr>
          <w:rFonts w:cs="Arial"/>
          <w:spacing w:val="1"/>
          <w:w w:val="125"/>
        </w:rPr>
        <w:t>u</w:t>
      </w:r>
      <w:r w:rsidRPr="00142823">
        <w:rPr>
          <w:rFonts w:cs="Arial"/>
          <w:spacing w:val="-3"/>
          <w:w w:val="125"/>
        </w:rPr>
        <w:t>r</w:t>
      </w:r>
      <w:r w:rsidRPr="00142823">
        <w:rPr>
          <w:rFonts w:cs="Arial"/>
          <w:w w:val="125"/>
        </w:rPr>
        <w:t>e</w:t>
      </w:r>
      <w:r w:rsidRPr="00142823">
        <w:rPr>
          <w:rFonts w:cs="Arial"/>
          <w:spacing w:val="-18"/>
          <w:w w:val="125"/>
        </w:rPr>
        <w:t xml:space="preserve"> </w:t>
      </w:r>
      <w:r w:rsidRPr="00142823">
        <w:rPr>
          <w:rFonts w:cs="Arial"/>
          <w:spacing w:val="-3"/>
          <w:w w:val="125"/>
        </w:rPr>
        <w:t>1</w:t>
      </w:r>
      <w:r w:rsidRPr="00142823">
        <w:rPr>
          <w:rFonts w:cs="Arial"/>
          <w:w w:val="125"/>
        </w:rPr>
        <w:t>.</w:t>
      </w:r>
      <w:r w:rsidRPr="00142823">
        <w:rPr>
          <w:rFonts w:cs="Arial"/>
          <w:spacing w:val="-17"/>
          <w:w w:val="125"/>
        </w:rPr>
        <w:t xml:space="preserve"> </w:t>
      </w:r>
      <w:r w:rsidRPr="00142823">
        <w:rPr>
          <w:rFonts w:cs="Arial"/>
          <w:w w:val="125"/>
        </w:rPr>
        <w:t>T</w:t>
      </w:r>
      <w:r w:rsidRPr="00142823">
        <w:rPr>
          <w:rFonts w:cs="Arial"/>
          <w:spacing w:val="1"/>
          <w:w w:val="125"/>
        </w:rPr>
        <w:t>h</w:t>
      </w:r>
      <w:r w:rsidRPr="00142823">
        <w:rPr>
          <w:rFonts w:cs="Arial"/>
          <w:w w:val="125"/>
        </w:rPr>
        <w:t>e</w:t>
      </w:r>
      <w:r w:rsidRPr="00142823">
        <w:rPr>
          <w:rFonts w:cs="Arial"/>
          <w:spacing w:val="-20"/>
          <w:w w:val="125"/>
        </w:rPr>
        <w:t xml:space="preserve"> </w:t>
      </w:r>
      <w:r w:rsidRPr="00142823">
        <w:rPr>
          <w:rFonts w:cs="Arial"/>
          <w:spacing w:val="2"/>
          <w:w w:val="125"/>
        </w:rPr>
        <w:t>Q</w:t>
      </w:r>
      <w:r w:rsidRPr="00142823">
        <w:rPr>
          <w:rFonts w:cs="Arial"/>
          <w:w w:val="125"/>
        </w:rPr>
        <w:t>u</w:t>
      </w:r>
      <w:r w:rsidRPr="00142823">
        <w:rPr>
          <w:rFonts w:cs="Arial"/>
          <w:spacing w:val="1"/>
          <w:w w:val="125"/>
        </w:rPr>
        <w:t>e</w:t>
      </w:r>
      <w:r w:rsidRPr="00142823">
        <w:rPr>
          <w:rFonts w:cs="Arial"/>
          <w:spacing w:val="-2"/>
          <w:w w:val="125"/>
        </w:rPr>
        <w:t>e</w:t>
      </w:r>
      <w:r w:rsidRPr="00142823">
        <w:rPr>
          <w:rFonts w:cs="Arial"/>
          <w:spacing w:val="1"/>
          <w:w w:val="125"/>
        </w:rPr>
        <w:t>n</w:t>
      </w:r>
      <w:r w:rsidRPr="00142823">
        <w:rPr>
          <w:rFonts w:cs="Arial"/>
          <w:w w:val="125"/>
        </w:rPr>
        <w:t>s</w:t>
      </w:r>
      <w:r w:rsidRPr="00142823">
        <w:rPr>
          <w:rFonts w:cs="Arial"/>
          <w:spacing w:val="2"/>
          <w:w w:val="125"/>
        </w:rPr>
        <w:t>l</w:t>
      </w:r>
      <w:r w:rsidRPr="00142823">
        <w:rPr>
          <w:rFonts w:cs="Arial"/>
          <w:spacing w:val="-2"/>
          <w:w w:val="125"/>
        </w:rPr>
        <w:t>a</w:t>
      </w:r>
      <w:r w:rsidRPr="00142823">
        <w:rPr>
          <w:rFonts w:cs="Arial"/>
          <w:spacing w:val="1"/>
          <w:w w:val="125"/>
        </w:rPr>
        <w:t>n</w:t>
      </w:r>
      <w:r w:rsidRPr="00142823">
        <w:rPr>
          <w:rFonts w:cs="Arial"/>
          <w:w w:val="125"/>
        </w:rPr>
        <w:t>d</w:t>
      </w:r>
      <w:r w:rsidRPr="00142823">
        <w:rPr>
          <w:rFonts w:cs="Arial"/>
          <w:spacing w:val="-19"/>
          <w:w w:val="125"/>
        </w:rPr>
        <w:t xml:space="preserve"> </w:t>
      </w:r>
      <w:r w:rsidRPr="00142823">
        <w:rPr>
          <w:rFonts w:cs="Arial"/>
          <w:spacing w:val="3"/>
          <w:w w:val="125"/>
        </w:rPr>
        <w:t>C</w:t>
      </w:r>
      <w:r w:rsidRPr="00142823">
        <w:rPr>
          <w:rFonts w:cs="Arial"/>
          <w:w w:val="125"/>
        </w:rPr>
        <w:t>h</w:t>
      </w:r>
      <w:r w:rsidRPr="00142823">
        <w:rPr>
          <w:rFonts w:cs="Arial"/>
          <w:spacing w:val="-3"/>
          <w:w w:val="125"/>
        </w:rPr>
        <w:t>i</w:t>
      </w:r>
      <w:r w:rsidRPr="00142823">
        <w:rPr>
          <w:rFonts w:cs="Arial"/>
          <w:w w:val="125"/>
        </w:rPr>
        <w:t>ld</w:t>
      </w:r>
      <w:r w:rsidRPr="00142823">
        <w:rPr>
          <w:rFonts w:cs="Arial"/>
          <w:spacing w:val="-18"/>
          <w:w w:val="125"/>
        </w:rPr>
        <w:t xml:space="preserve"> </w:t>
      </w:r>
      <w:r w:rsidRPr="00142823">
        <w:rPr>
          <w:rFonts w:cs="Arial"/>
          <w:spacing w:val="1"/>
          <w:w w:val="125"/>
        </w:rPr>
        <w:t>De</w:t>
      </w:r>
      <w:r w:rsidRPr="00142823">
        <w:rPr>
          <w:rFonts w:cs="Arial"/>
          <w:spacing w:val="-2"/>
          <w:w w:val="125"/>
        </w:rPr>
        <w:t>a</w:t>
      </w:r>
      <w:r w:rsidRPr="00142823">
        <w:rPr>
          <w:rFonts w:cs="Arial"/>
          <w:w w:val="125"/>
        </w:rPr>
        <w:t>th</w:t>
      </w:r>
      <w:r w:rsidRPr="00142823">
        <w:rPr>
          <w:rFonts w:cs="Arial"/>
          <w:spacing w:val="-18"/>
          <w:w w:val="125"/>
        </w:rPr>
        <w:t xml:space="preserve"> </w:t>
      </w:r>
      <w:r w:rsidRPr="00142823">
        <w:rPr>
          <w:rFonts w:cs="Arial"/>
          <w:w w:val="125"/>
        </w:rPr>
        <w:t>Ca</w:t>
      </w:r>
      <w:r w:rsidRPr="00142823">
        <w:rPr>
          <w:rFonts w:cs="Arial"/>
          <w:spacing w:val="1"/>
          <w:w w:val="125"/>
        </w:rPr>
        <w:t>s</w:t>
      </w:r>
      <w:r w:rsidRPr="00142823">
        <w:rPr>
          <w:rFonts w:cs="Arial"/>
          <w:w w:val="125"/>
        </w:rPr>
        <w:t>e</w:t>
      </w:r>
      <w:r w:rsidRPr="00142823">
        <w:rPr>
          <w:rFonts w:cs="Arial"/>
          <w:spacing w:val="-20"/>
          <w:w w:val="125"/>
        </w:rPr>
        <w:t xml:space="preserve"> </w:t>
      </w:r>
      <w:r w:rsidRPr="00142823">
        <w:rPr>
          <w:rFonts w:cs="Arial"/>
          <w:w w:val="125"/>
        </w:rPr>
        <w:t>R</w:t>
      </w:r>
      <w:r w:rsidRPr="00142823">
        <w:rPr>
          <w:rFonts w:cs="Arial"/>
          <w:spacing w:val="1"/>
          <w:w w:val="125"/>
        </w:rPr>
        <w:t>e</w:t>
      </w:r>
      <w:r w:rsidRPr="00142823">
        <w:rPr>
          <w:rFonts w:cs="Arial"/>
          <w:spacing w:val="-3"/>
          <w:w w:val="125"/>
        </w:rPr>
        <w:t>v</w:t>
      </w:r>
      <w:r w:rsidRPr="00142823">
        <w:rPr>
          <w:rFonts w:cs="Arial"/>
          <w:w w:val="125"/>
        </w:rPr>
        <w:t>i</w:t>
      </w:r>
      <w:r w:rsidRPr="00142823">
        <w:rPr>
          <w:rFonts w:cs="Arial"/>
          <w:spacing w:val="-2"/>
          <w:w w:val="125"/>
        </w:rPr>
        <w:t>e</w:t>
      </w:r>
      <w:r w:rsidRPr="00142823">
        <w:rPr>
          <w:rFonts w:cs="Arial"/>
          <w:w w:val="125"/>
        </w:rPr>
        <w:t>w</w:t>
      </w:r>
      <w:r w:rsidRPr="00142823">
        <w:rPr>
          <w:rFonts w:cs="Arial"/>
          <w:spacing w:val="-16"/>
          <w:w w:val="125"/>
        </w:rPr>
        <w:t xml:space="preserve"> </w:t>
      </w:r>
      <w:r w:rsidRPr="00142823">
        <w:rPr>
          <w:rFonts w:cs="Arial"/>
          <w:w w:val="125"/>
        </w:rPr>
        <w:t>s</w:t>
      </w:r>
      <w:r w:rsidRPr="00142823">
        <w:rPr>
          <w:rFonts w:cs="Arial"/>
          <w:spacing w:val="-3"/>
          <w:w w:val="125"/>
        </w:rPr>
        <w:t>y</w:t>
      </w:r>
      <w:r w:rsidRPr="00142823">
        <w:rPr>
          <w:rFonts w:cs="Arial"/>
          <w:spacing w:val="1"/>
          <w:w w:val="125"/>
        </w:rPr>
        <w:t>s</w:t>
      </w:r>
      <w:r w:rsidRPr="00142823">
        <w:rPr>
          <w:rFonts w:cs="Arial"/>
          <w:w w:val="125"/>
        </w:rPr>
        <w:t>tem</w:t>
      </w:r>
    </w:p>
    <w:p w:rsidR="009B2570" w:rsidRPr="006C2152" w:rsidRDefault="009B2570" w:rsidP="009B2570">
      <w:pPr>
        <w:autoSpaceDE w:val="0"/>
        <w:autoSpaceDN w:val="0"/>
        <w:adjustRightInd w:val="0"/>
        <w:spacing w:before="240"/>
        <w:jc w:val="center"/>
        <w:rPr>
          <w:rFonts w:cs="Arial"/>
          <w:b/>
          <w:bCs/>
          <w:szCs w:val="20"/>
        </w:rPr>
      </w:pPr>
      <w:r w:rsidRPr="006C2152">
        <w:rPr>
          <w:rFonts w:cs="Arial"/>
          <w:b/>
          <w:bCs/>
          <w:szCs w:val="20"/>
        </w:rPr>
        <w:t>Ministerial oversight</w:t>
      </w:r>
    </w:p>
    <w:p w:rsidR="009B2570" w:rsidRPr="006C2152" w:rsidRDefault="009B2570" w:rsidP="009B2570">
      <w:pPr>
        <w:autoSpaceDE w:val="0"/>
        <w:autoSpaceDN w:val="0"/>
        <w:adjustRightInd w:val="0"/>
        <w:spacing w:after="60"/>
        <w:jc w:val="center"/>
        <w:rPr>
          <w:rFonts w:cs="Arial"/>
          <w:szCs w:val="20"/>
        </w:rPr>
      </w:pPr>
      <w:r w:rsidRPr="006C2152">
        <w:rPr>
          <w:rFonts w:cs="Arial"/>
          <w:szCs w:val="20"/>
        </w:rPr>
        <w:t>An annual report is prepared by the department and provided to the Minister</w:t>
      </w:r>
    </w:p>
    <w:p w:rsidR="009B2570" w:rsidRPr="006C2152" w:rsidRDefault="009B2570" w:rsidP="009B2570">
      <w:pPr>
        <w:autoSpaceDE w:val="0"/>
        <w:autoSpaceDN w:val="0"/>
        <w:adjustRightInd w:val="0"/>
        <w:spacing w:before="240"/>
        <w:jc w:val="center"/>
        <w:rPr>
          <w:rFonts w:cs="Arial"/>
          <w:b/>
          <w:bCs/>
          <w:szCs w:val="20"/>
        </w:rPr>
      </w:pPr>
      <w:r w:rsidRPr="006C2152">
        <w:rPr>
          <w:rFonts w:cs="Arial"/>
          <w:b/>
          <w:bCs/>
          <w:szCs w:val="20"/>
        </w:rPr>
        <w:t>Departmental response to findings</w:t>
      </w:r>
    </w:p>
    <w:p w:rsidR="009B2570" w:rsidRPr="006C2152" w:rsidRDefault="009B2570" w:rsidP="009B2570">
      <w:pPr>
        <w:autoSpaceDE w:val="0"/>
        <w:autoSpaceDN w:val="0"/>
        <w:adjustRightInd w:val="0"/>
        <w:spacing w:after="60"/>
        <w:jc w:val="center"/>
        <w:rPr>
          <w:rFonts w:cs="Arial"/>
          <w:szCs w:val="20"/>
        </w:rPr>
      </w:pPr>
      <w:r w:rsidRPr="006C2152">
        <w:rPr>
          <w:rFonts w:cs="Arial"/>
          <w:szCs w:val="20"/>
        </w:rPr>
        <w:t>The department considers the Child Death Case Review Panel report and findings and prepares a response for the Minister</w:t>
      </w:r>
    </w:p>
    <w:p w:rsidR="009B2570" w:rsidRPr="006C2152" w:rsidRDefault="009B2570" w:rsidP="009B2570">
      <w:pPr>
        <w:autoSpaceDE w:val="0"/>
        <w:autoSpaceDN w:val="0"/>
        <w:adjustRightInd w:val="0"/>
        <w:spacing w:before="240"/>
        <w:jc w:val="center"/>
        <w:rPr>
          <w:rFonts w:cs="Arial"/>
          <w:b/>
          <w:bCs/>
          <w:szCs w:val="20"/>
        </w:rPr>
      </w:pPr>
      <w:r w:rsidRPr="006C2152">
        <w:rPr>
          <w:rFonts w:cs="Arial"/>
          <w:b/>
          <w:bCs/>
          <w:szCs w:val="20"/>
        </w:rPr>
        <w:t>Independent review — tier two</w:t>
      </w:r>
    </w:p>
    <w:p w:rsidR="009B2570" w:rsidRPr="006C2152" w:rsidRDefault="009B2570" w:rsidP="009B2570">
      <w:pPr>
        <w:autoSpaceDE w:val="0"/>
        <w:autoSpaceDN w:val="0"/>
        <w:adjustRightInd w:val="0"/>
        <w:spacing w:after="60"/>
        <w:jc w:val="center"/>
        <w:rPr>
          <w:rFonts w:cs="Arial"/>
          <w:szCs w:val="20"/>
        </w:rPr>
      </w:pPr>
      <w:r w:rsidRPr="006C2152">
        <w:rPr>
          <w:rFonts w:cs="Arial"/>
          <w:szCs w:val="20"/>
        </w:rPr>
        <w:t>The Minister appoints a panel and allocates cases based on a common theme and the areas of expertise of the panel members</w:t>
      </w:r>
    </w:p>
    <w:p w:rsidR="009B2570" w:rsidRPr="006C2152" w:rsidRDefault="009B2570" w:rsidP="009B2570">
      <w:pPr>
        <w:autoSpaceDE w:val="0"/>
        <w:autoSpaceDN w:val="0"/>
        <w:adjustRightInd w:val="0"/>
        <w:spacing w:after="60"/>
        <w:jc w:val="center"/>
        <w:rPr>
          <w:rFonts w:cs="Arial"/>
          <w:szCs w:val="20"/>
        </w:rPr>
      </w:pPr>
      <w:r w:rsidRPr="006C2152">
        <w:rPr>
          <w:rFonts w:cs="Arial"/>
          <w:szCs w:val="20"/>
        </w:rPr>
        <w:t>The Child Death Case Review Panel meets and discusses the allocated cases</w:t>
      </w:r>
    </w:p>
    <w:p w:rsidR="009B2570" w:rsidRPr="006C2152" w:rsidRDefault="009B2570" w:rsidP="009B2570">
      <w:pPr>
        <w:autoSpaceDE w:val="0"/>
        <w:autoSpaceDN w:val="0"/>
        <w:adjustRightInd w:val="0"/>
        <w:spacing w:after="60"/>
        <w:jc w:val="center"/>
        <w:rPr>
          <w:rFonts w:cs="Arial"/>
          <w:szCs w:val="20"/>
        </w:rPr>
      </w:pPr>
      <w:r w:rsidRPr="006C2152">
        <w:rPr>
          <w:rFonts w:cs="Arial"/>
          <w:szCs w:val="20"/>
        </w:rPr>
        <w:t>The Child Death Case Review Panel finalises its report and provides it to the department and Minister where required</w:t>
      </w:r>
    </w:p>
    <w:p w:rsidR="009B2570" w:rsidRPr="006C2152" w:rsidRDefault="009B2570" w:rsidP="009B2570">
      <w:pPr>
        <w:autoSpaceDE w:val="0"/>
        <w:autoSpaceDN w:val="0"/>
        <w:adjustRightInd w:val="0"/>
        <w:spacing w:before="240"/>
        <w:jc w:val="center"/>
        <w:rPr>
          <w:rFonts w:cs="Arial"/>
          <w:b/>
          <w:bCs/>
          <w:szCs w:val="20"/>
        </w:rPr>
      </w:pPr>
      <w:r w:rsidRPr="006C2152">
        <w:rPr>
          <w:rFonts w:cs="Arial"/>
          <w:b/>
          <w:bCs/>
          <w:szCs w:val="20"/>
        </w:rPr>
        <w:t>Departmental review — tier one</w:t>
      </w:r>
    </w:p>
    <w:p w:rsidR="009B2570" w:rsidRPr="006C2152" w:rsidRDefault="009B2570" w:rsidP="009B2570">
      <w:pPr>
        <w:autoSpaceDE w:val="0"/>
        <w:autoSpaceDN w:val="0"/>
        <w:adjustRightInd w:val="0"/>
        <w:spacing w:after="60"/>
        <w:jc w:val="center"/>
        <w:rPr>
          <w:rFonts w:cs="Arial"/>
          <w:szCs w:val="20"/>
        </w:rPr>
      </w:pPr>
      <w:r w:rsidRPr="006C2152">
        <w:rPr>
          <w:rFonts w:cs="Arial"/>
          <w:szCs w:val="20"/>
        </w:rPr>
        <w:t>The department becomes aware of the death or serious physical injury to a child and conducts a Systems and Practice Review</w:t>
      </w:r>
    </w:p>
    <w:p w:rsidR="009B2570" w:rsidRPr="006C2152" w:rsidRDefault="009B2570" w:rsidP="009B2570">
      <w:pPr>
        <w:autoSpaceDE w:val="0"/>
        <w:autoSpaceDN w:val="0"/>
        <w:adjustRightInd w:val="0"/>
        <w:spacing w:after="60"/>
        <w:jc w:val="center"/>
        <w:rPr>
          <w:rFonts w:cs="Arial"/>
          <w:szCs w:val="20"/>
        </w:rPr>
      </w:pPr>
      <w:r w:rsidRPr="006C2152">
        <w:rPr>
          <w:rFonts w:cs="Arial"/>
          <w:szCs w:val="20"/>
        </w:rPr>
        <w:t>The Systems and Practice Review Committee examines the review</w:t>
      </w:r>
    </w:p>
    <w:p w:rsidR="009B2570" w:rsidRPr="006C2152" w:rsidRDefault="009B2570" w:rsidP="009B2570">
      <w:pPr>
        <w:autoSpaceDE w:val="0"/>
        <w:autoSpaceDN w:val="0"/>
        <w:adjustRightInd w:val="0"/>
        <w:spacing w:after="60"/>
        <w:jc w:val="center"/>
        <w:rPr>
          <w:rFonts w:cs="Arial"/>
          <w:szCs w:val="20"/>
        </w:rPr>
      </w:pPr>
      <w:r w:rsidRPr="006C2152">
        <w:rPr>
          <w:rFonts w:cs="Arial"/>
          <w:szCs w:val="20"/>
        </w:rPr>
        <w:t>The Systems and Practice Review is finalised and provided to the Child Death Case Review Panel</w:t>
      </w:r>
    </w:p>
    <w:p w:rsidR="009B2570" w:rsidRPr="006C2152" w:rsidRDefault="009B2570" w:rsidP="009B2570">
      <w:pPr>
        <w:autoSpaceDE w:val="0"/>
        <w:autoSpaceDN w:val="0"/>
        <w:adjustRightInd w:val="0"/>
        <w:spacing w:after="60"/>
        <w:jc w:val="center"/>
        <w:rPr>
          <w:rFonts w:cs="Arial"/>
          <w:i/>
          <w:iCs/>
          <w:sz w:val="18"/>
          <w:szCs w:val="16"/>
        </w:rPr>
      </w:pPr>
      <w:r w:rsidRPr="006C2152">
        <w:rPr>
          <w:rFonts w:cs="Arial"/>
          <w:i/>
          <w:iCs/>
          <w:sz w:val="18"/>
          <w:szCs w:val="16"/>
        </w:rPr>
        <w:t>(within 6 months of advice of death or injury)</w:t>
      </w:r>
    </w:p>
    <w:p w:rsidR="009B2570" w:rsidRPr="006C2152" w:rsidRDefault="009B2570" w:rsidP="009B2570">
      <w:pPr>
        <w:autoSpaceDE w:val="0"/>
        <w:autoSpaceDN w:val="0"/>
        <w:adjustRightInd w:val="0"/>
        <w:spacing w:before="60" w:after="60"/>
        <w:jc w:val="center"/>
        <w:rPr>
          <w:rFonts w:cs="Arial"/>
          <w:szCs w:val="20"/>
        </w:rPr>
      </w:pPr>
      <w:r w:rsidRPr="006C2152">
        <w:rPr>
          <w:rFonts w:cs="Arial"/>
          <w:szCs w:val="20"/>
        </w:rPr>
        <w:t>Feeding into the department’s continuous improvement, informing legislation, policy, practice, workforce development</w:t>
      </w:r>
    </w:p>
    <w:p w:rsidR="00C069A1" w:rsidRDefault="00C069A1" w:rsidP="00DD5024">
      <w:pPr>
        <w:spacing w:after="0"/>
        <w:jc w:val="both"/>
        <w:rPr>
          <w:rFonts w:cs="Arial"/>
          <w:sz w:val="20"/>
          <w:szCs w:val="20"/>
        </w:rPr>
      </w:pPr>
    </w:p>
    <w:p w:rsidR="00C069A1" w:rsidRDefault="00C069A1" w:rsidP="00DD5024">
      <w:pPr>
        <w:spacing w:after="0"/>
        <w:jc w:val="both"/>
        <w:rPr>
          <w:rFonts w:cs="Arial"/>
          <w:sz w:val="20"/>
          <w:szCs w:val="20"/>
        </w:rPr>
        <w:sectPr w:rsidR="00C069A1" w:rsidSect="00591B31">
          <w:pgSz w:w="11906" w:h="16838" w:code="9"/>
          <w:pgMar w:top="2098" w:right="1418" w:bottom="1418" w:left="1418" w:header="426" w:footer="450" w:gutter="0"/>
          <w:cols w:space="708"/>
          <w:titlePg/>
          <w:docGrid w:linePitch="360"/>
        </w:sectPr>
      </w:pPr>
    </w:p>
    <w:p w:rsidR="001A16C9" w:rsidRDefault="008E5EAA" w:rsidP="00DD5024">
      <w:pPr>
        <w:pStyle w:val="Heading1"/>
        <w:spacing w:before="480"/>
        <w:jc w:val="both"/>
      </w:pPr>
      <w:bookmarkStart w:id="52" w:name="_Toc424043183"/>
      <w:bookmarkStart w:id="53" w:name="_Toc424043270"/>
      <w:bookmarkStart w:id="54" w:name="_Toc524517375"/>
      <w:r w:rsidRPr="0073301E">
        <w:lastRenderedPageBreak/>
        <w:t>Chapter 2</w:t>
      </w:r>
      <w:bookmarkStart w:id="55" w:name="_Toc463343784"/>
      <w:bookmarkStart w:id="56" w:name="_Toc424043189"/>
      <w:bookmarkStart w:id="57" w:name="_Toc424043276"/>
      <w:bookmarkEnd w:id="52"/>
      <w:bookmarkEnd w:id="53"/>
      <w:bookmarkEnd w:id="54"/>
    </w:p>
    <w:p w:rsidR="002E06E6" w:rsidRPr="0073301E" w:rsidRDefault="002E06E6" w:rsidP="00DD5024">
      <w:pPr>
        <w:pStyle w:val="Heading1"/>
        <w:spacing w:before="480"/>
        <w:jc w:val="both"/>
      </w:pPr>
      <w:bookmarkStart w:id="58" w:name="_Toc524517376"/>
      <w:r w:rsidRPr="0073301E">
        <w:t>Profile of children and young people subject to reviews</w:t>
      </w:r>
      <w:bookmarkEnd w:id="55"/>
      <w:bookmarkEnd w:id="58"/>
    </w:p>
    <w:p w:rsidR="0041221C" w:rsidRPr="00294067" w:rsidRDefault="0041221C" w:rsidP="00DD5024">
      <w:pPr>
        <w:pStyle w:val="Heading2"/>
        <w:spacing w:before="240"/>
        <w:jc w:val="both"/>
        <w:rPr>
          <w:sz w:val="28"/>
        </w:rPr>
      </w:pPr>
      <w:bookmarkStart w:id="59" w:name="_Toc524517377"/>
      <w:r>
        <w:rPr>
          <w:sz w:val="28"/>
        </w:rPr>
        <w:t>Snapshot</w:t>
      </w:r>
      <w:bookmarkEnd w:id="59"/>
    </w:p>
    <w:p w:rsidR="002E06E6" w:rsidRDefault="002E06E6" w:rsidP="00DD5024">
      <w:pPr>
        <w:jc w:val="both"/>
        <w:rPr>
          <w:rFonts w:cs="Arial"/>
        </w:rPr>
      </w:pPr>
      <w:r w:rsidRPr="0073301E">
        <w:rPr>
          <w:rFonts w:cs="Arial"/>
        </w:rPr>
        <w:t xml:space="preserve">In the </w:t>
      </w:r>
      <w:r>
        <w:rPr>
          <w:rFonts w:cs="Arial"/>
        </w:rPr>
        <w:t>201</w:t>
      </w:r>
      <w:r w:rsidR="00794BF0">
        <w:rPr>
          <w:rFonts w:cs="Arial"/>
        </w:rPr>
        <w:t>7</w:t>
      </w:r>
      <w:r>
        <w:rPr>
          <w:rFonts w:cs="Arial"/>
        </w:rPr>
        <w:t>–1</w:t>
      </w:r>
      <w:r w:rsidR="00794BF0">
        <w:rPr>
          <w:rFonts w:cs="Arial"/>
        </w:rPr>
        <w:t>8</w:t>
      </w:r>
      <w:r>
        <w:rPr>
          <w:rFonts w:cs="Arial"/>
        </w:rPr>
        <w:t xml:space="preserve"> </w:t>
      </w:r>
      <w:r w:rsidRPr="0073301E">
        <w:rPr>
          <w:rFonts w:cs="Arial"/>
        </w:rPr>
        <w:t xml:space="preserve">reporting period, Child Death Case Review Panels completed reviews of </w:t>
      </w:r>
      <w:r>
        <w:rPr>
          <w:rFonts w:cs="Arial"/>
        </w:rPr>
        <w:t>cases involving</w:t>
      </w:r>
      <w:r w:rsidRPr="0073301E">
        <w:rPr>
          <w:rFonts w:cs="Arial"/>
        </w:rPr>
        <w:t xml:space="preserve"> </w:t>
      </w:r>
      <w:r w:rsidR="007F6E06">
        <w:rPr>
          <w:rFonts w:cs="Arial"/>
        </w:rPr>
        <w:t xml:space="preserve">56 </w:t>
      </w:r>
      <w:r>
        <w:rPr>
          <w:rFonts w:cs="Arial"/>
        </w:rPr>
        <w:t>children and young people</w:t>
      </w:r>
      <w:r w:rsidR="00467E6F">
        <w:rPr>
          <w:rFonts w:cs="Arial"/>
        </w:rPr>
        <w:t>.</w:t>
      </w:r>
      <w:r>
        <w:rPr>
          <w:rStyle w:val="FootnoteReference"/>
          <w:rFonts w:cs="Arial"/>
        </w:rPr>
        <w:footnoteReference w:id="7"/>
      </w:r>
      <w:r w:rsidR="002B14BA">
        <w:rPr>
          <w:rFonts w:cs="Arial"/>
        </w:rPr>
        <w:t xml:space="preserve"> </w:t>
      </w:r>
      <w:r w:rsidR="00387781">
        <w:rPr>
          <w:rFonts w:cs="Arial"/>
        </w:rPr>
        <w:t>Forty</w:t>
      </w:r>
      <w:r w:rsidR="007F3714">
        <w:rPr>
          <w:rFonts w:cs="Arial"/>
        </w:rPr>
        <w:t>-s</w:t>
      </w:r>
      <w:r w:rsidR="00387781">
        <w:rPr>
          <w:rFonts w:cs="Arial"/>
        </w:rPr>
        <w:t xml:space="preserve">even </w:t>
      </w:r>
      <w:r w:rsidR="00D97E00">
        <w:rPr>
          <w:rFonts w:cs="Arial"/>
        </w:rPr>
        <w:t xml:space="preserve">(47) </w:t>
      </w:r>
      <w:r w:rsidR="002B14BA">
        <w:rPr>
          <w:rFonts w:cs="Arial"/>
        </w:rPr>
        <w:t xml:space="preserve">cases involved children or young people who had died and </w:t>
      </w:r>
      <w:r w:rsidR="00387781">
        <w:rPr>
          <w:rFonts w:cs="Arial"/>
        </w:rPr>
        <w:t xml:space="preserve">nine </w:t>
      </w:r>
      <w:r w:rsidR="00D97E00">
        <w:rPr>
          <w:rFonts w:cs="Arial"/>
        </w:rPr>
        <w:t xml:space="preserve">(9) </w:t>
      </w:r>
      <w:r w:rsidR="002B14BA">
        <w:rPr>
          <w:rFonts w:cs="Arial"/>
        </w:rPr>
        <w:t>cases</w:t>
      </w:r>
      <w:r w:rsidR="00F51759">
        <w:rPr>
          <w:rFonts w:cs="Arial"/>
        </w:rPr>
        <w:t xml:space="preserve"> related to a child or young person who ha</w:t>
      </w:r>
      <w:r w:rsidR="00D45E07">
        <w:rPr>
          <w:rFonts w:cs="Arial"/>
        </w:rPr>
        <w:t>d</w:t>
      </w:r>
      <w:r w:rsidR="00F51759">
        <w:rPr>
          <w:rFonts w:cs="Arial"/>
        </w:rPr>
        <w:t xml:space="preserve"> sustained a</w:t>
      </w:r>
      <w:r w:rsidR="002B14BA">
        <w:rPr>
          <w:rFonts w:cs="Arial"/>
        </w:rPr>
        <w:t xml:space="preserve"> serious physical injury.</w:t>
      </w:r>
    </w:p>
    <w:p w:rsidR="00692796" w:rsidRDefault="00692796" w:rsidP="00DD5024">
      <w:pPr>
        <w:jc w:val="both"/>
        <w:rPr>
          <w:rFonts w:cs="Arial"/>
        </w:rPr>
      </w:pPr>
      <w:r>
        <w:rPr>
          <w:rFonts w:cs="Arial"/>
        </w:rPr>
        <w:t>O</w:t>
      </w:r>
      <w:r w:rsidRPr="00821516">
        <w:rPr>
          <w:rFonts w:cs="Arial"/>
        </w:rPr>
        <w:t xml:space="preserve">f the </w:t>
      </w:r>
      <w:r>
        <w:rPr>
          <w:rFonts w:cs="Arial"/>
        </w:rPr>
        <w:t>56</w:t>
      </w:r>
      <w:r w:rsidRPr="00821516">
        <w:rPr>
          <w:rFonts w:cs="Arial"/>
        </w:rPr>
        <w:t xml:space="preserve"> children and young people reviewed, </w:t>
      </w:r>
      <w:r>
        <w:rPr>
          <w:rFonts w:cs="Arial"/>
        </w:rPr>
        <w:t>29</w:t>
      </w:r>
      <w:r w:rsidRPr="00821516">
        <w:rPr>
          <w:rFonts w:cs="Arial"/>
        </w:rPr>
        <w:t xml:space="preserve"> were male and </w:t>
      </w:r>
      <w:r>
        <w:rPr>
          <w:rFonts w:cs="Arial"/>
        </w:rPr>
        <w:t>27</w:t>
      </w:r>
      <w:r w:rsidRPr="00821516">
        <w:rPr>
          <w:rFonts w:cs="Arial"/>
        </w:rPr>
        <w:t xml:space="preserve"> were female. </w:t>
      </w:r>
      <w:r>
        <w:rPr>
          <w:rFonts w:cs="Arial"/>
        </w:rPr>
        <w:t>Thirteen</w:t>
      </w:r>
      <w:r w:rsidRPr="0073301E">
        <w:rPr>
          <w:rFonts w:cs="Arial"/>
        </w:rPr>
        <w:t xml:space="preserve"> </w:t>
      </w:r>
      <w:r>
        <w:rPr>
          <w:rFonts w:cs="Arial"/>
        </w:rPr>
        <w:t xml:space="preserve">of the children and young people </w:t>
      </w:r>
      <w:r w:rsidRPr="0073301E">
        <w:rPr>
          <w:rFonts w:cs="Arial"/>
        </w:rPr>
        <w:t xml:space="preserve">identified as </w:t>
      </w:r>
      <w:r w:rsidRPr="007F6E06">
        <w:rPr>
          <w:rFonts w:cs="Arial"/>
        </w:rPr>
        <w:t>Aboriginal (23 per cent),</w:t>
      </w:r>
      <w:r>
        <w:rPr>
          <w:rFonts w:cs="Arial"/>
        </w:rPr>
        <w:t xml:space="preserve"> one identified as Torres Strait Islander (</w:t>
      </w:r>
      <w:r w:rsidR="00C922AB">
        <w:rPr>
          <w:rFonts w:cs="Arial"/>
        </w:rPr>
        <w:t>two</w:t>
      </w:r>
      <w:r>
        <w:rPr>
          <w:rFonts w:cs="Arial"/>
        </w:rPr>
        <w:t xml:space="preserve"> per cent) </w:t>
      </w:r>
      <w:r w:rsidRPr="0073301E">
        <w:rPr>
          <w:rFonts w:cs="Arial"/>
        </w:rPr>
        <w:t xml:space="preserve">and </w:t>
      </w:r>
      <w:r>
        <w:rPr>
          <w:rFonts w:cs="Arial"/>
        </w:rPr>
        <w:t>one</w:t>
      </w:r>
      <w:r w:rsidRPr="0073301E">
        <w:rPr>
          <w:rFonts w:cs="Arial"/>
        </w:rPr>
        <w:t xml:space="preserve"> </w:t>
      </w:r>
      <w:r w:rsidRPr="000A21CF">
        <w:rPr>
          <w:rFonts w:cs="Arial"/>
        </w:rPr>
        <w:t xml:space="preserve">identified as </w:t>
      </w:r>
      <w:r>
        <w:rPr>
          <w:rFonts w:cs="Arial"/>
        </w:rPr>
        <w:t xml:space="preserve">both </w:t>
      </w:r>
      <w:r w:rsidRPr="000A21CF">
        <w:rPr>
          <w:rFonts w:cs="Arial"/>
        </w:rPr>
        <w:t>Aboriginal and Torres Strait Islander (</w:t>
      </w:r>
      <w:r w:rsidR="00C922AB">
        <w:rPr>
          <w:rFonts w:cs="Arial"/>
        </w:rPr>
        <w:t>two</w:t>
      </w:r>
      <w:r>
        <w:rPr>
          <w:rFonts w:cs="Arial"/>
        </w:rPr>
        <w:t xml:space="preserve"> per cent</w:t>
      </w:r>
      <w:r w:rsidRPr="000A21CF">
        <w:rPr>
          <w:rFonts w:cs="Arial"/>
        </w:rPr>
        <w:t xml:space="preserve">). </w:t>
      </w:r>
    </w:p>
    <w:p w:rsidR="00692796" w:rsidRDefault="00692796" w:rsidP="00DD5024">
      <w:pPr>
        <w:jc w:val="both"/>
        <w:rPr>
          <w:rFonts w:cs="Arial"/>
        </w:rPr>
      </w:pPr>
      <w:r w:rsidRPr="00547A7F">
        <w:rPr>
          <w:rFonts w:cs="Arial"/>
          <w:i/>
        </w:rPr>
        <w:t xml:space="preserve">Figure </w:t>
      </w:r>
      <w:r>
        <w:rPr>
          <w:rFonts w:cs="Arial"/>
          <w:i/>
        </w:rPr>
        <w:t>2</w:t>
      </w:r>
      <w:r w:rsidRPr="00547A7F">
        <w:rPr>
          <w:rFonts w:cs="Arial"/>
        </w:rPr>
        <w:t xml:space="preserve"> shows the number of cases reviewed each year from </w:t>
      </w:r>
      <w:r>
        <w:rPr>
          <w:rFonts w:cs="Arial"/>
        </w:rPr>
        <w:t>2014-15</w:t>
      </w:r>
      <w:r w:rsidRPr="00547A7F">
        <w:rPr>
          <w:rFonts w:cs="Arial"/>
        </w:rPr>
        <w:t xml:space="preserve"> to </w:t>
      </w:r>
      <w:r>
        <w:rPr>
          <w:rFonts w:cs="Arial"/>
        </w:rPr>
        <w:t>present</w:t>
      </w:r>
      <w:r w:rsidRPr="00547A7F">
        <w:rPr>
          <w:rFonts w:cs="Arial"/>
        </w:rPr>
        <w:t xml:space="preserve">. </w:t>
      </w:r>
      <w:r>
        <w:rPr>
          <w:rFonts w:cs="Arial"/>
        </w:rPr>
        <w:t>The present review system came into effect on 1 July 2014, re</w:t>
      </w:r>
      <w:r w:rsidR="002E25FC">
        <w:rPr>
          <w:rFonts w:cs="Arial"/>
        </w:rPr>
        <w:t xml:space="preserve">quiring the department to review cases where the child was known to the department in the 12 months prior </w:t>
      </w:r>
      <w:r w:rsidR="005B1F0A">
        <w:rPr>
          <w:rFonts w:cs="Arial"/>
        </w:rPr>
        <w:t xml:space="preserve">(previously the timeframe </w:t>
      </w:r>
      <w:r w:rsidR="00C37D9F">
        <w:rPr>
          <w:rFonts w:cs="Arial"/>
        </w:rPr>
        <w:t>included</w:t>
      </w:r>
      <w:r w:rsidR="005B1F0A">
        <w:rPr>
          <w:rFonts w:cs="Arial"/>
        </w:rPr>
        <w:t xml:space="preserve"> children</w:t>
      </w:r>
      <w:r w:rsidR="00F85648">
        <w:rPr>
          <w:rFonts w:cs="Arial"/>
        </w:rPr>
        <w:t xml:space="preserve"> who</w:t>
      </w:r>
      <w:r w:rsidR="005B1F0A">
        <w:rPr>
          <w:rFonts w:cs="Arial"/>
        </w:rPr>
        <w:t xml:space="preserve"> were known to the department in the last </w:t>
      </w:r>
      <w:r w:rsidR="005B1F0A" w:rsidRPr="00C37D9F">
        <w:rPr>
          <w:rFonts w:cs="Arial"/>
          <w:i/>
        </w:rPr>
        <w:t>three</w:t>
      </w:r>
      <w:r w:rsidR="005B1F0A">
        <w:rPr>
          <w:rFonts w:cs="Arial"/>
        </w:rPr>
        <w:t xml:space="preserve"> years)</w:t>
      </w:r>
      <w:r w:rsidR="00DF11FA">
        <w:rPr>
          <w:rFonts w:cs="Arial"/>
        </w:rPr>
        <w:t xml:space="preserve"> </w:t>
      </w:r>
      <w:r>
        <w:rPr>
          <w:rFonts w:cs="Arial"/>
        </w:rPr>
        <w:t xml:space="preserve">and introducing the requirement to </w:t>
      </w:r>
      <w:r w:rsidR="00F85648">
        <w:rPr>
          <w:rFonts w:cs="Arial"/>
        </w:rPr>
        <w:t xml:space="preserve">also </w:t>
      </w:r>
      <w:r>
        <w:rPr>
          <w:rFonts w:cs="Arial"/>
        </w:rPr>
        <w:t>conduct a review for</w:t>
      </w:r>
      <w:r w:rsidR="00F85648">
        <w:rPr>
          <w:rFonts w:cs="Arial"/>
        </w:rPr>
        <w:t xml:space="preserve"> children who sustained a</w:t>
      </w:r>
      <w:r>
        <w:rPr>
          <w:rFonts w:cs="Arial"/>
        </w:rPr>
        <w:t xml:space="preserve"> serious physical injury.</w:t>
      </w:r>
    </w:p>
    <w:p w:rsidR="002E06E6" w:rsidRDefault="002E06E6" w:rsidP="00DD5024">
      <w:pPr>
        <w:jc w:val="both"/>
        <w:rPr>
          <w:rFonts w:cs="Arial"/>
        </w:rPr>
      </w:pPr>
      <w:r w:rsidRPr="00BE7A80">
        <w:rPr>
          <w:rFonts w:cs="Arial"/>
          <w:iCs/>
        </w:rPr>
        <w:t>Information</w:t>
      </w:r>
      <w:r>
        <w:rPr>
          <w:rFonts w:cs="Arial"/>
          <w:iCs/>
        </w:rPr>
        <w:t xml:space="preserve"> about </w:t>
      </w:r>
      <w:r w:rsidR="00294067">
        <w:rPr>
          <w:rFonts w:cs="Arial"/>
          <w:iCs/>
        </w:rPr>
        <w:t xml:space="preserve">all </w:t>
      </w:r>
      <w:r>
        <w:rPr>
          <w:rFonts w:cs="Arial"/>
          <w:iCs/>
        </w:rPr>
        <w:t>children who</w:t>
      </w:r>
      <w:r w:rsidR="007F3714">
        <w:rPr>
          <w:rFonts w:cs="Arial"/>
          <w:iCs/>
        </w:rPr>
        <w:t>se deaths were registered</w:t>
      </w:r>
      <w:r>
        <w:rPr>
          <w:rFonts w:cs="Arial"/>
          <w:iCs/>
        </w:rPr>
        <w:t xml:space="preserve"> in the 201</w:t>
      </w:r>
      <w:r w:rsidR="00794BF0">
        <w:rPr>
          <w:rFonts w:cs="Arial"/>
          <w:iCs/>
        </w:rPr>
        <w:t>7</w:t>
      </w:r>
      <w:r w:rsidR="00EF7C23">
        <w:rPr>
          <w:rFonts w:cs="Arial"/>
          <w:iCs/>
        </w:rPr>
        <w:t>–</w:t>
      </w:r>
      <w:r>
        <w:rPr>
          <w:rFonts w:cs="Arial"/>
          <w:iCs/>
        </w:rPr>
        <w:t>1</w:t>
      </w:r>
      <w:r w:rsidR="00794BF0">
        <w:rPr>
          <w:rFonts w:cs="Arial"/>
          <w:iCs/>
        </w:rPr>
        <w:t>8</w:t>
      </w:r>
      <w:r>
        <w:rPr>
          <w:rFonts w:cs="Arial"/>
          <w:iCs/>
        </w:rPr>
        <w:t xml:space="preserve"> year is found in</w:t>
      </w:r>
      <w:r w:rsidRPr="00BE7A80">
        <w:rPr>
          <w:rFonts w:cs="Arial"/>
          <w:iCs/>
        </w:rPr>
        <w:t xml:space="preserve"> </w:t>
      </w:r>
      <w:r w:rsidR="003947A5">
        <w:rPr>
          <w:rFonts w:cs="Arial"/>
          <w:iCs/>
        </w:rPr>
        <w:t xml:space="preserve">the </w:t>
      </w:r>
      <w:r w:rsidR="00BD4445">
        <w:rPr>
          <w:rFonts w:cs="Arial"/>
          <w:iCs/>
        </w:rPr>
        <w:t>Q</w:t>
      </w:r>
      <w:r w:rsidR="00F51759">
        <w:rPr>
          <w:rFonts w:cs="Arial"/>
          <w:iCs/>
        </w:rPr>
        <w:t xml:space="preserve">ueensland </w:t>
      </w:r>
      <w:r w:rsidR="00BD4445">
        <w:rPr>
          <w:rFonts w:cs="Arial"/>
          <w:iCs/>
        </w:rPr>
        <w:t>F</w:t>
      </w:r>
      <w:r w:rsidR="00F51759">
        <w:rPr>
          <w:rFonts w:cs="Arial"/>
          <w:iCs/>
        </w:rPr>
        <w:t xml:space="preserve">amily and </w:t>
      </w:r>
      <w:r w:rsidR="00BD4445">
        <w:rPr>
          <w:rFonts w:cs="Arial"/>
          <w:iCs/>
        </w:rPr>
        <w:t>C</w:t>
      </w:r>
      <w:r w:rsidR="00F51759">
        <w:rPr>
          <w:rFonts w:cs="Arial"/>
          <w:iCs/>
        </w:rPr>
        <w:t xml:space="preserve">hild </w:t>
      </w:r>
      <w:r w:rsidR="00BD4445">
        <w:rPr>
          <w:rFonts w:cs="Arial"/>
          <w:iCs/>
        </w:rPr>
        <w:t>C</w:t>
      </w:r>
      <w:r w:rsidR="00F51759">
        <w:rPr>
          <w:rFonts w:cs="Arial"/>
          <w:iCs/>
        </w:rPr>
        <w:t>ommission</w:t>
      </w:r>
      <w:r w:rsidR="003947A5">
        <w:rPr>
          <w:rFonts w:cs="Arial"/>
          <w:iCs/>
        </w:rPr>
        <w:t xml:space="preserve"> Annual Report, </w:t>
      </w:r>
      <w:r w:rsidRPr="00BE7A80">
        <w:rPr>
          <w:rFonts w:cs="Arial"/>
          <w:i/>
          <w:iCs/>
        </w:rPr>
        <w:t>Deaths of children and young people, Queensland, 201</w:t>
      </w:r>
      <w:r w:rsidR="00794BF0">
        <w:rPr>
          <w:rFonts w:cs="Arial"/>
          <w:i/>
          <w:iCs/>
        </w:rPr>
        <w:t>7</w:t>
      </w:r>
      <w:r w:rsidRPr="00BE7A80">
        <w:rPr>
          <w:rFonts w:cs="Arial"/>
          <w:i/>
          <w:iCs/>
        </w:rPr>
        <w:t>–1</w:t>
      </w:r>
      <w:r w:rsidR="00794BF0">
        <w:rPr>
          <w:rFonts w:cs="Arial"/>
          <w:i/>
          <w:iCs/>
        </w:rPr>
        <w:t>8</w:t>
      </w:r>
      <w:r w:rsidRPr="00BE7A80">
        <w:rPr>
          <w:rFonts w:cs="Arial"/>
        </w:rPr>
        <w:t>.</w:t>
      </w:r>
    </w:p>
    <w:p w:rsidR="00693E58" w:rsidRPr="0073301E" w:rsidRDefault="00693E58" w:rsidP="00DD5024">
      <w:pPr>
        <w:spacing w:after="0"/>
        <w:jc w:val="both"/>
        <w:rPr>
          <w:rFonts w:cs="Arial"/>
        </w:rPr>
      </w:pPr>
    </w:p>
    <w:p w:rsidR="00A66AFB" w:rsidRDefault="00A66AFB" w:rsidP="00DD5024">
      <w:pPr>
        <w:spacing w:after="0"/>
        <w:jc w:val="both"/>
        <w:rPr>
          <w:rFonts w:cs="Arial"/>
          <w:b/>
          <w:i/>
          <w:sz w:val="20"/>
          <w:szCs w:val="20"/>
        </w:rPr>
      </w:pPr>
    </w:p>
    <w:p w:rsidR="002E06E6" w:rsidRDefault="00EE4900" w:rsidP="00DD5024">
      <w:pPr>
        <w:spacing w:after="0"/>
        <w:jc w:val="both"/>
        <w:rPr>
          <w:rFonts w:cs="Arial"/>
          <w:sz w:val="20"/>
          <w:szCs w:val="20"/>
        </w:rPr>
      </w:pPr>
      <w:r w:rsidRPr="00F702AA">
        <w:rPr>
          <w:rFonts w:cs="Arial"/>
          <w:b/>
          <w:i/>
          <w:sz w:val="20"/>
          <w:szCs w:val="20"/>
        </w:rPr>
        <w:t>Fi</w:t>
      </w:r>
      <w:r w:rsidR="002E06E6" w:rsidRPr="00F702AA">
        <w:rPr>
          <w:rFonts w:cs="Arial"/>
          <w:b/>
          <w:i/>
          <w:sz w:val="20"/>
          <w:szCs w:val="20"/>
        </w:rPr>
        <w:t xml:space="preserve">gure </w:t>
      </w:r>
      <w:r w:rsidR="00F702AA">
        <w:rPr>
          <w:rFonts w:cs="Arial"/>
          <w:b/>
          <w:i/>
          <w:sz w:val="20"/>
          <w:szCs w:val="20"/>
        </w:rPr>
        <w:t>2</w:t>
      </w:r>
      <w:r w:rsidR="002E06E6" w:rsidRPr="00F702AA">
        <w:rPr>
          <w:rFonts w:cs="Arial"/>
          <w:b/>
          <w:i/>
          <w:sz w:val="20"/>
          <w:szCs w:val="20"/>
        </w:rPr>
        <w:t>. Number</w:t>
      </w:r>
      <w:r w:rsidR="002E06E6" w:rsidRPr="00FE5D4E">
        <w:rPr>
          <w:rFonts w:cs="Arial"/>
          <w:b/>
          <w:i/>
          <w:sz w:val="20"/>
          <w:szCs w:val="20"/>
        </w:rPr>
        <w:t xml:space="preserve"> of cases subject to review</w:t>
      </w:r>
      <w:r w:rsidR="005B1F0A">
        <w:rPr>
          <w:rFonts w:cs="Arial"/>
          <w:b/>
          <w:i/>
          <w:sz w:val="20"/>
          <w:szCs w:val="20"/>
        </w:rPr>
        <w:t xml:space="preserve"> by </w:t>
      </w:r>
      <w:r w:rsidR="00C37D9F">
        <w:rPr>
          <w:rFonts w:cs="Arial"/>
          <w:b/>
          <w:i/>
          <w:sz w:val="20"/>
          <w:szCs w:val="20"/>
        </w:rPr>
        <w:t>panels</w:t>
      </w:r>
      <w:r w:rsidR="002E06E6" w:rsidRPr="00FE5D4E">
        <w:rPr>
          <w:rFonts w:cs="Arial"/>
          <w:b/>
          <w:i/>
          <w:sz w:val="20"/>
          <w:szCs w:val="20"/>
        </w:rPr>
        <w:t xml:space="preserve"> in Queensland</w:t>
      </w:r>
      <w:r w:rsidR="00593951" w:rsidRPr="00FE5D4E">
        <w:rPr>
          <w:rFonts w:cs="Arial"/>
          <w:b/>
          <w:i/>
          <w:sz w:val="20"/>
          <w:szCs w:val="20"/>
        </w:rPr>
        <w:t xml:space="preserve"> since 2014</w:t>
      </w:r>
      <w:r w:rsidR="002E06E6" w:rsidRPr="00FE5D4E">
        <w:rPr>
          <w:rFonts w:cs="Arial"/>
          <w:sz w:val="20"/>
          <w:szCs w:val="20"/>
        </w:rPr>
        <w:t>.</w:t>
      </w:r>
    </w:p>
    <w:p w:rsidR="009B2570" w:rsidRDefault="009B2570" w:rsidP="00DD5024">
      <w:pPr>
        <w:spacing w:after="0"/>
        <w:jc w:val="both"/>
        <w:rPr>
          <w:rFonts w:cs="Arial"/>
          <w:sz w:val="20"/>
          <w:szCs w:val="20"/>
        </w:rPr>
      </w:pPr>
    </w:p>
    <w:tbl>
      <w:tblPr>
        <w:tblStyle w:val="TableGrid"/>
        <w:tblW w:w="0" w:type="auto"/>
        <w:tblInd w:w="108" w:type="dxa"/>
        <w:tblLook w:val="04A0" w:firstRow="1" w:lastRow="0" w:firstColumn="1" w:lastColumn="0" w:noHBand="0" w:noVBand="1"/>
      </w:tblPr>
      <w:tblGrid>
        <w:gridCol w:w="2126"/>
        <w:gridCol w:w="1163"/>
        <w:gridCol w:w="1418"/>
        <w:gridCol w:w="3800"/>
      </w:tblGrid>
      <w:tr w:rsidR="009B2570" w:rsidRPr="003B711F" w:rsidTr="009B2570">
        <w:tc>
          <w:tcPr>
            <w:tcW w:w="2126" w:type="dxa"/>
          </w:tcPr>
          <w:p w:rsidR="009B2570" w:rsidRPr="003B711F" w:rsidRDefault="009B2570" w:rsidP="004666AB">
            <w:pPr>
              <w:autoSpaceDE w:val="0"/>
              <w:autoSpaceDN w:val="0"/>
              <w:adjustRightInd w:val="0"/>
              <w:spacing w:before="60" w:after="60"/>
              <w:jc w:val="center"/>
              <w:rPr>
                <w:rFonts w:cs="Arial"/>
                <w:b/>
                <w:szCs w:val="20"/>
              </w:rPr>
            </w:pPr>
            <w:bookmarkStart w:id="60" w:name="_Toc524517378"/>
            <w:bookmarkStart w:id="61" w:name="_Toc424043187"/>
            <w:bookmarkStart w:id="62" w:name="_Toc424043274"/>
            <w:r w:rsidRPr="003B711F">
              <w:rPr>
                <w:rFonts w:cs="Arial"/>
                <w:b/>
                <w:szCs w:val="20"/>
              </w:rPr>
              <w:t>Year</w:t>
            </w:r>
          </w:p>
        </w:tc>
        <w:tc>
          <w:tcPr>
            <w:tcW w:w="1163" w:type="dxa"/>
          </w:tcPr>
          <w:p w:rsidR="009B2570" w:rsidRPr="003B711F" w:rsidRDefault="009B2570" w:rsidP="004666AB">
            <w:pPr>
              <w:autoSpaceDE w:val="0"/>
              <w:autoSpaceDN w:val="0"/>
              <w:adjustRightInd w:val="0"/>
              <w:spacing w:before="60" w:after="60"/>
              <w:jc w:val="center"/>
              <w:rPr>
                <w:rFonts w:cs="Arial"/>
                <w:b/>
                <w:szCs w:val="20"/>
              </w:rPr>
            </w:pPr>
            <w:r>
              <w:rPr>
                <w:rFonts w:cs="Arial"/>
                <w:b/>
                <w:szCs w:val="20"/>
              </w:rPr>
              <w:t>Death</w:t>
            </w:r>
          </w:p>
        </w:tc>
        <w:tc>
          <w:tcPr>
            <w:tcW w:w="1418" w:type="dxa"/>
          </w:tcPr>
          <w:p w:rsidR="009B2570" w:rsidRPr="003B711F" w:rsidRDefault="009B2570" w:rsidP="004666AB">
            <w:pPr>
              <w:autoSpaceDE w:val="0"/>
              <w:autoSpaceDN w:val="0"/>
              <w:adjustRightInd w:val="0"/>
              <w:spacing w:before="60" w:after="60"/>
              <w:jc w:val="center"/>
              <w:rPr>
                <w:rFonts w:cs="Arial"/>
                <w:b/>
                <w:szCs w:val="20"/>
              </w:rPr>
            </w:pPr>
            <w:r>
              <w:rPr>
                <w:rFonts w:cs="Arial"/>
                <w:b/>
                <w:szCs w:val="20"/>
              </w:rPr>
              <w:t>Serious Injury</w:t>
            </w:r>
          </w:p>
        </w:tc>
        <w:tc>
          <w:tcPr>
            <w:tcW w:w="3800" w:type="dxa"/>
          </w:tcPr>
          <w:p w:rsidR="009B2570" w:rsidRPr="003B711F" w:rsidRDefault="009B2570" w:rsidP="009B2570">
            <w:pPr>
              <w:autoSpaceDE w:val="0"/>
              <w:autoSpaceDN w:val="0"/>
              <w:adjustRightInd w:val="0"/>
              <w:spacing w:before="60" w:after="60"/>
              <w:jc w:val="center"/>
              <w:rPr>
                <w:rFonts w:cs="Arial"/>
                <w:b/>
                <w:szCs w:val="20"/>
              </w:rPr>
            </w:pPr>
            <w:r>
              <w:rPr>
                <w:rFonts w:cs="Arial"/>
                <w:b/>
                <w:szCs w:val="20"/>
              </w:rPr>
              <w:t xml:space="preserve">Total </w:t>
            </w:r>
            <w:r w:rsidRPr="003B711F">
              <w:rPr>
                <w:rFonts w:cs="Arial"/>
                <w:b/>
                <w:szCs w:val="20"/>
              </w:rPr>
              <w:t>cases reviewed</w:t>
            </w:r>
          </w:p>
        </w:tc>
      </w:tr>
      <w:tr w:rsidR="009B2570" w:rsidTr="009B2570">
        <w:tc>
          <w:tcPr>
            <w:tcW w:w="2126" w:type="dxa"/>
          </w:tcPr>
          <w:p w:rsidR="009B2570" w:rsidRDefault="009B2570" w:rsidP="004666AB">
            <w:pPr>
              <w:autoSpaceDE w:val="0"/>
              <w:autoSpaceDN w:val="0"/>
              <w:adjustRightInd w:val="0"/>
              <w:spacing w:before="60" w:after="60"/>
              <w:jc w:val="center"/>
              <w:rPr>
                <w:rFonts w:cs="Arial"/>
                <w:szCs w:val="20"/>
              </w:rPr>
            </w:pPr>
            <w:r>
              <w:rPr>
                <w:rFonts w:cs="Arial"/>
                <w:szCs w:val="20"/>
              </w:rPr>
              <w:t>2014-15</w:t>
            </w:r>
          </w:p>
        </w:tc>
        <w:tc>
          <w:tcPr>
            <w:tcW w:w="1163" w:type="dxa"/>
          </w:tcPr>
          <w:p w:rsidR="009B2570" w:rsidRDefault="009B2570" w:rsidP="004666AB">
            <w:pPr>
              <w:autoSpaceDE w:val="0"/>
              <w:autoSpaceDN w:val="0"/>
              <w:adjustRightInd w:val="0"/>
              <w:spacing w:before="60" w:after="60"/>
              <w:jc w:val="center"/>
              <w:rPr>
                <w:rFonts w:cs="Arial"/>
                <w:szCs w:val="20"/>
              </w:rPr>
            </w:pPr>
            <w:r>
              <w:rPr>
                <w:rFonts w:cs="Arial"/>
                <w:szCs w:val="20"/>
              </w:rPr>
              <w:t>54</w:t>
            </w:r>
          </w:p>
        </w:tc>
        <w:tc>
          <w:tcPr>
            <w:tcW w:w="1418" w:type="dxa"/>
          </w:tcPr>
          <w:p w:rsidR="009B2570" w:rsidRDefault="009B2570" w:rsidP="004666AB">
            <w:pPr>
              <w:autoSpaceDE w:val="0"/>
              <w:autoSpaceDN w:val="0"/>
              <w:adjustRightInd w:val="0"/>
              <w:spacing w:before="60" w:after="60"/>
              <w:jc w:val="center"/>
              <w:rPr>
                <w:rFonts w:cs="Arial"/>
                <w:szCs w:val="20"/>
              </w:rPr>
            </w:pPr>
            <w:r>
              <w:rPr>
                <w:rFonts w:cs="Arial"/>
                <w:szCs w:val="20"/>
              </w:rPr>
              <w:t>1</w:t>
            </w:r>
          </w:p>
        </w:tc>
        <w:tc>
          <w:tcPr>
            <w:tcW w:w="3800" w:type="dxa"/>
          </w:tcPr>
          <w:p w:rsidR="009B2570" w:rsidRDefault="009B2570" w:rsidP="004666AB">
            <w:pPr>
              <w:autoSpaceDE w:val="0"/>
              <w:autoSpaceDN w:val="0"/>
              <w:adjustRightInd w:val="0"/>
              <w:spacing w:before="60" w:after="60"/>
              <w:jc w:val="center"/>
              <w:rPr>
                <w:rFonts w:cs="Arial"/>
                <w:szCs w:val="20"/>
              </w:rPr>
            </w:pPr>
            <w:r>
              <w:rPr>
                <w:rFonts w:cs="Arial"/>
                <w:szCs w:val="20"/>
              </w:rPr>
              <w:t>55</w:t>
            </w:r>
          </w:p>
        </w:tc>
      </w:tr>
      <w:tr w:rsidR="009B2570" w:rsidTr="009B2570">
        <w:tc>
          <w:tcPr>
            <w:tcW w:w="2126" w:type="dxa"/>
          </w:tcPr>
          <w:p w:rsidR="009B2570" w:rsidRDefault="009B2570" w:rsidP="004666AB">
            <w:pPr>
              <w:autoSpaceDE w:val="0"/>
              <w:autoSpaceDN w:val="0"/>
              <w:adjustRightInd w:val="0"/>
              <w:spacing w:before="60" w:after="60"/>
              <w:jc w:val="center"/>
              <w:rPr>
                <w:rFonts w:cs="Arial"/>
                <w:szCs w:val="20"/>
              </w:rPr>
            </w:pPr>
            <w:r>
              <w:rPr>
                <w:rFonts w:cs="Arial"/>
                <w:szCs w:val="20"/>
              </w:rPr>
              <w:t>2015-16</w:t>
            </w:r>
          </w:p>
        </w:tc>
        <w:tc>
          <w:tcPr>
            <w:tcW w:w="1163" w:type="dxa"/>
          </w:tcPr>
          <w:p w:rsidR="009B2570" w:rsidRDefault="009B2570" w:rsidP="004666AB">
            <w:pPr>
              <w:autoSpaceDE w:val="0"/>
              <w:autoSpaceDN w:val="0"/>
              <w:adjustRightInd w:val="0"/>
              <w:spacing w:before="60" w:after="60"/>
              <w:jc w:val="center"/>
              <w:rPr>
                <w:rFonts w:cs="Arial"/>
                <w:szCs w:val="20"/>
              </w:rPr>
            </w:pPr>
            <w:r>
              <w:rPr>
                <w:rFonts w:cs="Arial"/>
                <w:szCs w:val="20"/>
              </w:rPr>
              <w:t>59</w:t>
            </w:r>
          </w:p>
        </w:tc>
        <w:tc>
          <w:tcPr>
            <w:tcW w:w="1418" w:type="dxa"/>
          </w:tcPr>
          <w:p w:rsidR="009B2570" w:rsidRDefault="009B2570" w:rsidP="004666AB">
            <w:pPr>
              <w:autoSpaceDE w:val="0"/>
              <w:autoSpaceDN w:val="0"/>
              <w:adjustRightInd w:val="0"/>
              <w:spacing w:before="60" w:after="60"/>
              <w:jc w:val="center"/>
              <w:rPr>
                <w:rFonts w:cs="Arial"/>
                <w:szCs w:val="20"/>
              </w:rPr>
            </w:pPr>
            <w:r>
              <w:rPr>
                <w:rFonts w:cs="Arial"/>
                <w:szCs w:val="20"/>
              </w:rPr>
              <w:t>7</w:t>
            </w:r>
          </w:p>
        </w:tc>
        <w:tc>
          <w:tcPr>
            <w:tcW w:w="3800" w:type="dxa"/>
          </w:tcPr>
          <w:p w:rsidR="009B2570" w:rsidRDefault="009B2570" w:rsidP="004666AB">
            <w:pPr>
              <w:autoSpaceDE w:val="0"/>
              <w:autoSpaceDN w:val="0"/>
              <w:adjustRightInd w:val="0"/>
              <w:spacing w:before="60" w:after="60"/>
              <w:jc w:val="center"/>
              <w:rPr>
                <w:rFonts w:cs="Arial"/>
                <w:szCs w:val="20"/>
              </w:rPr>
            </w:pPr>
            <w:r>
              <w:rPr>
                <w:rFonts w:cs="Arial"/>
                <w:szCs w:val="20"/>
              </w:rPr>
              <w:t>66</w:t>
            </w:r>
          </w:p>
        </w:tc>
      </w:tr>
      <w:tr w:rsidR="009B2570" w:rsidTr="009B2570">
        <w:tc>
          <w:tcPr>
            <w:tcW w:w="2126" w:type="dxa"/>
          </w:tcPr>
          <w:p w:rsidR="009B2570" w:rsidRDefault="009B2570" w:rsidP="004666AB">
            <w:pPr>
              <w:autoSpaceDE w:val="0"/>
              <w:autoSpaceDN w:val="0"/>
              <w:adjustRightInd w:val="0"/>
              <w:spacing w:before="60" w:after="60"/>
              <w:jc w:val="center"/>
              <w:rPr>
                <w:rFonts w:cs="Arial"/>
                <w:szCs w:val="20"/>
              </w:rPr>
            </w:pPr>
            <w:r>
              <w:rPr>
                <w:rFonts w:cs="Arial"/>
                <w:szCs w:val="20"/>
              </w:rPr>
              <w:t>2016-17</w:t>
            </w:r>
          </w:p>
        </w:tc>
        <w:tc>
          <w:tcPr>
            <w:tcW w:w="1163" w:type="dxa"/>
          </w:tcPr>
          <w:p w:rsidR="009B2570" w:rsidRDefault="009B2570" w:rsidP="004666AB">
            <w:pPr>
              <w:autoSpaceDE w:val="0"/>
              <w:autoSpaceDN w:val="0"/>
              <w:adjustRightInd w:val="0"/>
              <w:spacing w:before="60" w:after="60"/>
              <w:jc w:val="center"/>
              <w:rPr>
                <w:rFonts w:cs="Arial"/>
                <w:szCs w:val="20"/>
              </w:rPr>
            </w:pPr>
            <w:r>
              <w:rPr>
                <w:rFonts w:cs="Arial"/>
                <w:szCs w:val="20"/>
              </w:rPr>
              <w:t>50</w:t>
            </w:r>
          </w:p>
        </w:tc>
        <w:tc>
          <w:tcPr>
            <w:tcW w:w="1418" w:type="dxa"/>
          </w:tcPr>
          <w:p w:rsidR="009B2570" w:rsidRDefault="009B2570" w:rsidP="004666AB">
            <w:pPr>
              <w:autoSpaceDE w:val="0"/>
              <w:autoSpaceDN w:val="0"/>
              <w:adjustRightInd w:val="0"/>
              <w:spacing w:before="60" w:after="60"/>
              <w:jc w:val="center"/>
              <w:rPr>
                <w:rFonts w:cs="Arial"/>
                <w:szCs w:val="20"/>
              </w:rPr>
            </w:pPr>
            <w:r>
              <w:rPr>
                <w:rFonts w:cs="Arial"/>
                <w:szCs w:val="20"/>
              </w:rPr>
              <w:t>6</w:t>
            </w:r>
          </w:p>
        </w:tc>
        <w:tc>
          <w:tcPr>
            <w:tcW w:w="3800" w:type="dxa"/>
          </w:tcPr>
          <w:p w:rsidR="009B2570" w:rsidRDefault="009B2570" w:rsidP="004666AB">
            <w:pPr>
              <w:autoSpaceDE w:val="0"/>
              <w:autoSpaceDN w:val="0"/>
              <w:adjustRightInd w:val="0"/>
              <w:spacing w:before="60" w:after="60"/>
              <w:jc w:val="center"/>
              <w:rPr>
                <w:rFonts w:cs="Arial"/>
                <w:szCs w:val="20"/>
              </w:rPr>
            </w:pPr>
            <w:r>
              <w:rPr>
                <w:rFonts w:cs="Arial"/>
                <w:szCs w:val="20"/>
              </w:rPr>
              <w:t>56</w:t>
            </w:r>
          </w:p>
        </w:tc>
      </w:tr>
      <w:tr w:rsidR="009B2570" w:rsidTr="009B2570">
        <w:tc>
          <w:tcPr>
            <w:tcW w:w="2126" w:type="dxa"/>
          </w:tcPr>
          <w:p w:rsidR="009B2570" w:rsidRDefault="009B2570" w:rsidP="004666AB">
            <w:pPr>
              <w:autoSpaceDE w:val="0"/>
              <w:autoSpaceDN w:val="0"/>
              <w:adjustRightInd w:val="0"/>
              <w:spacing w:before="60" w:after="60"/>
              <w:jc w:val="center"/>
              <w:rPr>
                <w:rFonts w:cs="Arial"/>
                <w:szCs w:val="20"/>
              </w:rPr>
            </w:pPr>
            <w:r>
              <w:rPr>
                <w:rFonts w:cs="Arial"/>
                <w:szCs w:val="20"/>
              </w:rPr>
              <w:t>2017-18</w:t>
            </w:r>
          </w:p>
        </w:tc>
        <w:tc>
          <w:tcPr>
            <w:tcW w:w="1163" w:type="dxa"/>
          </w:tcPr>
          <w:p w:rsidR="009B2570" w:rsidRDefault="009B2570" w:rsidP="004666AB">
            <w:pPr>
              <w:autoSpaceDE w:val="0"/>
              <w:autoSpaceDN w:val="0"/>
              <w:adjustRightInd w:val="0"/>
              <w:spacing w:before="60" w:after="60"/>
              <w:jc w:val="center"/>
              <w:rPr>
                <w:rFonts w:cs="Arial"/>
                <w:szCs w:val="20"/>
              </w:rPr>
            </w:pPr>
            <w:r>
              <w:rPr>
                <w:rFonts w:cs="Arial"/>
                <w:szCs w:val="20"/>
              </w:rPr>
              <w:t>47</w:t>
            </w:r>
          </w:p>
        </w:tc>
        <w:tc>
          <w:tcPr>
            <w:tcW w:w="1418" w:type="dxa"/>
          </w:tcPr>
          <w:p w:rsidR="009B2570" w:rsidRDefault="009B2570" w:rsidP="004666AB">
            <w:pPr>
              <w:autoSpaceDE w:val="0"/>
              <w:autoSpaceDN w:val="0"/>
              <w:adjustRightInd w:val="0"/>
              <w:spacing w:before="60" w:after="60"/>
              <w:jc w:val="center"/>
              <w:rPr>
                <w:rFonts w:cs="Arial"/>
                <w:szCs w:val="20"/>
              </w:rPr>
            </w:pPr>
            <w:r>
              <w:rPr>
                <w:rFonts w:cs="Arial"/>
                <w:szCs w:val="20"/>
              </w:rPr>
              <w:t>9</w:t>
            </w:r>
          </w:p>
        </w:tc>
        <w:tc>
          <w:tcPr>
            <w:tcW w:w="3800" w:type="dxa"/>
          </w:tcPr>
          <w:p w:rsidR="009B2570" w:rsidRDefault="009B2570" w:rsidP="004666AB">
            <w:pPr>
              <w:autoSpaceDE w:val="0"/>
              <w:autoSpaceDN w:val="0"/>
              <w:adjustRightInd w:val="0"/>
              <w:spacing w:before="60" w:after="60"/>
              <w:jc w:val="center"/>
              <w:rPr>
                <w:rFonts w:cs="Arial"/>
                <w:szCs w:val="20"/>
              </w:rPr>
            </w:pPr>
            <w:r>
              <w:rPr>
                <w:rFonts w:cs="Arial"/>
                <w:szCs w:val="20"/>
              </w:rPr>
              <w:t>56</w:t>
            </w:r>
          </w:p>
        </w:tc>
      </w:tr>
    </w:tbl>
    <w:p w:rsidR="009B2570" w:rsidRDefault="009B2570" w:rsidP="00DD5024">
      <w:pPr>
        <w:pStyle w:val="Heading2"/>
        <w:spacing w:before="240"/>
        <w:jc w:val="both"/>
        <w:rPr>
          <w:sz w:val="28"/>
        </w:rPr>
      </w:pPr>
    </w:p>
    <w:p w:rsidR="002E06E6" w:rsidRPr="00294067" w:rsidRDefault="009B2570" w:rsidP="00DD5024">
      <w:pPr>
        <w:pStyle w:val="Heading2"/>
        <w:spacing w:before="240"/>
        <w:jc w:val="both"/>
        <w:rPr>
          <w:sz w:val="28"/>
        </w:rPr>
      </w:pPr>
      <w:r>
        <w:rPr>
          <w:sz w:val="28"/>
        </w:rPr>
        <w:t>C</w:t>
      </w:r>
      <w:r w:rsidR="002E06E6" w:rsidRPr="00294067">
        <w:rPr>
          <w:sz w:val="28"/>
        </w:rPr>
        <w:t>haracteristics of cases</w:t>
      </w:r>
      <w:bookmarkEnd w:id="60"/>
    </w:p>
    <w:p w:rsidR="00B8163D" w:rsidRPr="00B8163D" w:rsidRDefault="00B8163D" w:rsidP="00DD5024">
      <w:pPr>
        <w:jc w:val="both"/>
        <w:rPr>
          <w:rFonts w:cs="Arial"/>
          <w:b/>
        </w:rPr>
      </w:pPr>
      <w:r w:rsidRPr="00B8163D">
        <w:rPr>
          <w:rFonts w:cs="Arial"/>
          <w:b/>
        </w:rPr>
        <w:t xml:space="preserve">Serious physical injuries </w:t>
      </w:r>
    </w:p>
    <w:p w:rsidR="00593A69" w:rsidRPr="00F702AA" w:rsidRDefault="009C2DA6" w:rsidP="00DD5024">
      <w:pPr>
        <w:jc w:val="both"/>
        <w:rPr>
          <w:rFonts w:cs="Arial"/>
        </w:rPr>
      </w:pPr>
      <w:r>
        <w:rPr>
          <w:rFonts w:cs="Arial"/>
        </w:rPr>
        <w:t xml:space="preserve">The most frequent circumstance of serious physical injury was accidental, accounting for three of the </w:t>
      </w:r>
      <w:r w:rsidR="00593A69">
        <w:rPr>
          <w:rFonts w:cs="Arial"/>
        </w:rPr>
        <w:t xml:space="preserve">nine </w:t>
      </w:r>
      <w:r>
        <w:rPr>
          <w:rFonts w:cs="Arial"/>
        </w:rPr>
        <w:t xml:space="preserve">cases (33 per cent). </w:t>
      </w:r>
      <w:r w:rsidR="0040431A">
        <w:rPr>
          <w:rFonts w:cs="Arial"/>
        </w:rPr>
        <w:t>Two of these cases involved transport related injuries, while the third arose from misadventure.</w:t>
      </w:r>
      <w:r w:rsidR="00F702AA">
        <w:rPr>
          <w:rFonts w:cs="Arial"/>
        </w:rPr>
        <w:t xml:space="preserve"> </w:t>
      </w:r>
      <w:r w:rsidR="00593A69" w:rsidRPr="00F702AA">
        <w:rPr>
          <w:rFonts w:cs="Arial"/>
          <w:i/>
        </w:rPr>
        <w:t xml:space="preserve">Figure </w:t>
      </w:r>
      <w:r w:rsidR="00F702AA" w:rsidRPr="00F702AA">
        <w:rPr>
          <w:rFonts w:cs="Arial"/>
          <w:i/>
        </w:rPr>
        <w:t>3</w:t>
      </w:r>
      <w:r w:rsidR="00593A69" w:rsidRPr="00F702AA">
        <w:rPr>
          <w:rFonts w:cs="Arial"/>
        </w:rPr>
        <w:t xml:space="preserve"> shows the circumstances of serious physical injury in the cases reviewed in the 2017–18 reporting period.</w:t>
      </w:r>
    </w:p>
    <w:p w:rsidR="00C026CC" w:rsidRDefault="00C026CC" w:rsidP="00DD5024">
      <w:pPr>
        <w:jc w:val="both"/>
        <w:rPr>
          <w:rFonts w:cs="Arial"/>
        </w:rPr>
      </w:pPr>
      <w:r w:rsidRPr="00F702AA">
        <w:rPr>
          <w:rFonts w:cs="Arial"/>
        </w:rPr>
        <w:t>The remaining six</w:t>
      </w:r>
      <w:r>
        <w:rPr>
          <w:rFonts w:cs="Arial"/>
        </w:rPr>
        <w:t xml:space="preserve"> serious physical injury cases consisted of equal circumstances of assault, </w:t>
      </w:r>
      <w:r w:rsidR="00B86ED3" w:rsidRPr="00C242E2">
        <w:rPr>
          <w:rFonts w:cs="Arial"/>
        </w:rPr>
        <w:t>neglect</w:t>
      </w:r>
      <w:r>
        <w:rPr>
          <w:rFonts w:cs="Arial"/>
        </w:rPr>
        <w:t xml:space="preserve"> and self-harm</w:t>
      </w:r>
      <w:r w:rsidR="006B4F88">
        <w:rPr>
          <w:rFonts w:cs="Arial"/>
        </w:rPr>
        <w:t xml:space="preserve"> (two cases each).</w:t>
      </w:r>
    </w:p>
    <w:p w:rsidR="006B4F88" w:rsidRDefault="006B4F88" w:rsidP="00DD5024">
      <w:pPr>
        <w:jc w:val="both"/>
        <w:rPr>
          <w:rFonts w:cs="Arial"/>
        </w:rPr>
      </w:pPr>
      <w:r>
        <w:rPr>
          <w:rFonts w:cs="Arial"/>
        </w:rPr>
        <w:t>Four of the children/young people identified as Aboriginal.</w:t>
      </w:r>
    </w:p>
    <w:p w:rsidR="00D94594" w:rsidRDefault="00730226" w:rsidP="00DD5024">
      <w:pPr>
        <w:jc w:val="both"/>
        <w:rPr>
          <w:rFonts w:cs="Arial"/>
        </w:rPr>
      </w:pPr>
      <w:r>
        <w:rPr>
          <w:rFonts w:cs="Arial"/>
        </w:rPr>
        <w:t>The most common age category for cases reviewed were children aged 1-4 years or early adolescents aged 10-14 years, comprising of three each.</w:t>
      </w:r>
      <w:r w:rsidR="005E388C">
        <w:rPr>
          <w:rFonts w:cs="Arial"/>
        </w:rPr>
        <w:t xml:space="preserve"> The remaining age categories were equ</w:t>
      </w:r>
      <w:r w:rsidR="009A3EFF">
        <w:rPr>
          <w:rFonts w:cs="Arial"/>
        </w:rPr>
        <w:t>ally represented by the cases (one</w:t>
      </w:r>
      <w:r w:rsidR="005E388C">
        <w:rPr>
          <w:rFonts w:cs="Arial"/>
        </w:rPr>
        <w:t xml:space="preserve"> each). </w:t>
      </w:r>
    </w:p>
    <w:p w:rsidR="00C60329" w:rsidRDefault="00C60329" w:rsidP="00DD5024">
      <w:pPr>
        <w:jc w:val="both"/>
        <w:rPr>
          <w:rFonts w:cs="Arial"/>
          <w:b/>
        </w:rPr>
      </w:pPr>
    </w:p>
    <w:p w:rsidR="00694049" w:rsidRDefault="00694049" w:rsidP="00DD5024">
      <w:pPr>
        <w:spacing w:after="0"/>
        <w:jc w:val="both"/>
        <w:rPr>
          <w:b/>
          <w:i/>
          <w:sz w:val="20"/>
        </w:rPr>
      </w:pPr>
      <w:r w:rsidRPr="00F702AA">
        <w:rPr>
          <w:b/>
          <w:i/>
          <w:sz w:val="20"/>
        </w:rPr>
        <w:t xml:space="preserve">Figure </w:t>
      </w:r>
      <w:r w:rsidR="00F702AA" w:rsidRPr="00F702AA">
        <w:rPr>
          <w:b/>
          <w:i/>
          <w:sz w:val="20"/>
        </w:rPr>
        <w:t>3</w:t>
      </w:r>
      <w:r w:rsidRPr="00F702AA">
        <w:rPr>
          <w:b/>
          <w:i/>
          <w:sz w:val="20"/>
        </w:rPr>
        <w:t>. Circumstance</w:t>
      </w:r>
      <w:r w:rsidRPr="00FE5D4E">
        <w:rPr>
          <w:b/>
          <w:i/>
          <w:sz w:val="20"/>
        </w:rPr>
        <w:t xml:space="preserve"> of serious physical injury of children and young people in the 2017–18 reporting period</w:t>
      </w:r>
    </w:p>
    <w:p w:rsidR="009B2570" w:rsidRDefault="009B2570" w:rsidP="00DD5024">
      <w:pPr>
        <w:spacing w:after="0"/>
        <w:jc w:val="both"/>
        <w:rPr>
          <w:b/>
          <w:i/>
          <w:sz w:val="20"/>
        </w:rPr>
      </w:pPr>
    </w:p>
    <w:tbl>
      <w:tblPr>
        <w:tblStyle w:val="TableGrid"/>
        <w:tblW w:w="0" w:type="auto"/>
        <w:tblInd w:w="108" w:type="dxa"/>
        <w:tblLook w:val="04A0" w:firstRow="1" w:lastRow="0" w:firstColumn="1" w:lastColumn="0" w:noHBand="0" w:noVBand="1"/>
      </w:tblPr>
      <w:tblGrid>
        <w:gridCol w:w="2000"/>
        <w:gridCol w:w="6952"/>
      </w:tblGrid>
      <w:tr w:rsidR="009B2570" w:rsidRPr="003B711F" w:rsidTr="009B2570">
        <w:tc>
          <w:tcPr>
            <w:tcW w:w="2000" w:type="dxa"/>
          </w:tcPr>
          <w:p w:rsidR="009B2570" w:rsidRPr="003B711F" w:rsidRDefault="009B2570" w:rsidP="004666AB">
            <w:pPr>
              <w:autoSpaceDE w:val="0"/>
              <w:autoSpaceDN w:val="0"/>
              <w:adjustRightInd w:val="0"/>
              <w:spacing w:before="60" w:after="60"/>
              <w:jc w:val="center"/>
              <w:rPr>
                <w:rFonts w:cs="Arial"/>
                <w:b/>
                <w:szCs w:val="20"/>
              </w:rPr>
            </w:pPr>
            <w:r>
              <w:rPr>
                <w:rFonts w:cs="Arial"/>
                <w:b/>
                <w:szCs w:val="20"/>
              </w:rPr>
              <w:t>Total</w:t>
            </w:r>
            <w:r w:rsidR="003E7FD3">
              <w:rPr>
                <w:rFonts w:cs="Arial"/>
                <w:b/>
                <w:szCs w:val="20"/>
              </w:rPr>
              <w:t xml:space="preserve"> – 9</w:t>
            </w:r>
          </w:p>
        </w:tc>
        <w:tc>
          <w:tcPr>
            <w:tcW w:w="6952" w:type="dxa"/>
          </w:tcPr>
          <w:p w:rsidR="009B2570" w:rsidRPr="003B711F" w:rsidRDefault="009B2570" w:rsidP="004666AB">
            <w:pPr>
              <w:autoSpaceDE w:val="0"/>
              <w:autoSpaceDN w:val="0"/>
              <w:adjustRightInd w:val="0"/>
              <w:spacing w:before="60" w:after="60"/>
              <w:jc w:val="center"/>
              <w:rPr>
                <w:rFonts w:cs="Arial"/>
                <w:b/>
                <w:szCs w:val="20"/>
              </w:rPr>
            </w:pPr>
            <w:r>
              <w:rPr>
                <w:rFonts w:cs="Arial"/>
                <w:b/>
                <w:szCs w:val="20"/>
              </w:rPr>
              <w:t>Cause and breakdown</w:t>
            </w:r>
          </w:p>
        </w:tc>
      </w:tr>
      <w:tr w:rsidR="009B2570" w:rsidTr="009B2570">
        <w:tc>
          <w:tcPr>
            <w:tcW w:w="2000" w:type="dxa"/>
          </w:tcPr>
          <w:p w:rsidR="009B2570" w:rsidRDefault="009B2570" w:rsidP="004666AB">
            <w:pPr>
              <w:autoSpaceDE w:val="0"/>
              <w:autoSpaceDN w:val="0"/>
              <w:adjustRightInd w:val="0"/>
              <w:spacing w:before="60" w:after="60"/>
              <w:jc w:val="center"/>
              <w:rPr>
                <w:rFonts w:cs="Arial"/>
                <w:szCs w:val="20"/>
              </w:rPr>
            </w:pPr>
            <w:r>
              <w:rPr>
                <w:rFonts w:cs="Arial"/>
                <w:szCs w:val="20"/>
              </w:rPr>
              <w:t>3</w:t>
            </w:r>
          </w:p>
        </w:tc>
        <w:tc>
          <w:tcPr>
            <w:tcW w:w="6952" w:type="dxa"/>
          </w:tcPr>
          <w:p w:rsidR="009B2570" w:rsidRDefault="009B2570" w:rsidP="009B2570">
            <w:pPr>
              <w:autoSpaceDE w:val="0"/>
              <w:autoSpaceDN w:val="0"/>
              <w:adjustRightInd w:val="0"/>
              <w:spacing w:before="60" w:after="60"/>
              <w:jc w:val="center"/>
              <w:rPr>
                <w:rFonts w:cs="Arial"/>
                <w:szCs w:val="20"/>
              </w:rPr>
            </w:pPr>
            <w:r>
              <w:rPr>
                <w:rFonts w:cs="Arial"/>
                <w:szCs w:val="20"/>
              </w:rPr>
              <w:t>Accident: Transport 2, Other 1</w:t>
            </w:r>
          </w:p>
        </w:tc>
      </w:tr>
      <w:tr w:rsidR="009B2570" w:rsidTr="009B2570">
        <w:tc>
          <w:tcPr>
            <w:tcW w:w="2000" w:type="dxa"/>
          </w:tcPr>
          <w:p w:rsidR="009B2570" w:rsidRDefault="009B2570" w:rsidP="004666AB">
            <w:pPr>
              <w:autoSpaceDE w:val="0"/>
              <w:autoSpaceDN w:val="0"/>
              <w:adjustRightInd w:val="0"/>
              <w:spacing w:before="60" w:after="60"/>
              <w:jc w:val="center"/>
              <w:rPr>
                <w:rFonts w:cs="Arial"/>
                <w:szCs w:val="20"/>
              </w:rPr>
            </w:pPr>
            <w:r>
              <w:rPr>
                <w:rFonts w:cs="Arial"/>
                <w:szCs w:val="20"/>
              </w:rPr>
              <w:t>2</w:t>
            </w:r>
          </w:p>
        </w:tc>
        <w:tc>
          <w:tcPr>
            <w:tcW w:w="6952" w:type="dxa"/>
          </w:tcPr>
          <w:p w:rsidR="009B2570" w:rsidRDefault="009B2570" w:rsidP="004666AB">
            <w:pPr>
              <w:autoSpaceDE w:val="0"/>
              <w:autoSpaceDN w:val="0"/>
              <w:adjustRightInd w:val="0"/>
              <w:spacing w:before="60" w:after="60"/>
              <w:jc w:val="center"/>
              <w:rPr>
                <w:rFonts w:cs="Arial"/>
                <w:szCs w:val="20"/>
              </w:rPr>
            </w:pPr>
            <w:r>
              <w:rPr>
                <w:rFonts w:cs="Arial"/>
                <w:szCs w:val="20"/>
              </w:rPr>
              <w:t>Assault/ suspected assault</w:t>
            </w:r>
          </w:p>
        </w:tc>
      </w:tr>
      <w:tr w:rsidR="009B2570" w:rsidTr="009B2570">
        <w:tc>
          <w:tcPr>
            <w:tcW w:w="2000" w:type="dxa"/>
          </w:tcPr>
          <w:p w:rsidR="009B2570" w:rsidRDefault="009B2570" w:rsidP="004666AB">
            <w:pPr>
              <w:autoSpaceDE w:val="0"/>
              <w:autoSpaceDN w:val="0"/>
              <w:adjustRightInd w:val="0"/>
              <w:spacing w:before="60" w:after="60"/>
              <w:jc w:val="center"/>
              <w:rPr>
                <w:rFonts w:cs="Arial"/>
                <w:szCs w:val="20"/>
              </w:rPr>
            </w:pPr>
            <w:r>
              <w:rPr>
                <w:rFonts w:cs="Arial"/>
                <w:szCs w:val="20"/>
              </w:rPr>
              <w:t>2</w:t>
            </w:r>
          </w:p>
        </w:tc>
        <w:tc>
          <w:tcPr>
            <w:tcW w:w="6952" w:type="dxa"/>
          </w:tcPr>
          <w:p w:rsidR="009B2570" w:rsidRDefault="009B2570" w:rsidP="004666AB">
            <w:pPr>
              <w:autoSpaceDE w:val="0"/>
              <w:autoSpaceDN w:val="0"/>
              <w:adjustRightInd w:val="0"/>
              <w:spacing w:before="60" w:after="60"/>
              <w:jc w:val="center"/>
              <w:rPr>
                <w:rFonts w:cs="Arial"/>
                <w:szCs w:val="20"/>
              </w:rPr>
            </w:pPr>
            <w:r>
              <w:rPr>
                <w:rFonts w:cs="Arial"/>
                <w:szCs w:val="20"/>
              </w:rPr>
              <w:t>Neglect</w:t>
            </w:r>
          </w:p>
        </w:tc>
      </w:tr>
      <w:tr w:rsidR="009B2570" w:rsidTr="009B2570">
        <w:tc>
          <w:tcPr>
            <w:tcW w:w="2000" w:type="dxa"/>
          </w:tcPr>
          <w:p w:rsidR="009B2570" w:rsidRDefault="009B2570" w:rsidP="004666AB">
            <w:pPr>
              <w:autoSpaceDE w:val="0"/>
              <w:autoSpaceDN w:val="0"/>
              <w:adjustRightInd w:val="0"/>
              <w:spacing w:before="60" w:after="60"/>
              <w:jc w:val="center"/>
              <w:rPr>
                <w:rFonts w:cs="Arial"/>
                <w:szCs w:val="20"/>
              </w:rPr>
            </w:pPr>
            <w:r>
              <w:rPr>
                <w:rFonts w:cs="Arial"/>
                <w:szCs w:val="20"/>
              </w:rPr>
              <w:t>2</w:t>
            </w:r>
          </w:p>
        </w:tc>
        <w:tc>
          <w:tcPr>
            <w:tcW w:w="6952" w:type="dxa"/>
          </w:tcPr>
          <w:p w:rsidR="009B2570" w:rsidRDefault="009B2570" w:rsidP="004666AB">
            <w:pPr>
              <w:autoSpaceDE w:val="0"/>
              <w:autoSpaceDN w:val="0"/>
              <w:adjustRightInd w:val="0"/>
              <w:spacing w:before="60" w:after="60"/>
              <w:jc w:val="center"/>
              <w:rPr>
                <w:rFonts w:cs="Arial"/>
                <w:szCs w:val="20"/>
              </w:rPr>
            </w:pPr>
            <w:r>
              <w:rPr>
                <w:rFonts w:cs="Arial"/>
                <w:szCs w:val="20"/>
              </w:rPr>
              <w:t>Self-harm</w:t>
            </w:r>
          </w:p>
        </w:tc>
      </w:tr>
    </w:tbl>
    <w:p w:rsidR="00D0066D" w:rsidRPr="00FE5D4E" w:rsidRDefault="00D0066D" w:rsidP="00DD5024">
      <w:pPr>
        <w:spacing w:after="0"/>
        <w:jc w:val="both"/>
        <w:rPr>
          <w:b/>
          <w:i/>
          <w:sz w:val="20"/>
        </w:rPr>
      </w:pPr>
    </w:p>
    <w:p w:rsidR="003E7FD3" w:rsidRDefault="003E7FD3" w:rsidP="00DD5024">
      <w:pPr>
        <w:keepNext/>
        <w:jc w:val="both"/>
        <w:rPr>
          <w:rFonts w:cs="Arial"/>
          <w:b/>
        </w:rPr>
      </w:pPr>
    </w:p>
    <w:p w:rsidR="00B8163D" w:rsidRPr="00B8163D" w:rsidRDefault="00B8163D" w:rsidP="00DD5024">
      <w:pPr>
        <w:keepNext/>
        <w:jc w:val="both"/>
        <w:rPr>
          <w:rFonts w:cs="Arial"/>
          <w:b/>
        </w:rPr>
      </w:pPr>
      <w:r w:rsidRPr="00B8163D">
        <w:rPr>
          <w:rFonts w:cs="Arial"/>
          <w:b/>
        </w:rPr>
        <w:t>Deaths</w:t>
      </w:r>
    </w:p>
    <w:p w:rsidR="00593A69" w:rsidRPr="00806745" w:rsidRDefault="001E1AD9" w:rsidP="00DD5024">
      <w:pPr>
        <w:keepNext/>
        <w:jc w:val="both"/>
        <w:rPr>
          <w:rFonts w:cs="Arial"/>
        </w:rPr>
      </w:pPr>
      <w:r>
        <w:rPr>
          <w:rFonts w:cs="Arial"/>
        </w:rPr>
        <w:t xml:space="preserve">The most frequent circumstance of death was accident, accounting for 13 </w:t>
      </w:r>
      <w:r w:rsidR="00593A69">
        <w:rPr>
          <w:rFonts w:cs="Arial"/>
        </w:rPr>
        <w:t xml:space="preserve">of the 47 </w:t>
      </w:r>
      <w:r>
        <w:rPr>
          <w:rFonts w:cs="Arial"/>
        </w:rPr>
        <w:t>cases</w:t>
      </w:r>
      <w:r w:rsidR="00806745">
        <w:rPr>
          <w:rFonts w:cs="Arial"/>
        </w:rPr>
        <w:t xml:space="preserve"> (28 </w:t>
      </w:r>
      <w:r w:rsidR="00F17CAC">
        <w:rPr>
          <w:rFonts w:cs="Arial"/>
        </w:rPr>
        <w:t>per cent</w:t>
      </w:r>
      <w:r w:rsidR="009A3EFF">
        <w:rPr>
          <w:rFonts w:cs="Arial"/>
        </w:rPr>
        <w:t>)</w:t>
      </w:r>
      <w:r>
        <w:rPr>
          <w:rFonts w:cs="Arial"/>
        </w:rPr>
        <w:t xml:space="preserve">. </w:t>
      </w:r>
      <w:r w:rsidR="00375092">
        <w:rPr>
          <w:rFonts w:cs="Arial"/>
        </w:rPr>
        <w:t>Eight of these cases involved drowning, while four related to transport</w:t>
      </w:r>
      <w:r w:rsidR="001F17D9">
        <w:rPr>
          <w:rFonts w:cs="Arial"/>
        </w:rPr>
        <w:t xml:space="preserve"> </w:t>
      </w:r>
      <w:r w:rsidR="001F17D9" w:rsidRPr="00B86ED3">
        <w:rPr>
          <w:rFonts w:cs="Arial"/>
        </w:rPr>
        <w:t>and one was due to other circumstances</w:t>
      </w:r>
      <w:r w:rsidR="00375092" w:rsidRPr="00B86ED3">
        <w:rPr>
          <w:rFonts w:cs="Arial"/>
        </w:rPr>
        <w:t>.</w:t>
      </w:r>
      <w:r w:rsidR="00F82097">
        <w:rPr>
          <w:rFonts w:cs="Arial"/>
        </w:rPr>
        <w:t xml:space="preserve"> </w:t>
      </w:r>
      <w:r w:rsidR="00593A69" w:rsidRPr="00806745">
        <w:rPr>
          <w:rFonts w:cs="Arial"/>
          <w:i/>
        </w:rPr>
        <w:t xml:space="preserve">Figure </w:t>
      </w:r>
      <w:r w:rsidR="00806745" w:rsidRPr="00806745">
        <w:rPr>
          <w:rFonts w:cs="Arial"/>
          <w:i/>
        </w:rPr>
        <w:t xml:space="preserve">4 </w:t>
      </w:r>
      <w:r w:rsidR="00593A69" w:rsidRPr="00806745">
        <w:rPr>
          <w:rFonts w:cs="Arial"/>
        </w:rPr>
        <w:t>shows the circumstances of death in the cases reviewed in the 2017–18 reporting period.</w:t>
      </w:r>
    </w:p>
    <w:p w:rsidR="00F7136C" w:rsidRDefault="00F17CAC" w:rsidP="00DD5024">
      <w:pPr>
        <w:jc w:val="both"/>
        <w:rPr>
          <w:rFonts w:cs="Arial"/>
        </w:rPr>
      </w:pPr>
      <w:r>
        <w:rPr>
          <w:rFonts w:cs="Arial"/>
        </w:rPr>
        <w:t>The second highest circumstance of death was disease/morbi</w:t>
      </w:r>
      <w:r w:rsidR="00806745">
        <w:rPr>
          <w:rFonts w:cs="Arial"/>
        </w:rPr>
        <w:t>d conditions, accounting for 26 </w:t>
      </w:r>
      <w:r>
        <w:rPr>
          <w:rFonts w:cs="Arial"/>
        </w:rPr>
        <w:t xml:space="preserve">per cent of the cases. </w:t>
      </w:r>
      <w:r w:rsidR="00206DD1" w:rsidRPr="00206DD1">
        <w:rPr>
          <w:rFonts w:cs="Arial"/>
        </w:rPr>
        <w:t>This category include</w:t>
      </w:r>
      <w:r w:rsidR="001F17D9">
        <w:rPr>
          <w:rFonts w:cs="Arial"/>
        </w:rPr>
        <w:t>d</w:t>
      </w:r>
      <w:r w:rsidR="00206DD1" w:rsidRPr="00206DD1">
        <w:rPr>
          <w:rFonts w:cs="Arial"/>
        </w:rPr>
        <w:t xml:space="preserve"> children and young people who died due to disease or illness, disability or prematurity.</w:t>
      </w:r>
    </w:p>
    <w:p w:rsidR="003951E1" w:rsidRDefault="00C530AD" w:rsidP="00DD5024">
      <w:pPr>
        <w:jc w:val="both"/>
        <w:rPr>
          <w:rFonts w:cs="Arial"/>
        </w:rPr>
      </w:pPr>
      <w:r>
        <w:rPr>
          <w:rFonts w:cs="Arial"/>
        </w:rPr>
        <w:t>Suicide accounted for 15 per cent of the deaths</w:t>
      </w:r>
      <w:r w:rsidR="00334F86">
        <w:rPr>
          <w:rFonts w:cs="Arial"/>
        </w:rPr>
        <w:t xml:space="preserve"> (</w:t>
      </w:r>
      <w:r w:rsidR="001F17D9">
        <w:rPr>
          <w:rFonts w:cs="Arial"/>
        </w:rPr>
        <w:t>seven</w:t>
      </w:r>
      <w:r w:rsidR="00334F86">
        <w:rPr>
          <w:rFonts w:cs="Arial"/>
        </w:rPr>
        <w:t xml:space="preserve"> children)</w:t>
      </w:r>
      <w:r w:rsidR="00875722">
        <w:rPr>
          <w:rFonts w:cs="Arial"/>
        </w:rPr>
        <w:t>, and all were adolescent aged.</w:t>
      </w:r>
      <w:r w:rsidR="007C7C09">
        <w:rPr>
          <w:rFonts w:cs="Arial"/>
        </w:rPr>
        <w:t xml:space="preserve"> Two of the youth</w:t>
      </w:r>
      <w:r w:rsidR="00B24224">
        <w:rPr>
          <w:rFonts w:cs="Arial"/>
        </w:rPr>
        <w:t>s</w:t>
      </w:r>
      <w:r w:rsidR="007C7C09">
        <w:rPr>
          <w:rFonts w:cs="Arial"/>
        </w:rPr>
        <w:t xml:space="preserve"> were in the 10-14 age category, while the remaining five were in the 15-17 age category.</w:t>
      </w:r>
    </w:p>
    <w:p w:rsidR="00206DD1" w:rsidRDefault="00206DD1" w:rsidP="00DD5024">
      <w:pPr>
        <w:jc w:val="both"/>
        <w:rPr>
          <w:rFonts w:cs="Arial"/>
        </w:rPr>
      </w:pPr>
      <w:r>
        <w:rPr>
          <w:rFonts w:cs="Arial"/>
        </w:rPr>
        <w:t xml:space="preserve">At the time of reporting, eight deaths were categorised as pending, unknown or unable to be categorised. </w:t>
      </w:r>
      <w:r w:rsidR="00FB2D45" w:rsidRPr="00FB2D45">
        <w:rPr>
          <w:rFonts w:cs="Arial"/>
        </w:rPr>
        <w:t>In these cases, the cause of death remains subject to finding by the Coroner</w:t>
      </w:r>
      <w:r w:rsidR="001F17D9">
        <w:rPr>
          <w:rFonts w:cs="Arial"/>
        </w:rPr>
        <w:t>, and therefore,</w:t>
      </w:r>
      <w:r w:rsidR="00FB2D45" w:rsidRPr="00FB2D45">
        <w:rPr>
          <w:rFonts w:cs="Arial"/>
        </w:rPr>
        <w:t xml:space="preserve"> unable to be classified.</w:t>
      </w:r>
    </w:p>
    <w:p w:rsidR="00E7037F" w:rsidRPr="00562460" w:rsidRDefault="00662EFF" w:rsidP="00DD5024">
      <w:pPr>
        <w:jc w:val="both"/>
        <w:rPr>
          <w:rFonts w:cs="Arial"/>
          <w:color w:val="000000" w:themeColor="text1"/>
        </w:rPr>
      </w:pPr>
      <w:r w:rsidRPr="009A6D5A">
        <w:rPr>
          <w:rFonts w:cs="Arial"/>
          <w:b/>
          <w:noProof/>
        </w:rPr>
        <mc:AlternateContent>
          <mc:Choice Requires="wps">
            <w:drawing>
              <wp:anchor distT="45720" distB="45720" distL="114300" distR="114300" simplePos="0" relativeHeight="251676160" behindDoc="0" locked="0" layoutInCell="1" allowOverlap="1" wp14:anchorId="552D2EC9" wp14:editId="3A840C35">
                <wp:simplePos x="0" y="0"/>
                <wp:positionH relativeFrom="column">
                  <wp:posOffset>274212</wp:posOffset>
                </wp:positionH>
                <wp:positionV relativeFrom="paragraph">
                  <wp:posOffset>1896110</wp:posOffset>
                </wp:positionV>
                <wp:extent cx="249555" cy="249555"/>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49555"/>
                        </a:xfrm>
                        <a:prstGeom prst="rect">
                          <a:avLst/>
                        </a:prstGeom>
                        <a:solidFill>
                          <a:srgbClr val="FFFFFF">
                            <a:alpha val="0"/>
                          </a:srgbClr>
                        </a:solidFill>
                        <a:ln w="9525">
                          <a:noFill/>
                          <a:miter lim="800000"/>
                          <a:headEnd/>
                          <a:tailEnd/>
                        </a:ln>
                      </wps:spPr>
                      <wps:txbx>
                        <w:txbxContent>
                          <w:p w:rsidR="0063747B" w:rsidRPr="003159BB" w:rsidRDefault="0063747B">
                            <w:pPr>
                              <w:rPr>
                                <w:b/>
                                <w:color w:val="000000" w:themeColor="text1"/>
                              </w:rPr>
                            </w:pPr>
                            <w:r>
                              <w:rPr>
                                <w:b/>
                                <w:color w:val="000000" w:themeColor="text1"/>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D2EC9" id="_x0000_t202" coordsize="21600,21600" o:spt="202" path="m,l,21600r21600,l21600,xe">
                <v:stroke joinstyle="miter"/>
                <v:path gradientshapeok="t" o:connecttype="rect"/>
              </v:shapetype>
              <v:shape id="Text Box 2" o:spid="_x0000_s1026" type="#_x0000_t202" style="position:absolute;left:0;text-align:left;margin-left:21.6pt;margin-top:149.3pt;width:19.65pt;height:19.6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" stroked="f">
                <v:fill opacity="0"/>
                <v:textbox>
                  <w:txbxContent>
                    <w:p w:rsidR="0063747B" w:rsidRPr="003159BB" w:rsidRDefault="0063747B">
                      <w:pPr>
                        <w:rPr>
                          <w:b/>
                          <w:color w:val="000000" w:themeColor="text1"/>
                        </w:rPr>
                      </w:pPr>
                      <w:r>
                        <w:rPr>
                          <w:b/>
                          <w:color w:val="000000" w:themeColor="text1"/>
                        </w:rPr>
                        <w:t>6</w:t>
                      </w:r>
                    </w:p>
                  </w:txbxContent>
                </v:textbox>
              </v:shape>
            </w:pict>
          </mc:Fallback>
        </mc:AlternateContent>
      </w:r>
      <w:r w:rsidRPr="009A6D5A">
        <w:rPr>
          <w:rFonts w:cs="Arial"/>
          <w:b/>
          <w:noProof/>
        </w:rPr>
        <mc:AlternateContent>
          <mc:Choice Requires="wps">
            <w:drawing>
              <wp:anchor distT="45720" distB="45720" distL="114300" distR="114300" simplePos="0" relativeHeight="251678208" behindDoc="0" locked="0" layoutInCell="1" allowOverlap="1" wp14:anchorId="0BE1B85D" wp14:editId="3C7D2830">
                <wp:simplePos x="0" y="0"/>
                <wp:positionH relativeFrom="column">
                  <wp:posOffset>57677</wp:posOffset>
                </wp:positionH>
                <wp:positionV relativeFrom="paragraph">
                  <wp:posOffset>2266027</wp:posOffset>
                </wp:positionV>
                <wp:extent cx="249555" cy="249555"/>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49555"/>
                        </a:xfrm>
                        <a:prstGeom prst="rect">
                          <a:avLst/>
                        </a:prstGeom>
                        <a:solidFill>
                          <a:srgbClr val="FFFFFF">
                            <a:alpha val="0"/>
                          </a:srgbClr>
                        </a:solidFill>
                        <a:ln w="9525">
                          <a:noFill/>
                          <a:miter lim="800000"/>
                          <a:headEnd/>
                          <a:tailEnd/>
                        </a:ln>
                      </wps:spPr>
                      <wps:txbx>
                        <w:txbxContent>
                          <w:p w:rsidR="0063747B" w:rsidRPr="003159BB" w:rsidRDefault="0063747B">
                            <w:pPr>
                              <w:rPr>
                                <w:b/>
                                <w:color w:val="000000" w:themeColor="text1"/>
                              </w:rPr>
                            </w:pPr>
                            <w:r>
                              <w:rPr>
                                <w:b/>
                                <w:color w:val="000000" w:themeColor="text1"/>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1B85D" id="_x0000_s1027" type="#_x0000_t202" style="position:absolute;left:0;text-align:left;margin-left:4.55pt;margin-top:178.45pt;width:19.65pt;height:19.6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" stroked="f">
                <v:fill opacity="0"/>
                <v:textbox>
                  <w:txbxContent>
                    <w:p w:rsidR="0063747B" w:rsidRPr="003159BB" w:rsidRDefault="0063747B">
                      <w:pPr>
                        <w:rPr>
                          <w:b/>
                          <w:color w:val="000000" w:themeColor="text1"/>
                        </w:rPr>
                      </w:pPr>
                      <w:r>
                        <w:rPr>
                          <w:b/>
                          <w:color w:val="000000" w:themeColor="text1"/>
                        </w:rPr>
                        <w:t>1</w:t>
                      </w:r>
                    </w:p>
                  </w:txbxContent>
                </v:textbox>
              </v:shape>
            </w:pict>
          </mc:Fallback>
        </mc:AlternateContent>
      </w:r>
    </w:p>
    <w:p w:rsidR="003E7FD3" w:rsidRDefault="003E7FD3" w:rsidP="00DD5024">
      <w:pPr>
        <w:spacing w:after="0"/>
        <w:jc w:val="both"/>
        <w:rPr>
          <w:b/>
          <w:i/>
          <w:sz w:val="20"/>
        </w:rPr>
      </w:pPr>
    </w:p>
    <w:p w:rsidR="003E7FD3" w:rsidRDefault="003E7FD3" w:rsidP="00DD5024">
      <w:pPr>
        <w:spacing w:after="0"/>
        <w:jc w:val="both"/>
        <w:rPr>
          <w:b/>
          <w:i/>
          <w:sz w:val="20"/>
        </w:rPr>
      </w:pPr>
    </w:p>
    <w:p w:rsidR="003E7FD3" w:rsidRDefault="003E7FD3" w:rsidP="00DD5024">
      <w:pPr>
        <w:spacing w:after="0"/>
        <w:jc w:val="both"/>
        <w:rPr>
          <w:b/>
          <w:i/>
          <w:sz w:val="20"/>
        </w:rPr>
      </w:pPr>
    </w:p>
    <w:p w:rsidR="00694049" w:rsidRPr="00FE5D4E" w:rsidRDefault="00694049" w:rsidP="00DD5024">
      <w:pPr>
        <w:spacing w:after="0"/>
        <w:jc w:val="both"/>
        <w:rPr>
          <w:b/>
          <w:i/>
          <w:sz w:val="20"/>
        </w:rPr>
      </w:pPr>
      <w:r w:rsidRPr="00806745">
        <w:rPr>
          <w:b/>
          <w:i/>
          <w:sz w:val="20"/>
        </w:rPr>
        <w:lastRenderedPageBreak/>
        <w:t xml:space="preserve">Figure </w:t>
      </w:r>
      <w:r w:rsidR="00806745" w:rsidRPr="00806745">
        <w:rPr>
          <w:b/>
          <w:i/>
          <w:sz w:val="20"/>
        </w:rPr>
        <w:t>4</w:t>
      </w:r>
      <w:r w:rsidRPr="00806745">
        <w:rPr>
          <w:b/>
          <w:i/>
          <w:sz w:val="20"/>
        </w:rPr>
        <w:t>. Circumstance of death of children and young people in the 2017–18 reporting period</w:t>
      </w:r>
    </w:p>
    <w:p w:rsidR="00E7037F" w:rsidRDefault="00E7037F" w:rsidP="00DD5024">
      <w:pPr>
        <w:jc w:val="both"/>
        <w:rPr>
          <w:rFonts w:cs="Arial"/>
        </w:rPr>
      </w:pPr>
    </w:p>
    <w:tbl>
      <w:tblPr>
        <w:tblStyle w:val="TableGrid"/>
        <w:tblW w:w="0" w:type="auto"/>
        <w:tblInd w:w="108" w:type="dxa"/>
        <w:tblLook w:val="04A0" w:firstRow="1" w:lastRow="0" w:firstColumn="1" w:lastColumn="0" w:noHBand="0" w:noVBand="1"/>
      </w:tblPr>
      <w:tblGrid>
        <w:gridCol w:w="1988"/>
        <w:gridCol w:w="6964"/>
      </w:tblGrid>
      <w:tr w:rsidR="009B2570" w:rsidRPr="003B711F" w:rsidTr="003E7FD3">
        <w:tc>
          <w:tcPr>
            <w:tcW w:w="1999" w:type="dxa"/>
          </w:tcPr>
          <w:p w:rsidR="009B2570" w:rsidRPr="003B711F" w:rsidRDefault="009B2570" w:rsidP="004666AB">
            <w:pPr>
              <w:autoSpaceDE w:val="0"/>
              <w:autoSpaceDN w:val="0"/>
              <w:adjustRightInd w:val="0"/>
              <w:spacing w:before="60" w:after="60"/>
              <w:jc w:val="center"/>
              <w:rPr>
                <w:rFonts w:cs="Arial"/>
                <w:b/>
                <w:szCs w:val="20"/>
              </w:rPr>
            </w:pPr>
            <w:r>
              <w:rPr>
                <w:rFonts w:cs="Arial"/>
                <w:b/>
                <w:szCs w:val="20"/>
              </w:rPr>
              <w:t>Total</w:t>
            </w:r>
            <w:r w:rsidR="003E7FD3">
              <w:rPr>
                <w:rFonts w:cs="Arial"/>
                <w:b/>
                <w:szCs w:val="20"/>
              </w:rPr>
              <w:t xml:space="preserve"> – 47</w:t>
            </w:r>
          </w:p>
        </w:tc>
        <w:tc>
          <w:tcPr>
            <w:tcW w:w="6953" w:type="dxa"/>
          </w:tcPr>
          <w:p w:rsidR="009B2570" w:rsidRPr="003B711F" w:rsidRDefault="009B2570" w:rsidP="004666AB">
            <w:pPr>
              <w:autoSpaceDE w:val="0"/>
              <w:autoSpaceDN w:val="0"/>
              <w:adjustRightInd w:val="0"/>
              <w:spacing w:before="60" w:after="60"/>
              <w:jc w:val="center"/>
              <w:rPr>
                <w:rFonts w:cs="Arial"/>
                <w:b/>
                <w:szCs w:val="20"/>
              </w:rPr>
            </w:pPr>
            <w:r>
              <w:rPr>
                <w:rFonts w:cs="Arial"/>
                <w:b/>
                <w:szCs w:val="20"/>
              </w:rPr>
              <w:t>Cause and breakdown</w:t>
            </w:r>
          </w:p>
        </w:tc>
      </w:tr>
      <w:tr w:rsidR="009B2570" w:rsidTr="004666AB">
        <w:tc>
          <w:tcPr>
            <w:tcW w:w="2126" w:type="dxa"/>
          </w:tcPr>
          <w:p w:rsidR="009B2570" w:rsidRDefault="003E7FD3" w:rsidP="004666AB">
            <w:pPr>
              <w:autoSpaceDE w:val="0"/>
              <w:autoSpaceDN w:val="0"/>
              <w:adjustRightInd w:val="0"/>
              <w:spacing w:before="60" w:after="60"/>
              <w:jc w:val="center"/>
              <w:rPr>
                <w:rFonts w:cs="Arial"/>
                <w:szCs w:val="20"/>
              </w:rPr>
            </w:pPr>
            <w:r>
              <w:rPr>
                <w:rFonts w:cs="Arial"/>
                <w:szCs w:val="20"/>
              </w:rPr>
              <w:t>13</w:t>
            </w:r>
          </w:p>
        </w:tc>
        <w:tc>
          <w:tcPr>
            <w:tcW w:w="7513" w:type="dxa"/>
          </w:tcPr>
          <w:p w:rsidR="009B2570" w:rsidRDefault="009B2570" w:rsidP="004666AB">
            <w:pPr>
              <w:autoSpaceDE w:val="0"/>
              <w:autoSpaceDN w:val="0"/>
              <w:adjustRightInd w:val="0"/>
              <w:spacing w:before="60" w:after="60"/>
              <w:jc w:val="center"/>
              <w:rPr>
                <w:rFonts w:cs="Arial"/>
                <w:szCs w:val="20"/>
              </w:rPr>
            </w:pPr>
            <w:r>
              <w:rPr>
                <w:rFonts w:cs="Arial"/>
                <w:szCs w:val="20"/>
              </w:rPr>
              <w:t>Accidental</w:t>
            </w:r>
          </w:p>
          <w:p w:rsidR="009B2570" w:rsidRDefault="003E7FD3" w:rsidP="003E7FD3">
            <w:pPr>
              <w:autoSpaceDE w:val="0"/>
              <w:autoSpaceDN w:val="0"/>
              <w:adjustRightInd w:val="0"/>
              <w:spacing w:before="60" w:after="60"/>
              <w:jc w:val="center"/>
              <w:rPr>
                <w:rFonts w:cs="Arial"/>
                <w:szCs w:val="20"/>
              </w:rPr>
            </w:pPr>
            <w:r>
              <w:rPr>
                <w:rFonts w:cs="Arial"/>
                <w:szCs w:val="20"/>
              </w:rPr>
              <w:t>Drowning 8</w:t>
            </w:r>
            <w:r w:rsidR="009B2570">
              <w:rPr>
                <w:rFonts w:cs="Arial"/>
                <w:szCs w:val="20"/>
              </w:rPr>
              <w:t xml:space="preserve">, </w:t>
            </w:r>
            <w:r>
              <w:rPr>
                <w:rFonts w:cs="Arial"/>
                <w:szCs w:val="20"/>
              </w:rPr>
              <w:t>transport 4</w:t>
            </w:r>
            <w:r w:rsidR="009B2570">
              <w:rPr>
                <w:rFonts w:cs="Arial"/>
                <w:szCs w:val="20"/>
              </w:rPr>
              <w:t>, other 1</w:t>
            </w:r>
          </w:p>
        </w:tc>
      </w:tr>
      <w:tr w:rsidR="003E7FD3" w:rsidTr="003E7FD3">
        <w:tc>
          <w:tcPr>
            <w:tcW w:w="1999" w:type="dxa"/>
          </w:tcPr>
          <w:p w:rsidR="003E7FD3" w:rsidRDefault="003E7FD3" w:rsidP="004666AB">
            <w:pPr>
              <w:autoSpaceDE w:val="0"/>
              <w:autoSpaceDN w:val="0"/>
              <w:adjustRightInd w:val="0"/>
              <w:spacing w:before="60" w:after="60"/>
              <w:jc w:val="center"/>
              <w:rPr>
                <w:rFonts w:cs="Arial"/>
                <w:szCs w:val="20"/>
              </w:rPr>
            </w:pPr>
            <w:r>
              <w:rPr>
                <w:rFonts w:cs="Arial"/>
                <w:szCs w:val="20"/>
              </w:rPr>
              <w:t>12</w:t>
            </w:r>
          </w:p>
        </w:tc>
        <w:tc>
          <w:tcPr>
            <w:tcW w:w="6953" w:type="dxa"/>
          </w:tcPr>
          <w:p w:rsidR="003E7FD3" w:rsidRDefault="003E7FD3" w:rsidP="003E7FD3">
            <w:pPr>
              <w:autoSpaceDE w:val="0"/>
              <w:autoSpaceDN w:val="0"/>
              <w:adjustRightInd w:val="0"/>
              <w:spacing w:before="60" w:after="60"/>
              <w:jc w:val="center"/>
              <w:rPr>
                <w:rFonts w:cs="Arial"/>
                <w:szCs w:val="20"/>
              </w:rPr>
            </w:pPr>
            <w:r>
              <w:rPr>
                <w:rFonts w:cs="Arial"/>
                <w:szCs w:val="20"/>
              </w:rPr>
              <w:t xml:space="preserve">Disease </w:t>
            </w:r>
            <w:r>
              <w:rPr>
                <w:rFonts w:cs="Arial"/>
                <w:szCs w:val="20"/>
              </w:rPr>
              <w:t>/</w:t>
            </w:r>
            <w:r>
              <w:rPr>
                <w:rFonts w:cs="Arial"/>
                <w:szCs w:val="20"/>
              </w:rPr>
              <w:t xml:space="preserve"> Morbid Conditions</w:t>
            </w:r>
          </w:p>
        </w:tc>
      </w:tr>
      <w:tr w:rsidR="009B2570" w:rsidTr="003E7FD3">
        <w:tc>
          <w:tcPr>
            <w:tcW w:w="1999" w:type="dxa"/>
          </w:tcPr>
          <w:p w:rsidR="009B2570" w:rsidRDefault="003E7FD3" w:rsidP="004666AB">
            <w:pPr>
              <w:autoSpaceDE w:val="0"/>
              <w:autoSpaceDN w:val="0"/>
              <w:adjustRightInd w:val="0"/>
              <w:spacing w:before="60" w:after="60"/>
              <w:jc w:val="center"/>
              <w:rPr>
                <w:rFonts w:cs="Arial"/>
                <w:szCs w:val="20"/>
              </w:rPr>
            </w:pPr>
            <w:r>
              <w:rPr>
                <w:rFonts w:cs="Arial"/>
                <w:szCs w:val="20"/>
              </w:rPr>
              <w:t>7</w:t>
            </w:r>
          </w:p>
        </w:tc>
        <w:tc>
          <w:tcPr>
            <w:tcW w:w="6953" w:type="dxa"/>
          </w:tcPr>
          <w:p w:rsidR="009B2570" w:rsidRDefault="003E7FD3" w:rsidP="003E7FD3">
            <w:pPr>
              <w:autoSpaceDE w:val="0"/>
              <w:autoSpaceDN w:val="0"/>
              <w:adjustRightInd w:val="0"/>
              <w:spacing w:before="60" w:after="60"/>
              <w:jc w:val="center"/>
              <w:rPr>
                <w:rFonts w:cs="Arial"/>
                <w:szCs w:val="20"/>
              </w:rPr>
            </w:pPr>
            <w:r>
              <w:rPr>
                <w:rFonts w:cs="Arial"/>
                <w:szCs w:val="20"/>
              </w:rPr>
              <w:t>Suicide</w:t>
            </w:r>
          </w:p>
        </w:tc>
      </w:tr>
      <w:tr w:rsidR="009B2570" w:rsidTr="003E7FD3">
        <w:tc>
          <w:tcPr>
            <w:tcW w:w="1999" w:type="dxa"/>
          </w:tcPr>
          <w:p w:rsidR="009B2570" w:rsidRDefault="009B2570" w:rsidP="004666AB">
            <w:pPr>
              <w:autoSpaceDE w:val="0"/>
              <w:autoSpaceDN w:val="0"/>
              <w:adjustRightInd w:val="0"/>
              <w:spacing w:before="60" w:after="60"/>
              <w:jc w:val="center"/>
              <w:rPr>
                <w:rFonts w:cs="Arial"/>
                <w:szCs w:val="20"/>
              </w:rPr>
            </w:pPr>
            <w:r>
              <w:rPr>
                <w:rFonts w:cs="Arial"/>
                <w:szCs w:val="20"/>
              </w:rPr>
              <w:t>8</w:t>
            </w:r>
          </w:p>
        </w:tc>
        <w:tc>
          <w:tcPr>
            <w:tcW w:w="6953" w:type="dxa"/>
          </w:tcPr>
          <w:p w:rsidR="009B2570" w:rsidRDefault="009B2570" w:rsidP="004666AB">
            <w:pPr>
              <w:autoSpaceDE w:val="0"/>
              <w:autoSpaceDN w:val="0"/>
              <w:adjustRightInd w:val="0"/>
              <w:spacing w:before="60" w:after="60"/>
              <w:jc w:val="center"/>
              <w:rPr>
                <w:rFonts w:cs="Arial"/>
                <w:szCs w:val="20"/>
              </w:rPr>
            </w:pPr>
            <w:r>
              <w:rPr>
                <w:rFonts w:cs="Arial"/>
                <w:szCs w:val="20"/>
              </w:rPr>
              <w:t>Unknown/ pending/ unable to be determined</w:t>
            </w:r>
          </w:p>
        </w:tc>
      </w:tr>
      <w:tr w:rsidR="003E7FD3" w:rsidTr="003E7FD3">
        <w:tc>
          <w:tcPr>
            <w:tcW w:w="1999" w:type="dxa"/>
          </w:tcPr>
          <w:p w:rsidR="003E7FD3" w:rsidRDefault="003E7FD3" w:rsidP="004666AB">
            <w:pPr>
              <w:autoSpaceDE w:val="0"/>
              <w:autoSpaceDN w:val="0"/>
              <w:adjustRightInd w:val="0"/>
              <w:spacing w:before="60" w:after="60"/>
              <w:jc w:val="center"/>
              <w:rPr>
                <w:rFonts w:cs="Arial"/>
                <w:szCs w:val="20"/>
              </w:rPr>
            </w:pPr>
            <w:r>
              <w:rPr>
                <w:rFonts w:cs="Arial"/>
                <w:szCs w:val="20"/>
              </w:rPr>
              <w:t>6</w:t>
            </w:r>
          </w:p>
        </w:tc>
        <w:tc>
          <w:tcPr>
            <w:tcW w:w="6953" w:type="dxa"/>
          </w:tcPr>
          <w:p w:rsidR="003E7FD3" w:rsidRDefault="003E7FD3" w:rsidP="003E7FD3">
            <w:pPr>
              <w:autoSpaceDE w:val="0"/>
              <w:autoSpaceDN w:val="0"/>
              <w:adjustRightInd w:val="0"/>
              <w:spacing w:before="60" w:after="60"/>
              <w:jc w:val="center"/>
              <w:rPr>
                <w:rFonts w:cs="Arial"/>
                <w:szCs w:val="20"/>
              </w:rPr>
            </w:pPr>
            <w:r>
              <w:rPr>
                <w:rFonts w:cs="Arial"/>
                <w:szCs w:val="20"/>
              </w:rPr>
              <w:t>Assault/suspected assault</w:t>
            </w:r>
          </w:p>
        </w:tc>
      </w:tr>
      <w:tr w:rsidR="009B2570" w:rsidTr="003E7FD3">
        <w:tc>
          <w:tcPr>
            <w:tcW w:w="1999" w:type="dxa"/>
          </w:tcPr>
          <w:p w:rsidR="009B2570" w:rsidRDefault="003E7FD3" w:rsidP="004666AB">
            <w:pPr>
              <w:autoSpaceDE w:val="0"/>
              <w:autoSpaceDN w:val="0"/>
              <w:adjustRightInd w:val="0"/>
              <w:spacing w:before="60" w:after="60"/>
              <w:jc w:val="center"/>
              <w:rPr>
                <w:rFonts w:cs="Arial"/>
                <w:szCs w:val="20"/>
              </w:rPr>
            </w:pPr>
            <w:r>
              <w:rPr>
                <w:rFonts w:cs="Arial"/>
                <w:szCs w:val="20"/>
              </w:rPr>
              <w:t>1</w:t>
            </w:r>
          </w:p>
        </w:tc>
        <w:tc>
          <w:tcPr>
            <w:tcW w:w="6953" w:type="dxa"/>
          </w:tcPr>
          <w:p w:rsidR="009B2570" w:rsidRDefault="009B2570" w:rsidP="003E7FD3">
            <w:pPr>
              <w:autoSpaceDE w:val="0"/>
              <w:autoSpaceDN w:val="0"/>
              <w:adjustRightInd w:val="0"/>
              <w:spacing w:before="60" w:after="60"/>
              <w:jc w:val="center"/>
              <w:rPr>
                <w:rFonts w:cs="Arial"/>
                <w:szCs w:val="20"/>
              </w:rPr>
            </w:pPr>
            <w:r>
              <w:rPr>
                <w:rFonts w:cs="Arial"/>
                <w:szCs w:val="20"/>
              </w:rPr>
              <w:t>S</w:t>
            </w:r>
            <w:r w:rsidR="003E7FD3">
              <w:rPr>
                <w:rFonts w:cs="Arial"/>
                <w:szCs w:val="20"/>
              </w:rPr>
              <w:t>udden and Unexpected Death in Infancy (SUDI)</w:t>
            </w:r>
          </w:p>
        </w:tc>
      </w:tr>
    </w:tbl>
    <w:p w:rsidR="009B2570" w:rsidRDefault="009B2570" w:rsidP="00DD5024">
      <w:pPr>
        <w:jc w:val="both"/>
        <w:rPr>
          <w:rFonts w:cs="Arial"/>
        </w:rPr>
      </w:pPr>
    </w:p>
    <w:p w:rsidR="00D94594" w:rsidRDefault="00673C5A" w:rsidP="00DD5024">
      <w:pPr>
        <w:jc w:val="both"/>
        <w:rPr>
          <w:rFonts w:cs="Arial"/>
        </w:rPr>
      </w:pPr>
      <w:r>
        <w:rPr>
          <w:rFonts w:cs="Arial"/>
        </w:rPr>
        <w:t xml:space="preserve">Young children aged under one year were the highest represented, accounting for 19 of the cases (40 per cent). The second highest age category were young children aged 1-4 years, accounting for 11 cases (23 per cent). </w:t>
      </w:r>
    </w:p>
    <w:p w:rsidR="00C53C4E" w:rsidRPr="00B8163D" w:rsidRDefault="00673C5A" w:rsidP="00DD5024">
      <w:pPr>
        <w:jc w:val="both"/>
        <w:rPr>
          <w:rFonts w:cs="Arial"/>
        </w:rPr>
      </w:pPr>
      <w:r w:rsidRPr="00806745">
        <w:rPr>
          <w:rFonts w:cs="Arial"/>
          <w:i/>
        </w:rPr>
        <w:t>Figure 5</w:t>
      </w:r>
      <w:r w:rsidRPr="00806745">
        <w:rPr>
          <w:rFonts w:cs="Arial"/>
        </w:rPr>
        <w:t xml:space="preserve"> shows the age categories of deaths and serious physical injuries in the cases reviewed in the 2017–18 reporting period.</w:t>
      </w:r>
    </w:p>
    <w:bookmarkEnd w:id="61"/>
    <w:bookmarkEnd w:id="62"/>
    <w:p w:rsidR="0018448B" w:rsidRPr="0018448B" w:rsidRDefault="0018448B" w:rsidP="00DD5024">
      <w:pPr>
        <w:spacing w:after="0"/>
        <w:jc w:val="both"/>
        <w:rPr>
          <w:sz w:val="20"/>
        </w:rPr>
      </w:pPr>
    </w:p>
    <w:p w:rsidR="0018448B" w:rsidRPr="0018448B" w:rsidRDefault="0018448B" w:rsidP="00DD5024">
      <w:pPr>
        <w:spacing w:after="0"/>
        <w:jc w:val="both"/>
        <w:rPr>
          <w:sz w:val="20"/>
        </w:rPr>
      </w:pPr>
    </w:p>
    <w:p w:rsidR="005E75B1" w:rsidRDefault="0087511C" w:rsidP="00DD5024">
      <w:pPr>
        <w:spacing w:after="0"/>
        <w:jc w:val="both"/>
        <w:rPr>
          <w:b/>
          <w:i/>
          <w:sz w:val="20"/>
        </w:rPr>
      </w:pPr>
      <w:r w:rsidRPr="00806745">
        <w:rPr>
          <w:b/>
          <w:i/>
          <w:sz w:val="20"/>
        </w:rPr>
        <w:t xml:space="preserve">Figure </w:t>
      </w:r>
      <w:r w:rsidR="00806745" w:rsidRPr="00806745">
        <w:rPr>
          <w:b/>
          <w:i/>
          <w:sz w:val="20"/>
        </w:rPr>
        <w:t>5</w:t>
      </w:r>
      <w:r w:rsidRPr="00806745">
        <w:rPr>
          <w:b/>
          <w:i/>
          <w:sz w:val="20"/>
        </w:rPr>
        <w:t>. Age categories of deaths and serious physical injuries in the 2017–18 reporting</w:t>
      </w:r>
      <w:r w:rsidRPr="00FE5D4E">
        <w:rPr>
          <w:b/>
          <w:i/>
          <w:sz w:val="20"/>
        </w:rPr>
        <w:t xml:space="preserve"> period</w:t>
      </w:r>
    </w:p>
    <w:p w:rsidR="003E7FD3" w:rsidRDefault="003E7FD3" w:rsidP="00DD5024">
      <w:pPr>
        <w:spacing w:after="0"/>
        <w:jc w:val="both"/>
        <w:rPr>
          <w:b/>
          <w:i/>
          <w:sz w:val="20"/>
        </w:rPr>
      </w:pPr>
    </w:p>
    <w:p w:rsidR="003E7FD3" w:rsidRDefault="003E7FD3" w:rsidP="00DD5024">
      <w:pPr>
        <w:spacing w:after="0"/>
        <w:jc w:val="both"/>
        <w:rPr>
          <w:b/>
          <w:i/>
          <w:sz w:val="20"/>
        </w:rPr>
      </w:pPr>
    </w:p>
    <w:tbl>
      <w:tblPr>
        <w:tblStyle w:val="TableGrid"/>
        <w:tblW w:w="0" w:type="auto"/>
        <w:tblInd w:w="108" w:type="dxa"/>
        <w:tblLook w:val="04A0" w:firstRow="1" w:lastRow="0" w:firstColumn="1" w:lastColumn="0" w:noHBand="0" w:noVBand="1"/>
      </w:tblPr>
      <w:tblGrid>
        <w:gridCol w:w="1984"/>
        <w:gridCol w:w="2014"/>
        <w:gridCol w:w="2014"/>
        <w:gridCol w:w="2014"/>
      </w:tblGrid>
      <w:tr w:rsidR="003E7FD3" w:rsidRPr="003B711F" w:rsidTr="00E75776">
        <w:tc>
          <w:tcPr>
            <w:tcW w:w="1984" w:type="dxa"/>
          </w:tcPr>
          <w:p w:rsidR="003E7FD3" w:rsidRPr="003B711F" w:rsidRDefault="003E7FD3" w:rsidP="004666AB">
            <w:pPr>
              <w:autoSpaceDE w:val="0"/>
              <w:autoSpaceDN w:val="0"/>
              <w:adjustRightInd w:val="0"/>
              <w:spacing w:before="60" w:after="60"/>
              <w:jc w:val="center"/>
              <w:rPr>
                <w:rFonts w:cs="Arial"/>
                <w:b/>
                <w:szCs w:val="20"/>
              </w:rPr>
            </w:pPr>
            <w:bookmarkStart w:id="63" w:name="_Toc524517379"/>
          </w:p>
        </w:tc>
        <w:tc>
          <w:tcPr>
            <w:tcW w:w="2014" w:type="dxa"/>
          </w:tcPr>
          <w:p w:rsidR="003E7FD3" w:rsidRPr="003B711F" w:rsidRDefault="003E7FD3" w:rsidP="004666AB">
            <w:pPr>
              <w:autoSpaceDE w:val="0"/>
              <w:autoSpaceDN w:val="0"/>
              <w:adjustRightInd w:val="0"/>
              <w:spacing w:before="60" w:after="60"/>
              <w:jc w:val="center"/>
              <w:rPr>
                <w:rFonts w:cs="Arial"/>
                <w:b/>
                <w:szCs w:val="20"/>
              </w:rPr>
            </w:pPr>
            <w:r>
              <w:rPr>
                <w:rFonts w:cs="Arial"/>
                <w:b/>
                <w:szCs w:val="20"/>
              </w:rPr>
              <w:t>Death</w:t>
            </w:r>
          </w:p>
        </w:tc>
        <w:tc>
          <w:tcPr>
            <w:tcW w:w="2014" w:type="dxa"/>
          </w:tcPr>
          <w:p w:rsidR="003E7FD3" w:rsidRPr="003B711F" w:rsidRDefault="003E7FD3" w:rsidP="004666AB">
            <w:pPr>
              <w:autoSpaceDE w:val="0"/>
              <w:autoSpaceDN w:val="0"/>
              <w:adjustRightInd w:val="0"/>
              <w:spacing w:before="60" w:after="60"/>
              <w:jc w:val="center"/>
              <w:rPr>
                <w:rFonts w:cs="Arial"/>
                <w:b/>
                <w:szCs w:val="20"/>
              </w:rPr>
            </w:pPr>
            <w:r>
              <w:rPr>
                <w:rFonts w:cs="Arial"/>
                <w:b/>
                <w:szCs w:val="20"/>
              </w:rPr>
              <w:t>Serious Injury</w:t>
            </w:r>
          </w:p>
        </w:tc>
        <w:tc>
          <w:tcPr>
            <w:tcW w:w="2014" w:type="dxa"/>
          </w:tcPr>
          <w:p w:rsidR="003E7FD3" w:rsidRPr="003B711F" w:rsidRDefault="003E7FD3" w:rsidP="004666AB">
            <w:pPr>
              <w:autoSpaceDE w:val="0"/>
              <w:autoSpaceDN w:val="0"/>
              <w:adjustRightInd w:val="0"/>
              <w:spacing w:before="60" w:after="60"/>
              <w:jc w:val="center"/>
              <w:rPr>
                <w:rFonts w:cs="Arial"/>
                <w:b/>
                <w:szCs w:val="20"/>
              </w:rPr>
            </w:pPr>
            <w:r>
              <w:rPr>
                <w:rFonts w:cs="Arial"/>
                <w:b/>
                <w:szCs w:val="20"/>
              </w:rPr>
              <w:t>Total</w:t>
            </w:r>
          </w:p>
        </w:tc>
      </w:tr>
      <w:tr w:rsidR="003E7FD3" w:rsidTr="00E75776">
        <w:tc>
          <w:tcPr>
            <w:tcW w:w="1984" w:type="dxa"/>
          </w:tcPr>
          <w:p w:rsidR="003E7FD3" w:rsidRDefault="003E7FD3" w:rsidP="004666AB">
            <w:pPr>
              <w:autoSpaceDE w:val="0"/>
              <w:autoSpaceDN w:val="0"/>
              <w:adjustRightInd w:val="0"/>
              <w:spacing w:before="60" w:after="60"/>
              <w:jc w:val="center"/>
              <w:rPr>
                <w:rFonts w:cs="Arial"/>
                <w:szCs w:val="20"/>
              </w:rPr>
            </w:pPr>
            <w:r>
              <w:rPr>
                <w:rFonts w:cs="Arial"/>
                <w:szCs w:val="20"/>
              </w:rPr>
              <w:t>Under 1 year</w:t>
            </w:r>
          </w:p>
        </w:tc>
        <w:tc>
          <w:tcPr>
            <w:tcW w:w="2014" w:type="dxa"/>
          </w:tcPr>
          <w:p w:rsidR="003E7FD3" w:rsidRDefault="003E7FD3" w:rsidP="004666AB">
            <w:pPr>
              <w:autoSpaceDE w:val="0"/>
              <w:autoSpaceDN w:val="0"/>
              <w:adjustRightInd w:val="0"/>
              <w:spacing w:before="60" w:after="60"/>
              <w:jc w:val="center"/>
              <w:rPr>
                <w:rFonts w:cs="Arial"/>
                <w:szCs w:val="20"/>
              </w:rPr>
            </w:pPr>
            <w:r>
              <w:rPr>
                <w:rFonts w:cs="Arial"/>
                <w:szCs w:val="20"/>
              </w:rPr>
              <w:t>19</w:t>
            </w:r>
          </w:p>
        </w:tc>
        <w:tc>
          <w:tcPr>
            <w:tcW w:w="2014" w:type="dxa"/>
          </w:tcPr>
          <w:p w:rsidR="003E7FD3" w:rsidRDefault="003E7FD3" w:rsidP="004666AB">
            <w:pPr>
              <w:autoSpaceDE w:val="0"/>
              <w:autoSpaceDN w:val="0"/>
              <w:adjustRightInd w:val="0"/>
              <w:spacing w:before="60" w:after="60"/>
              <w:jc w:val="center"/>
              <w:rPr>
                <w:rFonts w:cs="Arial"/>
                <w:szCs w:val="20"/>
              </w:rPr>
            </w:pPr>
            <w:r>
              <w:rPr>
                <w:rFonts w:cs="Arial"/>
                <w:szCs w:val="20"/>
              </w:rPr>
              <w:t>1</w:t>
            </w:r>
          </w:p>
        </w:tc>
        <w:tc>
          <w:tcPr>
            <w:tcW w:w="2014" w:type="dxa"/>
          </w:tcPr>
          <w:p w:rsidR="003E7FD3" w:rsidRDefault="003E7FD3" w:rsidP="004666AB">
            <w:pPr>
              <w:autoSpaceDE w:val="0"/>
              <w:autoSpaceDN w:val="0"/>
              <w:adjustRightInd w:val="0"/>
              <w:spacing w:before="60" w:after="60"/>
              <w:jc w:val="center"/>
              <w:rPr>
                <w:rFonts w:cs="Arial"/>
                <w:szCs w:val="20"/>
              </w:rPr>
            </w:pPr>
            <w:r>
              <w:rPr>
                <w:rFonts w:cs="Arial"/>
                <w:szCs w:val="20"/>
              </w:rPr>
              <w:t>20</w:t>
            </w:r>
          </w:p>
        </w:tc>
      </w:tr>
      <w:tr w:rsidR="003E7FD3" w:rsidTr="00E75776">
        <w:tc>
          <w:tcPr>
            <w:tcW w:w="1984" w:type="dxa"/>
          </w:tcPr>
          <w:p w:rsidR="003E7FD3" w:rsidRDefault="003E7FD3" w:rsidP="004666AB">
            <w:pPr>
              <w:autoSpaceDE w:val="0"/>
              <w:autoSpaceDN w:val="0"/>
              <w:adjustRightInd w:val="0"/>
              <w:spacing w:before="60" w:after="60"/>
              <w:jc w:val="center"/>
              <w:rPr>
                <w:rFonts w:cs="Arial"/>
                <w:szCs w:val="20"/>
              </w:rPr>
            </w:pPr>
            <w:r>
              <w:rPr>
                <w:rFonts w:cs="Arial"/>
                <w:szCs w:val="20"/>
              </w:rPr>
              <w:t>1 – 4 years</w:t>
            </w:r>
          </w:p>
        </w:tc>
        <w:tc>
          <w:tcPr>
            <w:tcW w:w="2014" w:type="dxa"/>
          </w:tcPr>
          <w:p w:rsidR="003E7FD3" w:rsidRDefault="003E7FD3" w:rsidP="004666AB">
            <w:pPr>
              <w:autoSpaceDE w:val="0"/>
              <w:autoSpaceDN w:val="0"/>
              <w:adjustRightInd w:val="0"/>
              <w:spacing w:before="60" w:after="60"/>
              <w:jc w:val="center"/>
              <w:rPr>
                <w:rFonts w:cs="Arial"/>
                <w:szCs w:val="20"/>
              </w:rPr>
            </w:pPr>
            <w:r>
              <w:rPr>
                <w:rFonts w:cs="Arial"/>
                <w:szCs w:val="20"/>
              </w:rPr>
              <w:t>11</w:t>
            </w:r>
          </w:p>
        </w:tc>
        <w:tc>
          <w:tcPr>
            <w:tcW w:w="2014" w:type="dxa"/>
          </w:tcPr>
          <w:p w:rsidR="003E7FD3" w:rsidRDefault="003E7FD3" w:rsidP="004666AB">
            <w:pPr>
              <w:autoSpaceDE w:val="0"/>
              <w:autoSpaceDN w:val="0"/>
              <w:adjustRightInd w:val="0"/>
              <w:spacing w:before="60" w:after="60"/>
              <w:jc w:val="center"/>
              <w:rPr>
                <w:rFonts w:cs="Arial"/>
                <w:szCs w:val="20"/>
              </w:rPr>
            </w:pPr>
            <w:r>
              <w:rPr>
                <w:rFonts w:cs="Arial"/>
                <w:szCs w:val="20"/>
              </w:rPr>
              <w:t>3</w:t>
            </w:r>
          </w:p>
        </w:tc>
        <w:tc>
          <w:tcPr>
            <w:tcW w:w="2014" w:type="dxa"/>
          </w:tcPr>
          <w:p w:rsidR="003E7FD3" w:rsidRDefault="003E7FD3" w:rsidP="004666AB">
            <w:pPr>
              <w:autoSpaceDE w:val="0"/>
              <w:autoSpaceDN w:val="0"/>
              <w:adjustRightInd w:val="0"/>
              <w:spacing w:before="60" w:after="60"/>
              <w:jc w:val="center"/>
              <w:rPr>
                <w:rFonts w:cs="Arial"/>
                <w:szCs w:val="20"/>
              </w:rPr>
            </w:pPr>
            <w:r>
              <w:rPr>
                <w:rFonts w:cs="Arial"/>
                <w:szCs w:val="20"/>
              </w:rPr>
              <w:t>14</w:t>
            </w:r>
          </w:p>
        </w:tc>
      </w:tr>
      <w:tr w:rsidR="003E7FD3" w:rsidTr="00E75776">
        <w:tc>
          <w:tcPr>
            <w:tcW w:w="1984" w:type="dxa"/>
          </w:tcPr>
          <w:p w:rsidR="003E7FD3" w:rsidRDefault="003E7FD3" w:rsidP="004666AB">
            <w:pPr>
              <w:autoSpaceDE w:val="0"/>
              <w:autoSpaceDN w:val="0"/>
              <w:adjustRightInd w:val="0"/>
              <w:spacing w:before="60" w:after="60"/>
              <w:jc w:val="center"/>
              <w:rPr>
                <w:rFonts w:cs="Arial"/>
                <w:szCs w:val="20"/>
              </w:rPr>
            </w:pPr>
            <w:r>
              <w:rPr>
                <w:rFonts w:cs="Arial"/>
                <w:szCs w:val="20"/>
              </w:rPr>
              <w:t>5 – 9 years</w:t>
            </w:r>
          </w:p>
        </w:tc>
        <w:tc>
          <w:tcPr>
            <w:tcW w:w="2014" w:type="dxa"/>
          </w:tcPr>
          <w:p w:rsidR="003E7FD3" w:rsidRDefault="003E7FD3" w:rsidP="004666AB">
            <w:pPr>
              <w:autoSpaceDE w:val="0"/>
              <w:autoSpaceDN w:val="0"/>
              <w:adjustRightInd w:val="0"/>
              <w:spacing w:before="60" w:after="60"/>
              <w:jc w:val="center"/>
              <w:rPr>
                <w:rFonts w:cs="Arial"/>
                <w:szCs w:val="20"/>
              </w:rPr>
            </w:pPr>
            <w:r>
              <w:rPr>
                <w:rFonts w:cs="Arial"/>
                <w:szCs w:val="20"/>
              </w:rPr>
              <w:t>5</w:t>
            </w:r>
          </w:p>
        </w:tc>
        <w:tc>
          <w:tcPr>
            <w:tcW w:w="2014" w:type="dxa"/>
          </w:tcPr>
          <w:p w:rsidR="003E7FD3" w:rsidRDefault="003E7FD3" w:rsidP="004666AB">
            <w:pPr>
              <w:autoSpaceDE w:val="0"/>
              <w:autoSpaceDN w:val="0"/>
              <w:adjustRightInd w:val="0"/>
              <w:spacing w:before="60" w:after="60"/>
              <w:jc w:val="center"/>
              <w:rPr>
                <w:rFonts w:cs="Arial"/>
                <w:szCs w:val="20"/>
              </w:rPr>
            </w:pPr>
            <w:r>
              <w:rPr>
                <w:rFonts w:cs="Arial"/>
                <w:szCs w:val="20"/>
              </w:rPr>
              <w:t>1</w:t>
            </w:r>
          </w:p>
        </w:tc>
        <w:tc>
          <w:tcPr>
            <w:tcW w:w="2014" w:type="dxa"/>
          </w:tcPr>
          <w:p w:rsidR="003E7FD3" w:rsidRDefault="003E7FD3" w:rsidP="004666AB">
            <w:pPr>
              <w:autoSpaceDE w:val="0"/>
              <w:autoSpaceDN w:val="0"/>
              <w:adjustRightInd w:val="0"/>
              <w:spacing w:before="60" w:after="60"/>
              <w:jc w:val="center"/>
              <w:rPr>
                <w:rFonts w:cs="Arial"/>
                <w:szCs w:val="20"/>
              </w:rPr>
            </w:pPr>
            <w:r>
              <w:rPr>
                <w:rFonts w:cs="Arial"/>
                <w:szCs w:val="20"/>
              </w:rPr>
              <w:t>6</w:t>
            </w:r>
          </w:p>
        </w:tc>
      </w:tr>
      <w:tr w:rsidR="003E7FD3" w:rsidTr="00E75776">
        <w:tc>
          <w:tcPr>
            <w:tcW w:w="1984" w:type="dxa"/>
          </w:tcPr>
          <w:p w:rsidR="003E7FD3" w:rsidRDefault="003E7FD3" w:rsidP="004666AB">
            <w:pPr>
              <w:autoSpaceDE w:val="0"/>
              <w:autoSpaceDN w:val="0"/>
              <w:adjustRightInd w:val="0"/>
              <w:spacing w:before="60" w:after="60"/>
              <w:jc w:val="center"/>
              <w:rPr>
                <w:rFonts w:cs="Arial"/>
                <w:szCs w:val="20"/>
              </w:rPr>
            </w:pPr>
            <w:r>
              <w:rPr>
                <w:rFonts w:cs="Arial"/>
                <w:szCs w:val="20"/>
              </w:rPr>
              <w:t>10 – 14 years</w:t>
            </w:r>
          </w:p>
        </w:tc>
        <w:tc>
          <w:tcPr>
            <w:tcW w:w="2014" w:type="dxa"/>
          </w:tcPr>
          <w:p w:rsidR="003E7FD3" w:rsidRDefault="003E7FD3" w:rsidP="004666AB">
            <w:pPr>
              <w:autoSpaceDE w:val="0"/>
              <w:autoSpaceDN w:val="0"/>
              <w:adjustRightInd w:val="0"/>
              <w:spacing w:before="60" w:after="60"/>
              <w:jc w:val="center"/>
              <w:rPr>
                <w:rFonts w:cs="Arial"/>
                <w:szCs w:val="20"/>
              </w:rPr>
            </w:pPr>
            <w:r>
              <w:rPr>
                <w:rFonts w:cs="Arial"/>
                <w:szCs w:val="20"/>
              </w:rPr>
              <w:t>5</w:t>
            </w:r>
          </w:p>
        </w:tc>
        <w:tc>
          <w:tcPr>
            <w:tcW w:w="2014" w:type="dxa"/>
          </w:tcPr>
          <w:p w:rsidR="003E7FD3" w:rsidRDefault="003E7FD3" w:rsidP="004666AB">
            <w:pPr>
              <w:autoSpaceDE w:val="0"/>
              <w:autoSpaceDN w:val="0"/>
              <w:adjustRightInd w:val="0"/>
              <w:spacing w:before="60" w:after="60"/>
              <w:jc w:val="center"/>
              <w:rPr>
                <w:rFonts w:cs="Arial"/>
                <w:szCs w:val="20"/>
              </w:rPr>
            </w:pPr>
            <w:r>
              <w:rPr>
                <w:rFonts w:cs="Arial"/>
                <w:szCs w:val="20"/>
              </w:rPr>
              <w:t>3</w:t>
            </w:r>
          </w:p>
        </w:tc>
        <w:tc>
          <w:tcPr>
            <w:tcW w:w="2014" w:type="dxa"/>
          </w:tcPr>
          <w:p w:rsidR="003E7FD3" w:rsidRDefault="003E7FD3" w:rsidP="004666AB">
            <w:pPr>
              <w:autoSpaceDE w:val="0"/>
              <w:autoSpaceDN w:val="0"/>
              <w:adjustRightInd w:val="0"/>
              <w:spacing w:before="60" w:after="60"/>
              <w:jc w:val="center"/>
              <w:rPr>
                <w:rFonts w:cs="Arial"/>
                <w:szCs w:val="20"/>
              </w:rPr>
            </w:pPr>
            <w:r>
              <w:rPr>
                <w:rFonts w:cs="Arial"/>
                <w:szCs w:val="20"/>
              </w:rPr>
              <w:t>8</w:t>
            </w:r>
          </w:p>
        </w:tc>
      </w:tr>
      <w:tr w:rsidR="003E7FD3" w:rsidTr="00E75776">
        <w:tc>
          <w:tcPr>
            <w:tcW w:w="1984" w:type="dxa"/>
          </w:tcPr>
          <w:p w:rsidR="003E7FD3" w:rsidRDefault="003E7FD3" w:rsidP="004666AB">
            <w:pPr>
              <w:autoSpaceDE w:val="0"/>
              <w:autoSpaceDN w:val="0"/>
              <w:adjustRightInd w:val="0"/>
              <w:spacing w:before="60" w:after="60"/>
              <w:jc w:val="center"/>
              <w:rPr>
                <w:rFonts w:cs="Arial"/>
                <w:szCs w:val="20"/>
              </w:rPr>
            </w:pPr>
            <w:r>
              <w:rPr>
                <w:rFonts w:cs="Arial"/>
                <w:szCs w:val="20"/>
              </w:rPr>
              <w:t>15 – 17 years</w:t>
            </w:r>
          </w:p>
        </w:tc>
        <w:tc>
          <w:tcPr>
            <w:tcW w:w="2014" w:type="dxa"/>
          </w:tcPr>
          <w:p w:rsidR="003E7FD3" w:rsidRDefault="003E7FD3" w:rsidP="004666AB">
            <w:pPr>
              <w:autoSpaceDE w:val="0"/>
              <w:autoSpaceDN w:val="0"/>
              <w:adjustRightInd w:val="0"/>
              <w:spacing w:before="60" w:after="60"/>
              <w:jc w:val="center"/>
              <w:rPr>
                <w:rFonts w:cs="Arial"/>
                <w:szCs w:val="20"/>
              </w:rPr>
            </w:pPr>
            <w:r>
              <w:rPr>
                <w:rFonts w:cs="Arial"/>
                <w:szCs w:val="20"/>
              </w:rPr>
              <w:t>7</w:t>
            </w:r>
          </w:p>
        </w:tc>
        <w:tc>
          <w:tcPr>
            <w:tcW w:w="2014" w:type="dxa"/>
          </w:tcPr>
          <w:p w:rsidR="003E7FD3" w:rsidRDefault="003E7FD3" w:rsidP="004666AB">
            <w:pPr>
              <w:autoSpaceDE w:val="0"/>
              <w:autoSpaceDN w:val="0"/>
              <w:adjustRightInd w:val="0"/>
              <w:spacing w:before="60" w:after="60"/>
              <w:jc w:val="center"/>
              <w:rPr>
                <w:rFonts w:cs="Arial"/>
                <w:szCs w:val="20"/>
              </w:rPr>
            </w:pPr>
            <w:r>
              <w:rPr>
                <w:rFonts w:cs="Arial"/>
                <w:szCs w:val="20"/>
              </w:rPr>
              <w:t>1</w:t>
            </w:r>
          </w:p>
        </w:tc>
        <w:tc>
          <w:tcPr>
            <w:tcW w:w="2014" w:type="dxa"/>
          </w:tcPr>
          <w:p w:rsidR="003E7FD3" w:rsidRDefault="003E7FD3" w:rsidP="004666AB">
            <w:pPr>
              <w:autoSpaceDE w:val="0"/>
              <w:autoSpaceDN w:val="0"/>
              <w:adjustRightInd w:val="0"/>
              <w:spacing w:before="60" w:after="60"/>
              <w:jc w:val="center"/>
              <w:rPr>
                <w:rFonts w:cs="Arial"/>
                <w:szCs w:val="20"/>
              </w:rPr>
            </w:pPr>
            <w:r>
              <w:rPr>
                <w:rFonts w:cs="Arial"/>
                <w:szCs w:val="20"/>
              </w:rPr>
              <w:t>8</w:t>
            </w:r>
          </w:p>
        </w:tc>
      </w:tr>
    </w:tbl>
    <w:p w:rsidR="00C045FB" w:rsidRPr="001A3CD7" w:rsidRDefault="00187F7A" w:rsidP="00DD5024">
      <w:pPr>
        <w:pStyle w:val="Heading1"/>
        <w:spacing w:before="480"/>
        <w:jc w:val="both"/>
      </w:pPr>
      <w:r w:rsidRPr="001A3CD7">
        <w:t xml:space="preserve">Chapter </w:t>
      </w:r>
      <w:r w:rsidR="008E5EAA" w:rsidRPr="001A3CD7">
        <w:t>3</w:t>
      </w:r>
      <w:bookmarkStart w:id="64" w:name="_Toc462658404"/>
      <w:bookmarkStart w:id="65" w:name="_Toc463343789"/>
      <w:bookmarkEnd w:id="56"/>
      <w:bookmarkEnd w:id="57"/>
      <w:bookmarkEnd w:id="63"/>
    </w:p>
    <w:p w:rsidR="006D309D" w:rsidRPr="00C045FB" w:rsidRDefault="00900201" w:rsidP="00DD5024">
      <w:pPr>
        <w:pStyle w:val="Heading1"/>
        <w:spacing w:before="480"/>
        <w:jc w:val="both"/>
      </w:pPr>
      <w:bookmarkStart w:id="66" w:name="_Toc524517380"/>
      <w:r w:rsidRPr="00C045FB">
        <w:t>Panel o</w:t>
      </w:r>
      <w:r w:rsidR="00BC27BA" w:rsidRPr="00C045FB">
        <w:t>peration</w:t>
      </w:r>
      <w:r w:rsidRPr="00C045FB">
        <w:t>s</w:t>
      </w:r>
      <w:r w:rsidR="009154A1" w:rsidRPr="00C045FB">
        <w:t xml:space="preserve"> </w:t>
      </w:r>
      <w:bookmarkEnd w:id="64"/>
      <w:r w:rsidR="00BC27BA" w:rsidRPr="00C045FB">
        <w:t>in 201</w:t>
      </w:r>
      <w:r w:rsidR="00040B4A">
        <w:t>7</w:t>
      </w:r>
      <w:r w:rsidR="00F30210" w:rsidRPr="00C045FB">
        <w:t>–</w:t>
      </w:r>
      <w:r w:rsidR="00BC27BA" w:rsidRPr="00C045FB">
        <w:t>1</w:t>
      </w:r>
      <w:bookmarkEnd w:id="65"/>
      <w:r w:rsidR="00040B4A">
        <w:t>8</w:t>
      </w:r>
      <w:bookmarkEnd w:id="66"/>
    </w:p>
    <w:p w:rsidR="006D309D" w:rsidRPr="005D53CF" w:rsidRDefault="006D309D" w:rsidP="00DD5024">
      <w:pPr>
        <w:pStyle w:val="Heading2"/>
        <w:spacing w:before="240"/>
        <w:jc w:val="both"/>
        <w:rPr>
          <w:sz w:val="28"/>
        </w:rPr>
      </w:pPr>
      <w:bookmarkStart w:id="67" w:name="_Toc424043190"/>
      <w:bookmarkStart w:id="68" w:name="_Toc424043277"/>
      <w:bookmarkStart w:id="69" w:name="_Toc462658405"/>
      <w:bookmarkStart w:id="70" w:name="_Toc524517381"/>
      <w:r w:rsidRPr="005D53CF">
        <w:rPr>
          <w:sz w:val="28"/>
        </w:rPr>
        <w:t>P</w:t>
      </w:r>
      <w:bookmarkEnd w:id="67"/>
      <w:bookmarkEnd w:id="68"/>
      <w:bookmarkEnd w:id="69"/>
      <w:r w:rsidR="0041221C">
        <w:rPr>
          <w:sz w:val="28"/>
        </w:rPr>
        <w:t>anel composition</w:t>
      </w:r>
      <w:bookmarkEnd w:id="70"/>
    </w:p>
    <w:p w:rsidR="00A428FD" w:rsidRPr="00897A54" w:rsidRDefault="00A428FD" w:rsidP="00DD5024">
      <w:pPr>
        <w:jc w:val="both"/>
        <w:rPr>
          <w:rFonts w:cs="Arial"/>
          <w:lang w:val="en-GB"/>
        </w:rPr>
      </w:pPr>
      <w:r w:rsidRPr="00897A54">
        <w:rPr>
          <w:rFonts w:cs="Arial"/>
          <w:lang w:val="en-GB"/>
        </w:rPr>
        <w:t xml:space="preserve">In </w:t>
      </w:r>
      <w:r w:rsidR="008E4BA0" w:rsidRPr="00897A54">
        <w:rPr>
          <w:rFonts w:cs="Arial"/>
          <w:lang w:val="en-GB"/>
        </w:rPr>
        <w:t xml:space="preserve">July </w:t>
      </w:r>
      <w:r w:rsidRPr="00897A54">
        <w:rPr>
          <w:rFonts w:cs="Arial"/>
          <w:lang w:val="en-GB"/>
        </w:rPr>
        <w:t xml:space="preserve">2017, </w:t>
      </w:r>
      <w:r w:rsidR="008E4BA0" w:rsidRPr="00897A54">
        <w:rPr>
          <w:rFonts w:cs="Arial"/>
          <w:lang w:val="en-GB"/>
        </w:rPr>
        <w:t xml:space="preserve">the department finalised a recruitment process that resulted in the appointment of </w:t>
      </w:r>
      <w:r w:rsidR="00D07753" w:rsidRPr="00897A54">
        <w:rPr>
          <w:rFonts w:cs="Arial"/>
          <w:lang w:val="en-GB"/>
        </w:rPr>
        <w:t>four</w:t>
      </w:r>
      <w:r w:rsidR="008E4BA0" w:rsidRPr="00897A54">
        <w:rPr>
          <w:rFonts w:cs="Arial"/>
          <w:lang w:val="en-GB"/>
        </w:rPr>
        <w:t xml:space="preserve"> additional members to the Child Death Case Review Panels member pool</w:t>
      </w:r>
      <w:r w:rsidR="00D91896" w:rsidRPr="00897A54">
        <w:rPr>
          <w:rFonts w:cs="Arial"/>
          <w:lang w:val="en-GB"/>
        </w:rPr>
        <w:t xml:space="preserve"> by the Minister</w:t>
      </w:r>
      <w:r w:rsidR="008E4BA0" w:rsidRPr="00897A54">
        <w:rPr>
          <w:rFonts w:cs="Arial"/>
          <w:lang w:val="en-GB"/>
        </w:rPr>
        <w:t>.</w:t>
      </w:r>
      <w:r w:rsidR="0012304E" w:rsidRPr="00897A54">
        <w:rPr>
          <w:rFonts w:cs="Arial"/>
          <w:lang w:val="en-GB"/>
        </w:rPr>
        <w:t xml:space="preserve"> In July 2017, </w:t>
      </w:r>
      <w:r w:rsidR="002C2BBB" w:rsidRPr="00897A54">
        <w:rPr>
          <w:rFonts w:cs="Arial"/>
          <w:lang w:val="en-GB"/>
        </w:rPr>
        <w:t>25</w:t>
      </w:r>
      <w:r w:rsidR="0012304E" w:rsidRPr="00897A54">
        <w:rPr>
          <w:rFonts w:cs="Arial"/>
          <w:lang w:val="en-GB"/>
        </w:rPr>
        <w:t xml:space="preserve"> existing members of the pool were also</w:t>
      </w:r>
      <w:r w:rsidR="00C70D4F" w:rsidRPr="00897A54">
        <w:rPr>
          <w:rFonts w:cs="Arial"/>
          <w:lang w:val="en-GB"/>
        </w:rPr>
        <w:t xml:space="preserve"> extended for a further </w:t>
      </w:r>
      <w:r w:rsidR="001A1161" w:rsidRPr="00897A54">
        <w:rPr>
          <w:rFonts w:cs="Arial"/>
          <w:lang w:val="en-GB"/>
        </w:rPr>
        <w:t>two</w:t>
      </w:r>
      <w:r w:rsidR="00C70D4F" w:rsidRPr="00897A54">
        <w:rPr>
          <w:rFonts w:cs="Arial"/>
          <w:lang w:val="en-GB"/>
        </w:rPr>
        <w:t xml:space="preserve"> years</w:t>
      </w:r>
      <w:r w:rsidR="00D91896" w:rsidRPr="00897A54">
        <w:rPr>
          <w:rFonts w:cs="Arial"/>
          <w:lang w:val="en-GB"/>
        </w:rPr>
        <w:t xml:space="preserve"> by the Minister</w:t>
      </w:r>
      <w:r w:rsidR="00C70D4F" w:rsidRPr="00897A54">
        <w:rPr>
          <w:rFonts w:cs="Arial"/>
          <w:lang w:val="en-GB"/>
        </w:rPr>
        <w:t xml:space="preserve">. </w:t>
      </w:r>
    </w:p>
    <w:p w:rsidR="00C70D4F" w:rsidRPr="00897A54" w:rsidRDefault="00C70D4F" w:rsidP="00DD5024">
      <w:pPr>
        <w:jc w:val="both"/>
        <w:rPr>
          <w:rFonts w:cs="Arial"/>
          <w:lang w:val="en-GB"/>
        </w:rPr>
      </w:pPr>
      <w:r w:rsidRPr="00897A54">
        <w:rPr>
          <w:rFonts w:cs="Arial"/>
          <w:lang w:val="en-GB"/>
        </w:rPr>
        <w:t xml:space="preserve">In </w:t>
      </w:r>
      <w:r w:rsidR="001628D6" w:rsidRPr="00897A54">
        <w:rPr>
          <w:rFonts w:cs="Arial"/>
          <w:lang w:val="en-GB"/>
        </w:rPr>
        <w:t>May</w:t>
      </w:r>
      <w:r w:rsidRPr="00897A54">
        <w:rPr>
          <w:rFonts w:cs="Arial"/>
          <w:lang w:val="en-GB"/>
        </w:rPr>
        <w:t xml:space="preserve"> 2018, </w:t>
      </w:r>
      <w:r w:rsidR="00734A77" w:rsidRPr="00897A54">
        <w:rPr>
          <w:rFonts w:cs="Arial"/>
          <w:lang w:val="en-GB"/>
        </w:rPr>
        <w:t xml:space="preserve">the existing permanent Chair and Deputy Chair were </w:t>
      </w:r>
      <w:r w:rsidR="00A04D6E" w:rsidRPr="00897A54">
        <w:rPr>
          <w:rFonts w:cs="Arial"/>
          <w:lang w:val="en-GB"/>
        </w:rPr>
        <w:t xml:space="preserve">retrospectively extended in these roles </w:t>
      </w:r>
      <w:r w:rsidR="00D91896" w:rsidRPr="00897A54">
        <w:rPr>
          <w:rFonts w:cs="Arial"/>
          <w:lang w:val="en-GB"/>
        </w:rPr>
        <w:t xml:space="preserve">by the Minister </w:t>
      </w:r>
      <w:r w:rsidR="00A04D6E" w:rsidRPr="00897A54">
        <w:rPr>
          <w:rFonts w:cs="Arial"/>
          <w:lang w:val="en-GB"/>
        </w:rPr>
        <w:t>for a further 12 months, until 31 January 2019. In May 201</w:t>
      </w:r>
      <w:r w:rsidR="0008291F" w:rsidRPr="00897A54">
        <w:rPr>
          <w:rFonts w:cs="Arial"/>
          <w:lang w:val="en-GB"/>
        </w:rPr>
        <w:t>8</w:t>
      </w:r>
      <w:r w:rsidR="00A04D6E" w:rsidRPr="00897A54">
        <w:rPr>
          <w:rFonts w:cs="Arial"/>
          <w:lang w:val="en-GB"/>
        </w:rPr>
        <w:t xml:space="preserve">, </w:t>
      </w:r>
      <w:r w:rsidR="0008291F" w:rsidRPr="00897A54">
        <w:rPr>
          <w:rFonts w:cs="Arial"/>
          <w:lang w:val="en-GB"/>
        </w:rPr>
        <w:t xml:space="preserve">four </w:t>
      </w:r>
      <w:r w:rsidR="0008291F" w:rsidRPr="00897A54">
        <w:rPr>
          <w:rFonts w:cs="Arial"/>
          <w:lang w:val="en-GB"/>
        </w:rPr>
        <w:lastRenderedPageBreak/>
        <w:t xml:space="preserve">existing </w:t>
      </w:r>
      <w:r w:rsidR="00D91896" w:rsidRPr="00897A54">
        <w:rPr>
          <w:rFonts w:cs="Arial"/>
          <w:lang w:val="en-GB"/>
        </w:rPr>
        <w:t xml:space="preserve">external </w:t>
      </w:r>
      <w:r w:rsidR="0008291F" w:rsidRPr="00897A54">
        <w:rPr>
          <w:rFonts w:cs="Arial"/>
          <w:lang w:val="en-GB"/>
        </w:rPr>
        <w:t>members of the pool were</w:t>
      </w:r>
      <w:r w:rsidR="00F85648">
        <w:rPr>
          <w:rFonts w:cs="Arial"/>
          <w:lang w:val="en-GB"/>
        </w:rPr>
        <w:t xml:space="preserve"> additionally</w:t>
      </w:r>
      <w:r w:rsidR="0008291F" w:rsidRPr="00897A54">
        <w:rPr>
          <w:rFonts w:cs="Arial"/>
          <w:lang w:val="en-GB"/>
        </w:rPr>
        <w:t xml:space="preserve"> appointed as Deputy Chair</w:t>
      </w:r>
      <w:r w:rsidR="00DF11FA">
        <w:rPr>
          <w:rFonts w:cs="Arial"/>
          <w:lang w:val="en-GB"/>
        </w:rPr>
        <w:t>s</w:t>
      </w:r>
      <w:r w:rsidR="00D91896" w:rsidRPr="00897A54">
        <w:rPr>
          <w:rFonts w:cs="Arial"/>
          <w:lang w:val="en-GB"/>
        </w:rPr>
        <w:t xml:space="preserve"> by the </w:t>
      </w:r>
      <w:r w:rsidR="00DF23BE" w:rsidRPr="00897A54">
        <w:rPr>
          <w:rFonts w:cs="Arial"/>
          <w:lang w:val="en-GB"/>
        </w:rPr>
        <w:t>Minister</w:t>
      </w:r>
      <w:r w:rsidR="00F85648">
        <w:rPr>
          <w:rFonts w:cs="Arial"/>
          <w:lang w:val="en-GB"/>
        </w:rPr>
        <w:t xml:space="preserve"> to </w:t>
      </w:r>
      <w:r w:rsidR="00DF11FA">
        <w:rPr>
          <w:rFonts w:cs="Arial"/>
          <w:lang w:val="en-GB"/>
        </w:rPr>
        <w:t>increase the pool of available Chairs to facilitate panels</w:t>
      </w:r>
      <w:r w:rsidR="0008291F" w:rsidRPr="00897A54">
        <w:rPr>
          <w:rFonts w:cs="Arial"/>
          <w:lang w:val="en-GB"/>
        </w:rPr>
        <w:t xml:space="preserve">. </w:t>
      </w:r>
    </w:p>
    <w:p w:rsidR="00C70D4F" w:rsidRDefault="00D91896" w:rsidP="00DD5024">
      <w:pPr>
        <w:jc w:val="both"/>
        <w:rPr>
          <w:rFonts w:cs="Arial"/>
          <w:lang w:val="en-GB"/>
        </w:rPr>
      </w:pPr>
      <w:r w:rsidRPr="00897A54">
        <w:rPr>
          <w:rFonts w:cs="Arial"/>
          <w:lang w:val="en-GB"/>
        </w:rPr>
        <w:t xml:space="preserve">In October 2017 and June 2018, </w:t>
      </w:r>
      <w:r w:rsidR="00DF23BE" w:rsidRPr="00897A54">
        <w:rPr>
          <w:rFonts w:cs="Arial"/>
          <w:lang w:val="en-GB"/>
        </w:rPr>
        <w:t xml:space="preserve">two </w:t>
      </w:r>
      <w:r w:rsidR="00767C65" w:rsidRPr="00897A54">
        <w:rPr>
          <w:rFonts w:cs="Arial"/>
          <w:lang w:val="en-GB"/>
        </w:rPr>
        <w:t>departmental</w:t>
      </w:r>
      <w:r w:rsidR="00DF23BE" w:rsidRPr="00897A54">
        <w:rPr>
          <w:rFonts w:cs="Arial"/>
          <w:lang w:val="en-GB"/>
        </w:rPr>
        <w:t xml:space="preserve"> representatives</w:t>
      </w:r>
      <w:r w:rsidR="00F85648">
        <w:rPr>
          <w:rFonts w:cs="Arial"/>
          <w:lang w:val="en-GB"/>
        </w:rPr>
        <w:t xml:space="preserve"> ceased employment with the department and consequently</w:t>
      </w:r>
      <w:r w:rsidR="00DF23BE" w:rsidRPr="00897A54">
        <w:rPr>
          <w:rFonts w:cs="Arial"/>
          <w:lang w:val="en-GB"/>
        </w:rPr>
        <w:t xml:space="preserve"> resigned their membership</w:t>
      </w:r>
      <w:r w:rsidR="00F85648">
        <w:rPr>
          <w:rFonts w:cs="Arial"/>
          <w:lang w:val="en-GB"/>
        </w:rPr>
        <w:t xml:space="preserve"> from the pool</w:t>
      </w:r>
      <w:r w:rsidR="00DF23BE" w:rsidRPr="00897A54">
        <w:rPr>
          <w:rFonts w:cs="Arial"/>
          <w:lang w:val="en-GB"/>
        </w:rPr>
        <w:t>.</w:t>
      </w:r>
    </w:p>
    <w:p w:rsidR="002E21B9" w:rsidRPr="00897A54" w:rsidRDefault="002E21B9" w:rsidP="00DD5024">
      <w:pPr>
        <w:jc w:val="both"/>
        <w:rPr>
          <w:rFonts w:cs="Arial"/>
          <w:lang w:val="en-GB"/>
        </w:rPr>
      </w:pPr>
      <w:r w:rsidRPr="002E21B9">
        <w:rPr>
          <w:rFonts w:cs="Arial"/>
          <w:lang w:val="en-GB"/>
        </w:rPr>
        <w:t>Machinery of Government changes during 2017-18, resulted in three departmental officers becoming representatives of other government agencies.</w:t>
      </w:r>
    </w:p>
    <w:p w:rsidR="00516802" w:rsidRDefault="006A2A61" w:rsidP="00DD5024">
      <w:pPr>
        <w:jc w:val="both"/>
        <w:rPr>
          <w:rFonts w:cs="Arial"/>
          <w:lang w:val="en-GB"/>
        </w:rPr>
      </w:pPr>
      <w:r w:rsidRPr="00897A54">
        <w:rPr>
          <w:rFonts w:cs="Arial"/>
          <w:lang w:val="en-GB"/>
        </w:rPr>
        <w:t>There are presently 39 members in the panel pool. M</w:t>
      </w:r>
      <w:r w:rsidR="00DF23BE" w:rsidRPr="00897A54">
        <w:rPr>
          <w:rFonts w:cs="Arial"/>
          <w:lang w:val="en-GB"/>
        </w:rPr>
        <w:t xml:space="preserve">embership is comprised of </w:t>
      </w:r>
      <w:r w:rsidRPr="00897A54">
        <w:rPr>
          <w:rFonts w:cs="Arial"/>
          <w:lang w:val="en-GB"/>
        </w:rPr>
        <w:t xml:space="preserve">22 external members, </w:t>
      </w:r>
      <w:r w:rsidR="001B367C" w:rsidRPr="00897A54">
        <w:rPr>
          <w:rFonts w:cs="Arial"/>
          <w:lang w:val="en-GB"/>
        </w:rPr>
        <w:t>four</w:t>
      </w:r>
      <w:r w:rsidRPr="00897A54">
        <w:rPr>
          <w:rFonts w:cs="Arial"/>
          <w:lang w:val="en-GB"/>
        </w:rPr>
        <w:t xml:space="preserve"> </w:t>
      </w:r>
      <w:r w:rsidR="001B367C" w:rsidRPr="00897A54">
        <w:rPr>
          <w:rFonts w:cs="Arial"/>
          <w:lang w:val="en-GB"/>
        </w:rPr>
        <w:t xml:space="preserve">senior officers from the </w:t>
      </w:r>
      <w:r w:rsidRPr="00897A54">
        <w:rPr>
          <w:rFonts w:cs="Arial"/>
          <w:lang w:val="en-GB"/>
        </w:rPr>
        <w:t>department</w:t>
      </w:r>
      <w:r w:rsidR="001B367C" w:rsidRPr="00897A54">
        <w:rPr>
          <w:rFonts w:cs="Arial"/>
          <w:lang w:val="en-GB"/>
        </w:rPr>
        <w:t>,</w:t>
      </w:r>
      <w:r w:rsidRPr="00897A54">
        <w:rPr>
          <w:rFonts w:cs="Arial"/>
          <w:lang w:val="en-GB"/>
        </w:rPr>
        <w:t xml:space="preserve"> and 13 </w:t>
      </w:r>
      <w:r w:rsidR="001B367C" w:rsidRPr="00897A54">
        <w:rPr>
          <w:rFonts w:cs="Arial"/>
          <w:lang w:val="en-GB"/>
        </w:rPr>
        <w:t>senior officers</w:t>
      </w:r>
      <w:r w:rsidRPr="00897A54">
        <w:rPr>
          <w:rFonts w:cs="Arial"/>
          <w:lang w:val="en-GB"/>
        </w:rPr>
        <w:t xml:space="preserve"> from other government </w:t>
      </w:r>
      <w:r w:rsidR="001B367C" w:rsidRPr="00897A54">
        <w:rPr>
          <w:rFonts w:cs="Arial"/>
          <w:lang w:val="en-GB"/>
        </w:rPr>
        <w:t>agencies</w:t>
      </w:r>
      <w:r w:rsidRPr="00C32051">
        <w:rPr>
          <w:rFonts w:cs="Arial"/>
          <w:lang w:val="en-GB"/>
        </w:rPr>
        <w:t xml:space="preserve">. </w:t>
      </w:r>
      <w:r w:rsidR="00481678" w:rsidRPr="00D0066D">
        <w:rPr>
          <w:rFonts w:cs="Arial"/>
          <w:i/>
          <w:lang w:val="en-GB"/>
        </w:rPr>
        <w:t xml:space="preserve">Figure </w:t>
      </w:r>
      <w:r w:rsidR="00C32051" w:rsidRPr="00D0066D">
        <w:rPr>
          <w:rFonts w:cs="Arial"/>
          <w:i/>
          <w:lang w:val="en-GB"/>
        </w:rPr>
        <w:t>6</w:t>
      </w:r>
      <w:r w:rsidR="00481678" w:rsidRPr="00C32051">
        <w:rPr>
          <w:rFonts w:cs="Arial"/>
          <w:lang w:val="en-GB"/>
        </w:rPr>
        <w:t xml:space="preserve"> identifies</w:t>
      </w:r>
      <w:r w:rsidR="00481678">
        <w:rPr>
          <w:rFonts w:cs="Arial"/>
          <w:lang w:val="en-GB"/>
        </w:rPr>
        <w:t xml:space="preserve"> </w:t>
      </w:r>
      <w:r w:rsidR="00516802">
        <w:rPr>
          <w:rFonts w:cs="Arial"/>
          <w:lang w:val="en-GB"/>
        </w:rPr>
        <w:t xml:space="preserve">the percentage breakdown of present panel pool membership. </w:t>
      </w:r>
      <w:r w:rsidR="00295F2F" w:rsidRPr="00295F2F">
        <w:rPr>
          <w:rFonts w:cs="Arial"/>
          <w:i/>
          <w:lang w:val="en-GB"/>
        </w:rPr>
        <w:t>Appendix B</w:t>
      </w:r>
      <w:r w:rsidR="00295F2F">
        <w:rPr>
          <w:rFonts w:cs="Arial"/>
          <w:lang w:val="en-GB"/>
        </w:rPr>
        <w:t xml:space="preserve"> includes the biographies of the external members and </w:t>
      </w:r>
      <w:r w:rsidR="00295F2F" w:rsidRPr="00295F2F">
        <w:rPr>
          <w:rFonts w:cs="Arial"/>
          <w:i/>
          <w:lang w:val="en-GB"/>
        </w:rPr>
        <w:t>Appendix C</w:t>
      </w:r>
      <w:r w:rsidR="00295F2F">
        <w:rPr>
          <w:rFonts w:cs="Arial"/>
          <w:lang w:val="en-GB"/>
        </w:rPr>
        <w:t xml:space="preserve"> identifies the </w:t>
      </w:r>
      <w:r w:rsidR="00534D72">
        <w:rPr>
          <w:rFonts w:cs="Arial"/>
          <w:lang w:val="en-GB"/>
        </w:rPr>
        <w:t xml:space="preserve">membership </w:t>
      </w:r>
      <w:r w:rsidR="00ED72F4">
        <w:rPr>
          <w:rFonts w:cs="Arial"/>
          <w:lang w:val="en-GB"/>
        </w:rPr>
        <w:t>of</w:t>
      </w:r>
      <w:r w:rsidR="00534D72">
        <w:rPr>
          <w:rFonts w:cs="Arial"/>
          <w:lang w:val="en-GB"/>
        </w:rPr>
        <w:t xml:space="preserve"> department</w:t>
      </w:r>
      <w:r w:rsidR="00ED72F4">
        <w:rPr>
          <w:rFonts w:cs="Arial"/>
          <w:lang w:val="en-GB"/>
        </w:rPr>
        <w:t>al</w:t>
      </w:r>
      <w:r w:rsidR="00534D72">
        <w:rPr>
          <w:rFonts w:cs="Arial"/>
          <w:lang w:val="en-GB"/>
        </w:rPr>
        <w:t xml:space="preserve"> and other government agency officers. </w:t>
      </w:r>
    </w:p>
    <w:p w:rsidR="00A437E6" w:rsidRPr="00897A54" w:rsidRDefault="00A437E6" w:rsidP="00DD5024">
      <w:pPr>
        <w:jc w:val="both"/>
        <w:rPr>
          <w:rFonts w:cs="Arial"/>
          <w:lang w:val="en-GB"/>
        </w:rPr>
      </w:pPr>
    </w:p>
    <w:p w:rsidR="00A9023B" w:rsidRDefault="00A9023B" w:rsidP="00DD5024">
      <w:pPr>
        <w:spacing w:after="0"/>
        <w:jc w:val="both"/>
        <w:rPr>
          <w:b/>
          <w:i/>
          <w:sz w:val="20"/>
        </w:rPr>
      </w:pPr>
      <w:r w:rsidRPr="00C32051">
        <w:rPr>
          <w:b/>
          <w:i/>
          <w:sz w:val="20"/>
        </w:rPr>
        <w:t xml:space="preserve">Figure </w:t>
      </w:r>
      <w:r w:rsidR="00C32051" w:rsidRPr="00C32051">
        <w:rPr>
          <w:b/>
          <w:i/>
          <w:sz w:val="20"/>
        </w:rPr>
        <w:t>6</w:t>
      </w:r>
      <w:r w:rsidRPr="00C32051">
        <w:rPr>
          <w:b/>
          <w:i/>
          <w:sz w:val="20"/>
        </w:rPr>
        <w:t>. Panel</w:t>
      </w:r>
      <w:r>
        <w:rPr>
          <w:b/>
          <w:i/>
          <w:sz w:val="20"/>
        </w:rPr>
        <w:t xml:space="preserve"> membership </w:t>
      </w:r>
      <w:r w:rsidR="00183AFC">
        <w:rPr>
          <w:b/>
          <w:i/>
          <w:sz w:val="20"/>
        </w:rPr>
        <w:t xml:space="preserve">entity </w:t>
      </w:r>
      <w:r>
        <w:rPr>
          <w:b/>
          <w:i/>
          <w:sz w:val="20"/>
        </w:rPr>
        <w:t>breakdown in 2017-18</w:t>
      </w:r>
    </w:p>
    <w:p w:rsidR="003E7FD3" w:rsidRDefault="003E7FD3" w:rsidP="00DD5024">
      <w:pPr>
        <w:spacing w:after="0"/>
        <w:jc w:val="both"/>
        <w:rPr>
          <w:b/>
          <w:i/>
          <w:sz w:val="20"/>
        </w:rPr>
      </w:pPr>
    </w:p>
    <w:p w:rsidR="003E7FD3" w:rsidRPr="003E7FD3" w:rsidRDefault="003E7FD3" w:rsidP="003E7FD3">
      <w:pPr>
        <w:pStyle w:val="ListParagraph"/>
        <w:numPr>
          <w:ilvl w:val="0"/>
          <w:numId w:val="26"/>
        </w:numPr>
        <w:spacing w:after="0"/>
        <w:jc w:val="both"/>
        <w:rPr>
          <w:rFonts w:ascii="Arial" w:hAnsi="Arial" w:cs="Arial"/>
          <w:b/>
          <w:i/>
        </w:rPr>
      </w:pPr>
      <w:r w:rsidRPr="003E7FD3">
        <w:rPr>
          <w:rFonts w:ascii="Arial" w:hAnsi="Arial" w:cs="Arial"/>
          <w:b/>
          <w:i/>
        </w:rPr>
        <w:t>External 57 per cent</w:t>
      </w:r>
    </w:p>
    <w:p w:rsidR="003E7FD3" w:rsidRPr="003E7FD3" w:rsidRDefault="003E7FD3" w:rsidP="003E7FD3">
      <w:pPr>
        <w:pStyle w:val="ListParagraph"/>
        <w:numPr>
          <w:ilvl w:val="0"/>
          <w:numId w:val="26"/>
        </w:numPr>
        <w:spacing w:after="0"/>
        <w:jc w:val="both"/>
        <w:rPr>
          <w:rFonts w:ascii="Arial" w:hAnsi="Arial" w:cs="Arial"/>
          <w:b/>
          <w:i/>
        </w:rPr>
      </w:pPr>
      <w:r w:rsidRPr="003E7FD3">
        <w:rPr>
          <w:rFonts w:ascii="Arial" w:hAnsi="Arial" w:cs="Arial"/>
          <w:b/>
          <w:i/>
        </w:rPr>
        <w:t>Other government agency 33 per cent</w:t>
      </w:r>
    </w:p>
    <w:p w:rsidR="003E7FD3" w:rsidRPr="003E7FD3" w:rsidRDefault="003E7FD3" w:rsidP="003E7FD3">
      <w:pPr>
        <w:pStyle w:val="ListParagraph"/>
        <w:numPr>
          <w:ilvl w:val="0"/>
          <w:numId w:val="26"/>
        </w:numPr>
        <w:spacing w:after="0"/>
        <w:jc w:val="both"/>
        <w:rPr>
          <w:rFonts w:ascii="Arial" w:hAnsi="Arial" w:cs="Arial"/>
          <w:b/>
          <w:i/>
        </w:rPr>
      </w:pPr>
      <w:r w:rsidRPr="003E7FD3">
        <w:rPr>
          <w:rFonts w:ascii="Arial" w:hAnsi="Arial" w:cs="Arial"/>
          <w:b/>
          <w:i/>
        </w:rPr>
        <w:t xml:space="preserve">Department 10 percent </w:t>
      </w:r>
    </w:p>
    <w:p w:rsidR="00897A54" w:rsidRPr="00897A54" w:rsidRDefault="00897A54" w:rsidP="00DD5024">
      <w:pPr>
        <w:spacing w:after="0"/>
        <w:jc w:val="both"/>
        <w:rPr>
          <w:sz w:val="20"/>
        </w:rPr>
      </w:pPr>
    </w:p>
    <w:p w:rsidR="00A428FD" w:rsidRDefault="003733C8" w:rsidP="00DD5024">
      <w:pPr>
        <w:jc w:val="both"/>
        <w:rPr>
          <w:rFonts w:cs="Arial"/>
        </w:rPr>
      </w:pPr>
      <w:r w:rsidRPr="00897A54">
        <w:rPr>
          <w:rFonts w:cs="Arial"/>
          <w:lang w:val="en-GB"/>
        </w:rPr>
        <w:t xml:space="preserve">Four members identify as Aboriginal, </w:t>
      </w:r>
      <w:r w:rsidR="00B1340B" w:rsidRPr="00897A54">
        <w:rPr>
          <w:rFonts w:cs="Arial"/>
          <w:lang w:val="en-GB"/>
        </w:rPr>
        <w:t>including one Deputy Chair.</w:t>
      </w:r>
      <w:r w:rsidR="00B1340B" w:rsidRPr="00897A54">
        <w:rPr>
          <w:rFonts w:cs="Arial"/>
        </w:rPr>
        <w:t xml:space="preserve"> Currently, there are no Torres Strait Islander members.</w:t>
      </w:r>
      <w:r w:rsidR="0077555E" w:rsidRPr="00897A54">
        <w:rPr>
          <w:rFonts w:cs="Arial"/>
        </w:rPr>
        <w:t xml:space="preserve"> There are 30 female members in the pool and nine male members.</w:t>
      </w:r>
    </w:p>
    <w:p w:rsidR="00183AFC" w:rsidRDefault="00E23E72" w:rsidP="00DD5024">
      <w:pPr>
        <w:jc w:val="both"/>
        <w:rPr>
          <w:rFonts w:cs="Arial"/>
        </w:rPr>
      </w:pPr>
      <w:r>
        <w:rPr>
          <w:rFonts w:cs="Arial"/>
        </w:rPr>
        <w:t>Members have a wide variety of expertise and experience, including health, social work, child protection practice, mental health, drug and alcohol</w:t>
      </w:r>
      <w:r w:rsidR="00481678">
        <w:rPr>
          <w:rFonts w:cs="Arial"/>
        </w:rPr>
        <w:t xml:space="preserve"> abuse</w:t>
      </w:r>
      <w:r>
        <w:rPr>
          <w:rFonts w:cs="Arial"/>
        </w:rPr>
        <w:t>, accident pr</w:t>
      </w:r>
      <w:r w:rsidR="002E21B9">
        <w:rPr>
          <w:rFonts w:cs="Arial"/>
        </w:rPr>
        <w:t>evention, domestic violence,</w:t>
      </w:r>
      <w:r>
        <w:rPr>
          <w:rFonts w:cs="Arial"/>
        </w:rPr>
        <w:t xml:space="preserve"> legal and litigation</w:t>
      </w:r>
      <w:r w:rsidRPr="00C32051">
        <w:rPr>
          <w:rFonts w:cs="Arial"/>
        </w:rPr>
        <w:t xml:space="preserve">. </w:t>
      </w:r>
      <w:r w:rsidR="00481678" w:rsidRPr="00D0066D">
        <w:rPr>
          <w:rFonts w:cs="Arial"/>
          <w:i/>
        </w:rPr>
        <w:t xml:space="preserve">Figure </w:t>
      </w:r>
      <w:r w:rsidR="00C32051" w:rsidRPr="00D0066D">
        <w:rPr>
          <w:rFonts w:cs="Arial"/>
          <w:i/>
        </w:rPr>
        <w:t>7</w:t>
      </w:r>
      <w:r w:rsidR="00481678" w:rsidRPr="00D0066D">
        <w:rPr>
          <w:rFonts w:cs="Arial"/>
          <w:i/>
        </w:rPr>
        <w:t xml:space="preserve"> </w:t>
      </w:r>
      <w:r w:rsidR="00516802" w:rsidRPr="00C32051">
        <w:rPr>
          <w:rFonts w:cs="Arial"/>
        </w:rPr>
        <w:t>identifies</w:t>
      </w:r>
      <w:r w:rsidR="00516802">
        <w:rPr>
          <w:rFonts w:cs="Arial"/>
        </w:rPr>
        <w:t xml:space="preserve"> the rates of the main areas of expertise for </w:t>
      </w:r>
      <w:r w:rsidR="00183AFC">
        <w:rPr>
          <w:rFonts w:cs="Arial"/>
        </w:rPr>
        <w:t>the present external members of the pool.</w:t>
      </w:r>
    </w:p>
    <w:p w:rsidR="0077555E" w:rsidRPr="00897A54" w:rsidRDefault="0077555E" w:rsidP="00DD5024">
      <w:pPr>
        <w:jc w:val="both"/>
        <w:rPr>
          <w:rFonts w:cs="Arial"/>
        </w:rPr>
      </w:pPr>
    </w:p>
    <w:p w:rsidR="003733C8" w:rsidRDefault="00481678" w:rsidP="00DD5024">
      <w:pPr>
        <w:spacing w:after="0"/>
        <w:jc w:val="both"/>
        <w:rPr>
          <w:b/>
          <w:i/>
          <w:sz w:val="20"/>
        </w:rPr>
      </w:pPr>
      <w:r w:rsidRPr="00C32051">
        <w:rPr>
          <w:b/>
          <w:i/>
          <w:sz w:val="20"/>
        </w:rPr>
        <w:t xml:space="preserve">Figure </w:t>
      </w:r>
      <w:r w:rsidR="00C32051" w:rsidRPr="00C32051">
        <w:rPr>
          <w:b/>
          <w:i/>
          <w:sz w:val="20"/>
        </w:rPr>
        <w:t>7</w:t>
      </w:r>
      <w:r w:rsidRPr="00C32051">
        <w:rPr>
          <w:b/>
          <w:i/>
          <w:sz w:val="20"/>
        </w:rPr>
        <w:t xml:space="preserve">. </w:t>
      </w:r>
      <w:r w:rsidR="003F28CD">
        <w:rPr>
          <w:b/>
          <w:i/>
          <w:sz w:val="20"/>
        </w:rPr>
        <w:t>External</w:t>
      </w:r>
      <w:r>
        <w:rPr>
          <w:b/>
          <w:i/>
          <w:sz w:val="20"/>
        </w:rPr>
        <w:t xml:space="preserve"> members</w:t>
      </w:r>
      <w:r w:rsidR="003F28CD">
        <w:rPr>
          <w:b/>
          <w:i/>
          <w:sz w:val="20"/>
        </w:rPr>
        <w:t xml:space="preserve">’ </w:t>
      </w:r>
      <w:r>
        <w:rPr>
          <w:b/>
          <w:i/>
          <w:sz w:val="20"/>
        </w:rPr>
        <w:t xml:space="preserve">expertise </w:t>
      </w:r>
      <w:r w:rsidR="00183AFC">
        <w:rPr>
          <w:b/>
          <w:i/>
          <w:sz w:val="20"/>
        </w:rPr>
        <w:t xml:space="preserve">breakdown </w:t>
      </w:r>
      <w:r w:rsidR="00222EA2">
        <w:rPr>
          <w:b/>
          <w:i/>
          <w:sz w:val="20"/>
        </w:rPr>
        <w:t>in 2017-18</w:t>
      </w:r>
    </w:p>
    <w:p w:rsidR="003E7FD3" w:rsidRDefault="003E7FD3" w:rsidP="003E7FD3">
      <w:pPr>
        <w:pStyle w:val="ListParagraph"/>
        <w:numPr>
          <w:ilvl w:val="0"/>
          <w:numId w:val="27"/>
        </w:numPr>
        <w:spacing w:after="0"/>
        <w:jc w:val="both"/>
        <w:rPr>
          <w:b/>
          <w:sz w:val="20"/>
        </w:rPr>
      </w:pPr>
      <w:r>
        <w:rPr>
          <w:b/>
          <w:sz w:val="20"/>
        </w:rPr>
        <w:t>Alcohol and drug abuse – 1</w:t>
      </w:r>
    </w:p>
    <w:p w:rsidR="003E7FD3" w:rsidRDefault="003E7FD3" w:rsidP="003E7FD3">
      <w:pPr>
        <w:pStyle w:val="ListParagraph"/>
        <w:numPr>
          <w:ilvl w:val="0"/>
          <w:numId w:val="27"/>
        </w:numPr>
        <w:spacing w:after="0"/>
        <w:jc w:val="both"/>
        <w:rPr>
          <w:b/>
          <w:sz w:val="20"/>
        </w:rPr>
      </w:pPr>
      <w:r>
        <w:rPr>
          <w:b/>
          <w:sz w:val="20"/>
        </w:rPr>
        <w:t>Health – 5</w:t>
      </w:r>
    </w:p>
    <w:p w:rsidR="003E7FD3" w:rsidRDefault="003E7FD3" w:rsidP="003E7FD3">
      <w:pPr>
        <w:pStyle w:val="ListParagraph"/>
        <w:numPr>
          <w:ilvl w:val="0"/>
          <w:numId w:val="27"/>
        </w:numPr>
        <w:spacing w:after="0"/>
        <w:jc w:val="both"/>
        <w:rPr>
          <w:b/>
          <w:sz w:val="20"/>
        </w:rPr>
      </w:pPr>
      <w:r>
        <w:rPr>
          <w:b/>
          <w:sz w:val="20"/>
        </w:rPr>
        <w:t>Social work – 2</w:t>
      </w:r>
    </w:p>
    <w:p w:rsidR="003E7FD3" w:rsidRDefault="003E7FD3" w:rsidP="003E7FD3">
      <w:pPr>
        <w:pStyle w:val="ListParagraph"/>
        <w:numPr>
          <w:ilvl w:val="0"/>
          <w:numId w:val="27"/>
        </w:numPr>
        <w:spacing w:after="0"/>
        <w:jc w:val="both"/>
        <w:rPr>
          <w:b/>
          <w:sz w:val="20"/>
        </w:rPr>
      </w:pPr>
      <w:r>
        <w:rPr>
          <w:b/>
          <w:sz w:val="20"/>
        </w:rPr>
        <w:t>Legal/Litigation – 3</w:t>
      </w:r>
    </w:p>
    <w:p w:rsidR="003E7FD3" w:rsidRDefault="003E7FD3" w:rsidP="003E7FD3">
      <w:pPr>
        <w:pStyle w:val="ListParagraph"/>
        <w:numPr>
          <w:ilvl w:val="0"/>
          <w:numId w:val="27"/>
        </w:numPr>
        <w:spacing w:after="0"/>
        <w:jc w:val="both"/>
        <w:rPr>
          <w:b/>
          <w:sz w:val="20"/>
        </w:rPr>
      </w:pPr>
      <w:r>
        <w:rPr>
          <w:b/>
          <w:sz w:val="20"/>
        </w:rPr>
        <w:t>Child protection practice – 2</w:t>
      </w:r>
    </w:p>
    <w:p w:rsidR="003E7FD3" w:rsidRDefault="003E7FD3" w:rsidP="003E7FD3">
      <w:pPr>
        <w:pStyle w:val="ListParagraph"/>
        <w:numPr>
          <w:ilvl w:val="0"/>
          <w:numId w:val="27"/>
        </w:numPr>
        <w:spacing w:after="0"/>
        <w:jc w:val="both"/>
        <w:rPr>
          <w:b/>
          <w:sz w:val="20"/>
        </w:rPr>
      </w:pPr>
      <w:r>
        <w:rPr>
          <w:b/>
          <w:sz w:val="20"/>
        </w:rPr>
        <w:t>Mental health – 2</w:t>
      </w:r>
    </w:p>
    <w:p w:rsidR="003E7FD3" w:rsidRDefault="003E7FD3" w:rsidP="003E7FD3">
      <w:pPr>
        <w:pStyle w:val="ListParagraph"/>
        <w:numPr>
          <w:ilvl w:val="0"/>
          <w:numId w:val="27"/>
        </w:numPr>
        <w:spacing w:after="0"/>
        <w:jc w:val="both"/>
        <w:rPr>
          <w:b/>
          <w:sz w:val="20"/>
        </w:rPr>
      </w:pPr>
      <w:r>
        <w:rPr>
          <w:b/>
          <w:sz w:val="20"/>
        </w:rPr>
        <w:t>Accident prevention – 2</w:t>
      </w:r>
    </w:p>
    <w:p w:rsidR="003E7FD3" w:rsidRDefault="003E7FD3" w:rsidP="003E7FD3">
      <w:pPr>
        <w:pStyle w:val="ListParagraph"/>
        <w:numPr>
          <w:ilvl w:val="0"/>
          <w:numId w:val="27"/>
        </w:numPr>
        <w:spacing w:after="0"/>
        <w:jc w:val="both"/>
        <w:rPr>
          <w:b/>
          <w:sz w:val="20"/>
        </w:rPr>
      </w:pPr>
      <w:r>
        <w:rPr>
          <w:b/>
          <w:sz w:val="20"/>
        </w:rPr>
        <w:t>Investigations – 1</w:t>
      </w:r>
    </w:p>
    <w:p w:rsidR="003E7FD3" w:rsidRPr="003E7FD3" w:rsidRDefault="003E7FD3" w:rsidP="003E7FD3">
      <w:pPr>
        <w:pStyle w:val="ListParagraph"/>
        <w:numPr>
          <w:ilvl w:val="0"/>
          <w:numId w:val="27"/>
        </w:numPr>
        <w:spacing w:after="0"/>
        <w:jc w:val="both"/>
        <w:rPr>
          <w:b/>
          <w:sz w:val="20"/>
        </w:rPr>
      </w:pPr>
      <w:r>
        <w:rPr>
          <w:b/>
          <w:sz w:val="20"/>
        </w:rPr>
        <w:t>Domestic and family violence – 4</w:t>
      </w:r>
    </w:p>
    <w:p w:rsidR="00222EA2" w:rsidRPr="00222EA2" w:rsidRDefault="00222EA2" w:rsidP="00DD5024">
      <w:pPr>
        <w:spacing w:after="0"/>
        <w:jc w:val="both"/>
        <w:rPr>
          <w:b/>
          <w:i/>
          <w:sz w:val="20"/>
        </w:rPr>
      </w:pPr>
    </w:p>
    <w:p w:rsidR="004B0BF3" w:rsidRDefault="006D309D" w:rsidP="00DD5024">
      <w:pPr>
        <w:jc w:val="both"/>
        <w:rPr>
          <w:rFonts w:cs="Arial"/>
        </w:rPr>
      </w:pPr>
      <w:r w:rsidRPr="0073301E">
        <w:rPr>
          <w:rFonts w:cs="Arial"/>
        </w:rPr>
        <w:t xml:space="preserve">The composition of </w:t>
      </w:r>
      <w:r w:rsidR="00FB4963">
        <w:rPr>
          <w:rFonts w:cs="Arial"/>
        </w:rPr>
        <w:t xml:space="preserve">members on </w:t>
      </w:r>
      <w:r w:rsidRPr="0073301E">
        <w:rPr>
          <w:rFonts w:cs="Arial"/>
        </w:rPr>
        <w:t xml:space="preserve">each </w:t>
      </w:r>
      <w:r>
        <w:rPr>
          <w:rFonts w:cs="Arial"/>
        </w:rPr>
        <w:t>p</w:t>
      </w:r>
      <w:r w:rsidRPr="0073301E">
        <w:rPr>
          <w:rFonts w:cs="Arial"/>
        </w:rPr>
        <w:t xml:space="preserve">anel and the allocation of cases to panels </w:t>
      </w:r>
      <w:r>
        <w:rPr>
          <w:rFonts w:cs="Arial"/>
        </w:rPr>
        <w:t>were</w:t>
      </w:r>
      <w:r w:rsidRPr="0073301E">
        <w:rPr>
          <w:rFonts w:cs="Arial"/>
        </w:rPr>
        <w:t xml:space="preserve"> approved by the Minister</w:t>
      </w:r>
      <w:r w:rsidR="00B0689A">
        <w:rPr>
          <w:rFonts w:cs="Arial"/>
        </w:rPr>
        <w:t>,</w:t>
      </w:r>
      <w:r w:rsidRPr="0073301E">
        <w:rPr>
          <w:rFonts w:cs="Arial"/>
        </w:rPr>
        <w:t xml:space="preserve"> with assistance </w:t>
      </w:r>
      <w:r>
        <w:rPr>
          <w:rFonts w:cs="Arial"/>
        </w:rPr>
        <w:t>from</w:t>
      </w:r>
      <w:r w:rsidRPr="0073301E">
        <w:rPr>
          <w:rFonts w:cs="Arial"/>
        </w:rPr>
        <w:t xml:space="preserve"> the Child Death Case Review</w:t>
      </w:r>
      <w:r w:rsidR="003831E8">
        <w:rPr>
          <w:rFonts w:cs="Arial"/>
        </w:rPr>
        <w:t xml:space="preserve"> Panel</w:t>
      </w:r>
      <w:r w:rsidRPr="0073301E">
        <w:rPr>
          <w:rFonts w:cs="Arial"/>
        </w:rPr>
        <w:t xml:space="preserve"> Secretariat. Each panel </w:t>
      </w:r>
      <w:r>
        <w:rPr>
          <w:rFonts w:cs="Arial"/>
        </w:rPr>
        <w:t>was</w:t>
      </w:r>
      <w:r w:rsidRPr="0073301E">
        <w:rPr>
          <w:rFonts w:cs="Arial"/>
        </w:rPr>
        <w:t xml:space="preserve"> chaired by an external member. </w:t>
      </w:r>
      <w:r w:rsidR="00F51AB8">
        <w:rPr>
          <w:rFonts w:cs="Arial"/>
        </w:rPr>
        <w:t xml:space="preserve">A large pool of </w:t>
      </w:r>
      <w:r w:rsidRPr="0073301E">
        <w:rPr>
          <w:rFonts w:cs="Arial"/>
        </w:rPr>
        <w:t xml:space="preserve">members with diverse </w:t>
      </w:r>
      <w:r w:rsidR="004B6D90">
        <w:rPr>
          <w:rFonts w:cs="Arial"/>
        </w:rPr>
        <w:t xml:space="preserve">experience and </w:t>
      </w:r>
      <w:r w:rsidRPr="0073301E">
        <w:rPr>
          <w:rFonts w:cs="Arial"/>
        </w:rPr>
        <w:t xml:space="preserve">expertise provided the opportunity for cases to be </w:t>
      </w:r>
      <w:r w:rsidR="004B0BF3">
        <w:rPr>
          <w:rFonts w:cs="Arial"/>
        </w:rPr>
        <w:t>allocated to panels based on common themes and characteristics of the children and their families.</w:t>
      </w:r>
    </w:p>
    <w:p w:rsidR="003D2364" w:rsidRDefault="00442F43" w:rsidP="00DD5024">
      <w:pPr>
        <w:jc w:val="both"/>
        <w:rPr>
          <w:rFonts w:cs="Arial"/>
        </w:rPr>
      </w:pPr>
      <w:r>
        <w:rPr>
          <w:rFonts w:cs="Arial"/>
        </w:rPr>
        <w:t>Multiple c</w:t>
      </w:r>
      <w:r w:rsidR="00FB4963">
        <w:rPr>
          <w:rFonts w:cs="Arial"/>
        </w:rPr>
        <w:t xml:space="preserve">ases were allocated to panels </w:t>
      </w:r>
      <w:r>
        <w:rPr>
          <w:rFonts w:cs="Arial"/>
        </w:rPr>
        <w:t xml:space="preserve">with consideration of </w:t>
      </w:r>
      <w:r w:rsidR="00A54EED">
        <w:rPr>
          <w:rFonts w:cs="Arial"/>
        </w:rPr>
        <w:t>the</w:t>
      </w:r>
      <w:r>
        <w:rPr>
          <w:rFonts w:cs="Arial"/>
        </w:rPr>
        <w:t xml:space="preserve"> child’s age, circumstances of the death or injury, </w:t>
      </w:r>
      <w:r w:rsidR="00560C81">
        <w:rPr>
          <w:rFonts w:cs="Arial"/>
        </w:rPr>
        <w:t xml:space="preserve">type of departmental involvement at the time of death or injury, </w:t>
      </w:r>
      <w:r w:rsidR="00A54EED">
        <w:rPr>
          <w:rFonts w:cs="Arial"/>
        </w:rPr>
        <w:t xml:space="preserve">and </w:t>
      </w:r>
      <w:r w:rsidR="004B6D90">
        <w:rPr>
          <w:rFonts w:cs="Arial"/>
        </w:rPr>
        <w:t>family characteristics. Members were then selected based on their experience and expertise to review the themes and characteristics of the cases to be considered.</w:t>
      </w:r>
    </w:p>
    <w:p w:rsidR="00E63CC7" w:rsidRPr="009822B0" w:rsidRDefault="006D309D" w:rsidP="00DD5024">
      <w:pPr>
        <w:jc w:val="both"/>
        <w:rPr>
          <w:rFonts w:cs="Arial"/>
        </w:rPr>
      </w:pPr>
      <w:r w:rsidRPr="0073301E">
        <w:rPr>
          <w:rFonts w:cs="Arial"/>
        </w:rPr>
        <w:lastRenderedPageBreak/>
        <w:t xml:space="preserve">Each </w:t>
      </w:r>
      <w:r>
        <w:rPr>
          <w:rFonts w:cs="Arial"/>
        </w:rPr>
        <w:t>p</w:t>
      </w:r>
      <w:r w:rsidRPr="0073301E">
        <w:rPr>
          <w:rFonts w:cs="Arial"/>
        </w:rPr>
        <w:t xml:space="preserve">anel comprised </w:t>
      </w:r>
      <w:r>
        <w:rPr>
          <w:rFonts w:cs="Arial"/>
        </w:rPr>
        <w:t xml:space="preserve">at least </w:t>
      </w:r>
      <w:r w:rsidRPr="0073301E">
        <w:rPr>
          <w:rFonts w:cs="Arial"/>
        </w:rPr>
        <w:t xml:space="preserve">three external members, one member from the department and one member from another government department. </w:t>
      </w:r>
      <w:r>
        <w:rPr>
          <w:rFonts w:cs="Arial"/>
        </w:rPr>
        <w:t xml:space="preserve">Each panel had at </w:t>
      </w:r>
      <w:r w:rsidRPr="0073301E">
        <w:rPr>
          <w:rFonts w:cs="Arial"/>
        </w:rPr>
        <w:t xml:space="preserve">least one </w:t>
      </w:r>
      <w:r>
        <w:rPr>
          <w:rFonts w:cs="Arial"/>
        </w:rPr>
        <w:t>Aboriginal member</w:t>
      </w:r>
      <w:r w:rsidR="00ED4556">
        <w:rPr>
          <w:rFonts w:cs="Arial"/>
        </w:rPr>
        <w:t>, noting there are currently no Torres Strait Islander members in the pool</w:t>
      </w:r>
      <w:r>
        <w:rPr>
          <w:rFonts w:cs="Arial"/>
        </w:rPr>
        <w:t>.</w:t>
      </w:r>
      <w:r w:rsidRPr="009822B0">
        <w:rPr>
          <w:rFonts w:cs="Arial"/>
        </w:rPr>
        <w:t xml:space="preserve"> </w:t>
      </w:r>
      <w:r w:rsidR="0041438F" w:rsidRPr="009822B0">
        <w:rPr>
          <w:rFonts w:cs="Arial"/>
        </w:rPr>
        <w:t xml:space="preserve">A litigation expert </w:t>
      </w:r>
      <w:r w:rsidR="00DA7736" w:rsidRPr="009822B0">
        <w:rPr>
          <w:rFonts w:cs="Arial"/>
        </w:rPr>
        <w:t xml:space="preserve">was a member of each panel </w:t>
      </w:r>
      <w:r w:rsidR="002E21B9">
        <w:rPr>
          <w:rFonts w:cs="Arial"/>
        </w:rPr>
        <w:t xml:space="preserve">that was required to </w:t>
      </w:r>
      <w:r w:rsidR="00DA7736" w:rsidRPr="009822B0">
        <w:rPr>
          <w:rFonts w:cs="Arial"/>
        </w:rPr>
        <w:t xml:space="preserve">consider a review by the Director of Child Protection Litigation. </w:t>
      </w:r>
    </w:p>
    <w:p w:rsidR="00FF3610" w:rsidRPr="009E158A" w:rsidRDefault="00FF3610" w:rsidP="00DD5024">
      <w:pPr>
        <w:pStyle w:val="Heading2"/>
        <w:spacing w:before="240"/>
        <w:jc w:val="both"/>
        <w:rPr>
          <w:sz w:val="28"/>
        </w:rPr>
      </w:pPr>
      <w:bookmarkStart w:id="71" w:name="_Toc524517382"/>
      <w:r w:rsidRPr="009E158A">
        <w:rPr>
          <w:sz w:val="28"/>
        </w:rPr>
        <w:t>Panel themes</w:t>
      </w:r>
      <w:bookmarkEnd w:id="71"/>
    </w:p>
    <w:p w:rsidR="00FF3610" w:rsidRPr="002C5E6C" w:rsidRDefault="00FF3610" w:rsidP="00DD5024">
      <w:pPr>
        <w:jc w:val="both"/>
        <w:rPr>
          <w:rFonts w:cs="Arial"/>
        </w:rPr>
      </w:pPr>
      <w:r w:rsidRPr="002C5E6C">
        <w:rPr>
          <w:rFonts w:cs="Arial"/>
        </w:rPr>
        <w:t>During 201</w:t>
      </w:r>
      <w:r w:rsidR="000B3AA5" w:rsidRPr="002C5E6C">
        <w:rPr>
          <w:rFonts w:cs="Arial"/>
        </w:rPr>
        <w:t>7</w:t>
      </w:r>
      <w:r w:rsidRPr="002C5E6C">
        <w:rPr>
          <w:rFonts w:cs="Arial"/>
        </w:rPr>
        <w:t>–1</w:t>
      </w:r>
      <w:r w:rsidR="000B3AA5" w:rsidRPr="002C5E6C">
        <w:rPr>
          <w:rFonts w:cs="Arial"/>
        </w:rPr>
        <w:t>8</w:t>
      </w:r>
      <w:r w:rsidRPr="002C5E6C">
        <w:rPr>
          <w:rFonts w:cs="Arial"/>
        </w:rPr>
        <w:t>, panels were convened around the following themes relating to service delivery to children and young people:</w:t>
      </w:r>
    </w:p>
    <w:p w:rsidR="00FF3610" w:rsidRPr="002B128D" w:rsidRDefault="00FF3610" w:rsidP="00DD5024">
      <w:pPr>
        <w:numPr>
          <w:ilvl w:val="0"/>
          <w:numId w:val="2"/>
        </w:numPr>
        <w:jc w:val="both"/>
      </w:pPr>
      <w:r w:rsidRPr="002B128D">
        <w:rPr>
          <w:rFonts w:cs="Arial"/>
        </w:rPr>
        <w:t>with</w:t>
      </w:r>
      <w:r w:rsidRPr="002B128D">
        <w:t xml:space="preserve"> severe chronic or terminal medical conditions and disabilities</w:t>
      </w:r>
    </w:p>
    <w:p w:rsidR="00FF3610" w:rsidRPr="002B128D" w:rsidRDefault="00FF3610" w:rsidP="00DD5024">
      <w:pPr>
        <w:numPr>
          <w:ilvl w:val="0"/>
          <w:numId w:val="2"/>
        </w:numPr>
        <w:jc w:val="both"/>
      </w:pPr>
      <w:r w:rsidRPr="002B128D">
        <w:rPr>
          <w:rFonts w:cs="Arial"/>
        </w:rPr>
        <w:t>whose</w:t>
      </w:r>
      <w:r w:rsidRPr="002B128D">
        <w:t xml:space="preserve"> cause of death was suicide</w:t>
      </w:r>
    </w:p>
    <w:p w:rsidR="00FF3610" w:rsidRPr="002B128D" w:rsidRDefault="00FF3610" w:rsidP="00DD5024">
      <w:pPr>
        <w:numPr>
          <w:ilvl w:val="0"/>
          <w:numId w:val="2"/>
        </w:numPr>
        <w:jc w:val="both"/>
      </w:pPr>
      <w:r w:rsidRPr="002B128D">
        <w:rPr>
          <w:rFonts w:cs="Arial"/>
        </w:rPr>
        <w:t>who</w:t>
      </w:r>
      <w:r w:rsidRPr="002B128D">
        <w:t xml:space="preserve"> were very young and vulnerable at the time of their death</w:t>
      </w:r>
    </w:p>
    <w:p w:rsidR="002B128D" w:rsidRPr="002B128D" w:rsidRDefault="002B128D" w:rsidP="00DD5024">
      <w:pPr>
        <w:numPr>
          <w:ilvl w:val="0"/>
          <w:numId w:val="2"/>
        </w:numPr>
        <w:jc w:val="both"/>
      </w:pPr>
      <w:r w:rsidRPr="002B128D">
        <w:t>who had suffered a serious physical injury</w:t>
      </w:r>
    </w:p>
    <w:p w:rsidR="00F51116" w:rsidRPr="002B128D" w:rsidRDefault="00F51116" w:rsidP="00DD5024">
      <w:pPr>
        <w:numPr>
          <w:ilvl w:val="0"/>
          <w:numId w:val="2"/>
        </w:numPr>
        <w:jc w:val="both"/>
      </w:pPr>
      <w:r w:rsidRPr="002B128D">
        <w:t xml:space="preserve">whose cause of death was drowning </w:t>
      </w:r>
    </w:p>
    <w:p w:rsidR="00FF3610" w:rsidRPr="002B128D" w:rsidRDefault="00FF3610" w:rsidP="00DD5024">
      <w:pPr>
        <w:numPr>
          <w:ilvl w:val="0"/>
          <w:numId w:val="2"/>
        </w:numPr>
        <w:jc w:val="both"/>
      </w:pPr>
      <w:r w:rsidRPr="002B128D">
        <w:rPr>
          <w:rFonts w:cs="Arial"/>
        </w:rPr>
        <w:t>whose</w:t>
      </w:r>
      <w:r w:rsidRPr="002B128D">
        <w:t xml:space="preserve"> death was caused by accidental incidents</w:t>
      </w:r>
    </w:p>
    <w:p w:rsidR="00FF3610" w:rsidRPr="002B128D" w:rsidRDefault="00FF3610" w:rsidP="00DD5024">
      <w:pPr>
        <w:numPr>
          <w:ilvl w:val="0"/>
          <w:numId w:val="2"/>
        </w:numPr>
        <w:jc w:val="both"/>
      </w:pPr>
      <w:r w:rsidRPr="002B128D">
        <w:rPr>
          <w:rFonts w:cs="Arial"/>
        </w:rPr>
        <w:t>whose</w:t>
      </w:r>
      <w:r w:rsidRPr="002B128D">
        <w:t xml:space="preserve"> cause of death was non-accidental or unknown</w:t>
      </w:r>
    </w:p>
    <w:p w:rsidR="00B308FD" w:rsidRPr="002B128D" w:rsidRDefault="00223FA6" w:rsidP="00DD5024">
      <w:pPr>
        <w:numPr>
          <w:ilvl w:val="0"/>
          <w:numId w:val="2"/>
        </w:numPr>
        <w:ind w:left="714" w:hanging="357"/>
        <w:jc w:val="both"/>
      </w:pPr>
      <w:r w:rsidRPr="002B128D">
        <w:rPr>
          <w:rFonts w:cs="Arial"/>
        </w:rPr>
        <w:t>who were adolescents at the time of their death</w:t>
      </w:r>
      <w:r w:rsidR="00CB101A" w:rsidRPr="002B128D">
        <w:rPr>
          <w:rFonts w:cs="Arial"/>
        </w:rPr>
        <w:t>.</w:t>
      </w:r>
    </w:p>
    <w:p w:rsidR="00632472" w:rsidRPr="00632472" w:rsidRDefault="00632472" w:rsidP="00DD5024">
      <w:pPr>
        <w:jc w:val="both"/>
        <w:rPr>
          <w:rFonts w:cs="Arial"/>
        </w:rPr>
      </w:pPr>
      <w:bookmarkStart w:id="72" w:name="_Toc424043208"/>
      <w:bookmarkStart w:id="73" w:name="_Toc424043295"/>
      <w:bookmarkStart w:id="74" w:name="_Toc462658407"/>
      <w:bookmarkStart w:id="75" w:name="_Toc463008542"/>
      <w:bookmarkStart w:id="76" w:name="_Toc520475874"/>
      <w:bookmarkStart w:id="77" w:name="_Toc424043209"/>
      <w:bookmarkStart w:id="78" w:name="_Toc424043296"/>
      <w:r w:rsidRPr="00632472">
        <w:rPr>
          <w:rFonts w:cs="Arial"/>
          <w:i/>
        </w:rPr>
        <w:t>Appendix A</w:t>
      </w:r>
      <w:r w:rsidRPr="00632472">
        <w:rPr>
          <w:rFonts w:cs="Arial"/>
        </w:rPr>
        <w:t xml:space="preserve"> provides more detailed information on membership of each panel convened in 2017-18.</w:t>
      </w:r>
    </w:p>
    <w:p w:rsidR="002C5E6C" w:rsidRPr="00FF3610" w:rsidRDefault="002C5E6C" w:rsidP="00DD5024">
      <w:pPr>
        <w:pStyle w:val="Heading2"/>
        <w:spacing w:before="240"/>
        <w:jc w:val="both"/>
        <w:rPr>
          <w:sz w:val="28"/>
        </w:rPr>
      </w:pPr>
      <w:bookmarkStart w:id="79" w:name="_Toc524517383"/>
      <w:r w:rsidRPr="00FF3610">
        <w:rPr>
          <w:sz w:val="28"/>
        </w:rPr>
        <w:t xml:space="preserve">Panel </w:t>
      </w:r>
      <w:bookmarkEnd w:id="72"/>
      <w:bookmarkEnd w:id="73"/>
      <w:bookmarkEnd w:id="74"/>
      <w:bookmarkEnd w:id="75"/>
      <w:r>
        <w:rPr>
          <w:sz w:val="28"/>
        </w:rPr>
        <w:t>outcomes</w:t>
      </w:r>
      <w:bookmarkEnd w:id="76"/>
      <w:bookmarkEnd w:id="79"/>
      <w:r>
        <w:rPr>
          <w:sz w:val="28"/>
        </w:rPr>
        <w:t xml:space="preserve"> </w:t>
      </w:r>
    </w:p>
    <w:p w:rsidR="002C5E6C" w:rsidRPr="002C5E6C" w:rsidRDefault="002C5E6C" w:rsidP="00DD5024">
      <w:pPr>
        <w:jc w:val="both"/>
        <w:rPr>
          <w:rFonts w:cs="Arial"/>
        </w:rPr>
      </w:pPr>
      <w:r w:rsidRPr="002C5E6C">
        <w:rPr>
          <w:rFonts w:cs="Arial"/>
        </w:rPr>
        <w:t>The 16 panels completed 56 reviews in the 2017–18 financial year. The panels considered cases involving 47 children and young people who died and nine children who sustained a serious physical injury. Panels considered departmental involvement with children and young people at a number of points on the child protection service delivery continuum.</w:t>
      </w:r>
    </w:p>
    <w:p w:rsidR="002C5E6C" w:rsidRPr="002C5E6C" w:rsidRDefault="002C5E6C" w:rsidP="00DD5024">
      <w:pPr>
        <w:jc w:val="both"/>
        <w:rPr>
          <w:rFonts w:cs="Arial"/>
        </w:rPr>
      </w:pPr>
      <w:r w:rsidRPr="002C5E6C">
        <w:rPr>
          <w:rFonts w:cs="Arial"/>
        </w:rPr>
        <w:t>These children and young people were from diverse cultural, family and community backgrounds, and had different life experiences and challenges.</w:t>
      </w:r>
    </w:p>
    <w:p w:rsidR="002C5E6C" w:rsidRPr="002C5E6C" w:rsidRDefault="002C5E6C" w:rsidP="00DD5024">
      <w:pPr>
        <w:jc w:val="both"/>
        <w:rPr>
          <w:rFonts w:cs="Arial"/>
        </w:rPr>
      </w:pPr>
      <w:r w:rsidRPr="002C5E6C">
        <w:rPr>
          <w:rFonts w:cs="Arial"/>
        </w:rPr>
        <w:t xml:space="preserve">The panels produced reports outlining the conclusions and recommendations of their reviews, which were submitted to the Director-General of the department and the Director of Child Protection Litigation. </w:t>
      </w:r>
      <w:r w:rsidRPr="00B86ED3">
        <w:rPr>
          <w:rFonts w:cs="Arial"/>
        </w:rPr>
        <w:t xml:space="preserve">The 16 panels offered </w:t>
      </w:r>
      <w:r w:rsidR="00B86ED3" w:rsidRPr="00B86ED3">
        <w:rPr>
          <w:rFonts w:cs="Arial"/>
        </w:rPr>
        <w:t>a number of findings, conclusions and</w:t>
      </w:r>
      <w:r w:rsidRPr="00B86ED3">
        <w:rPr>
          <w:rFonts w:cs="Arial"/>
        </w:rPr>
        <w:t xml:space="preserve"> recommendations to the department for ongoing service delivery improvement.</w:t>
      </w:r>
      <w:r w:rsidRPr="002C5E6C">
        <w:rPr>
          <w:rFonts w:cs="Arial"/>
        </w:rPr>
        <w:t xml:space="preserve"> </w:t>
      </w:r>
    </w:p>
    <w:p w:rsidR="002C5E6C" w:rsidRPr="002C5E6C" w:rsidRDefault="002C5E6C" w:rsidP="00DD5024">
      <w:pPr>
        <w:jc w:val="both"/>
        <w:rPr>
          <w:rFonts w:cs="Arial"/>
        </w:rPr>
      </w:pPr>
      <w:r w:rsidRPr="002C5E6C">
        <w:rPr>
          <w:rFonts w:cs="Arial"/>
        </w:rPr>
        <w:t xml:space="preserve">The approach and nature of recommendations of the panels varied based on panel composition and the types of cases allocated. Each panel made recommendations aimed at systemic improvement based on the individual cases allocated to them. There were recurring themes and areas for improvement that appeared across multiple panels. </w:t>
      </w:r>
    </w:p>
    <w:p w:rsidR="002C5E6C" w:rsidRPr="002C5E6C" w:rsidRDefault="002C5E6C" w:rsidP="00DD5024">
      <w:pPr>
        <w:jc w:val="both"/>
        <w:rPr>
          <w:rFonts w:cs="Arial"/>
        </w:rPr>
      </w:pPr>
      <w:r w:rsidRPr="002C5E6C">
        <w:rPr>
          <w:rFonts w:cs="Arial"/>
        </w:rPr>
        <w:t xml:space="preserve">The final report of each panel was considered by key areas in the department and </w:t>
      </w:r>
      <w:r w:rsidR="00B77676">
        <w:rPr>
          <w:rFonts w:cs="Arial"/>
        </w:rPr>
        <w:t xml:space="preserve">panel conclusions and recommendations have directly influenced key areas of reform and service improvement. </w:t>
      </w:r>
    </w:p>
    <w:p w:rsidR="002C5E6C" w:rsidRDefault="002C5E6C" w:rsidP="00DD5024">
      <w:pPr>
        <w:jc w:val="both"/>
        <w:rPr>
          <w:rFonts w:cs="Arial"/>
        </w:rPr>
      </w:pPr>
      <w:r w:rsidRPr="002C5E6C">
        <w:rPr>
          <w:rFonts w:cs="Arial"/>
        </w:rPr>
        <w:t>The department also made the recommendations from the S</w:t>
      </w:r>
      <w:r w:rsidR="00B77676">
        <w:rPr>
          <w:rFonts w:cs="Arial"/>
        </w:rPr>
        <w:t xml:space="preserve">ystems and </w:t>
      </w:r>
      <w:r w:rsidRPr="002C5E6C">
        <w:rPr>
          <w:rFonts w:cs="Arial"/>
        </w:rPr>
        <w:t>P</w:t>
      </w:r>
      <w:r w:rsidR="00B77676">
        <w:rPr>
          <w:rFonts w:cs="Arial"/>
        </w:rPr>
        <w:t xml:space="preserve">ractice </w:t>
      </w:r>
      <w:r w:rsidRPr="002C5E6C">
        <w:rPr>
          <w:rFonts w:cs="Arial"/>
        </w:rPr>
        <w:t>R</w:t>
      </w:r>
      <w:r w:rsidR="00B77676">
        <w:rPr>
          <w:rFonts w:cs="Arial"/>
        </w:rPr>
        <w:t xml:space="preserve">eview </w:t>
      </w:r>
      <w:r w:rsidRPr="002C5E6C">
        <w:rPr>
          <w:rFonts w:cs="Arial"/>
        </w:rPr>
        <w:t>C</w:t>
      </w:r>
      <w:r w:rsidR="00B77676">
        <w:rPr>
          <w:rFonts w:cs="Arial"/>
        </w:rPr>
        <w:t>ommittee</w:t>
      </w:r>
      <w:r w:rsidRPr="002C5E6C">
        <w:rPr>
          <w:rFonts w:cs="Arial"/>
        </w:rPr>
        <w:t xml:space="preserve"> and Child Death Case Review Panels available to departmental staff. Practice Connect, </w:t>
      </w:r>
      <w:r w:rsidR="0018201A">
        <w:rPr>
          <w:rFonts w:cs="Arial"/>
        </w:rPr>
        <w:t>C</w:t>
      </w:r>
      <w:r w:rsidRPr="002C5E6C">
        <w:rPr>
          <w:rFonts w:cs="Arial"/>
        </w:rPr>
        <w:t>apability</w:t>
      </w:r>
      <w:r w:rsidR="0018201A">
        <w:rPr>
          <w:rFonts w:cs="Arial"/>
        </w:rPr>
        <w:t xml:space="preserve"> and Learning</w:t>
      </w:r>
      <w:r w:rsidRPr="002C5E6C">
        <w:rPr>
          <w:rFonts w:cs="Arial"/>
        </w:rPr>
        <w:t xml:space="preserve">, Regional Directors, the Regional Practice Leaders and Aboriginal and Torres Strait Islander Practice Leaders </w:t>
      </w:r>
      <w:r w:rsidR="0018201A">
        <w:rPr>
          <w:rFonts w:cs="Arial"/>
        </w:rPr>
        <w:t>have collectively made</w:t>
      </w:r>
      <w:r w:rsidRPr="002C5E6C">
        <w:rPr>
          <w:rFonts w:cs="Arial"/>
        </w:rPr>
        <w:t xml:space="preserve"> these learnings more visible across the department to inform the ongoing strengthening of the child protection system and practice.</w:t>
      </w:r>
    </w:p>
    <w:p w:rsidR="00B77676" w:rsidRPr="002C5E6C" w:rsidRDefault="00B77676" w:rsidP="00DD5024">
      <w:pPr>
        <w:jc w:val="both"/>
        <w:rPr>
          <w:rFonts w:cs="Arial"/>
        </w:rPr>
      </w:pPr>
      <w:r w:rsidRPr="00B77676">
        <w:rPr>
          <w:rFonts w:cs="Arial"/>
        </w:rPr>
        <w:lastRenderedPageBreak/>
        <w:t>Departmental actions that have been taken in response to panel reports</w:t>
      </w:r>
      <w:r>
        <w:rPr>
          <w:rFonts w:cs="Arial"/>
        </w:rPr>
        <w:t xml:space="preserve"> and Systems and Practice Review Committee reports</w:t>
      </w:r>
      <w:r w:rsidRPr="00B77676">
        <w:rPr>
          <w:rFonts w:cs="Arial"/>
        </w:rPr>
        <w:t xml:space="preserve"> are detailed in Chapter 4.</w:t>
      </w:r>
    </w:p>
    <w:p w:rsidR="002C5E6C" w:rsidRPr="00B67C3A" w:rsidRDefault="002C5E6C" w:rsidP="00DD5024">
      <w:pPr>
        <w:pStyle w:val="Heading2"/>
        <w:spacing w:before="240"/>
        <w:jc w:val="both"/>
        <w:rPr>
          <w:sz w:val="28"/>
        </w:rPr>
      </w:pPr>
      <w:bookmarkStart w:id="80" w:name="_Toc520475875"/>
      <w:bookmarkStart w:id="81" w:name="_Toc524517384"/>
      <w:r w:rsidRPr="00526876">
        <w:rPr>
          <w:sz w:val="28"/>
        </w:rPr>
        <w:t>Panel conclusions and recommendations</w:t>
      </w:r>
      <w:bookmarkEnd w:id="80"/>
      <w:bookmarkEnd w:id="81"/>
    </w:p>
    <w:p w:rsidR="002C5E6C" w:rsidRPr="00B35C4C" w:rsidRDefault="002C5E6C" w:rsidP="00DD5024">
      <w:pPr>
        <w:jc w:val="both"/>
        <w:rPr>
          <w:rFonts w:cs="Arial"/>
        </w:rPr>
      </w:pPr>
      <w:r w:rsidRPr="002C5E6C">
        <w:rPr>
          <w:rFonts w:cs="Arial"/>
        </w:rPr>
        <w:t xml:space="preserve">Panels identified areas of improvement in the systems and processes associated with the delivery of services to children, young people and their families. </w:t>
      </w:r>
      <w:r w:rsidR="00D52619">
        <w:rPr>
          <w:rFonts w:cs="Arial"/>
        </w:rPr>
        <w:t>The</w:t>
      </w:r>
      <w:r w:rsidRPr="002C5E6C">
        <w:rPr>
          <w:rFonts w:cs="Arial"/>
        </w:rPr>
        <w:t xml:space="preserve"> panels identified systems and practice learnings and proposed recommendations</w:t>
      </w:r>
      <w:r w:rsidR="00D52619">
        <w:rPr>
          <w:rFonts w:cs="Arial"/>
        </w:rPr>
        <w:t xml:space="preserve"> in a range of areas. The following </w:t>
      </w:r>
      <w:r w:rsidR="008F0073">
        <w:rPr>
          <w:rFonts w:cs="Arial"/>
        </w:rPr>
        <w:t xml:space="preserve">nine </w:t>
      </w:r>
      <w:r w:rsidR="00D52619">
        <w:rPr>
          <w:rFonts w:cs="Arial"/>
        </w:rPr>
        <w:t>key service delivery areas are highlighted:</w:t>
      </w:r>
    </w:p>
    <w:p w:rsidR="002C5E6C" w:rsidRPr="002C5E6C" w:rsidRDefault="002C5E6C" w:rsidP="00DD5024">
      <w:pPr>
        <w:jc w:val="both"/>
        <w:rPr>
          <w:rFonts w:cs="Arial"/>
          <w:b/>
        </w:rPr>
      </w:pPr>
      <w:r w:rsidRPr="002C5E6C">
        <w:rPr>
          <w:rFonts w:cs="Arial"/>
          <w:b/>
        </w:rPr>
        <w:t xml:space="preserve">Engagement with </w:t>
      </w:r>
      <w:r w:rsidR="00180C4B">
        <w:rPr>
          <w:rFonts w:cs="Arial"/>
          <w:b/>
        </w:rPr>
        <w:t>health providers</w:t>
      </w:r>
    </w:p>
    <w:p w:rsidR="00180C4B" w:rsidRPr="002C5E6C" w:rsidRDefault="00180C4B" w:rsidP="00DD5024">
      <w:pPr>
        <w:jc w:val="both"/>
        <w:rPr>
          <w:rFonts w:cs="Arial"/>
        </w:rPr>
      </w:pPr>
      <w:r w:rsidRPr="002C5E6C">
        <w:rPr>
          <w:rFonts w:cs="Arial"/>
        </w:rPr>
        <w:t>The Panel</w:t>
      </w:r>
      <w:r w:rsidR="0018201A">
        <w:rPr>
          <w:rFonts w:cs="Arial"/>
        </w:rPr>
        <w:t>s</w:t>
      </w:r>
      <w:r w:rsidRPr="002C5E6C">
        <w:rPr>
          <w:rFonts w:cs="Arial"/>
        </w:rPr>
        <w:t xml:space="preserve"> identified </w:t>
      </w:r>
      <w:r w:rsidR="0018201A">
        <w:rPr>
          <w:rFonts w:cs="Arial"/>
        </w:rPr>
        <w:t>opportunities</w:t>
      </w:r>
      <w:r w:rsidRPr="002C5E6C">
        <w:rPr>
          <w:rFonts w:cs="Arial"/>
        </w:rPr>
        <w:t xml:space="preserve"> for improvement in the department’s engagement and information sharing with </w:t>
      </w:r>
      <w:r>
        <w:rPr>
          <w:rFonts w:cs="Arial"/>
        </w:rPr>
        <w:t>health</w:t>
      </w:r>
      <w:r w:rsidRPr="002C5E6C">
        <w:rPr>
          <w:rFonts w:cs="Arial"/>
        </w:rPr>
        <w:t xml:space="preserve"> providers involved with children and families, </w:t>
      </w:r>
      <w:r w:rsidR="0018201A">
        <w:rPr>
          <w:rFonts w:cs="Arial"/>
        </w:rPr>
        <w:t xml:space="preserve">due </w:t>
      </w:r>
      <w:r w:rsidRPr="002C5E6C">
        <w:rPr>
          <w:rFonts w:cs="Arial"/>
        </w:rPr>
        <w:t>to gaps in service delivery and miscommunication</w:t>
      </w:r>
      <w:r w:rsidR="0018201A">
        <w:rPr>
          <w:rFonts w:cs="Arial"/>
        </w:rPr>
        <w:t xml:space="preserve"> identified</w:t>
      </w:r>
      <w:r w:rsidRPr="002C5E6C">
        <w:rPr>
          <w:rFonts w:cs="Arial"/>
        </w:rPr>
        <w:t>. The Panel</w:t>
      </w:r>
      <w:r w:rsidR="004476B0">
        <w:rPr>
          <w:rFonts w:cs="Arial"/>
        </w:rPr>
        <w:t>s</w:t>
      </w:r>
      <w:r w:rsidRPr="002C5E6C">
        <w:rPr>
          <w:rFonts w:cs="Arial"/>
        </w:rPr>
        <w:t xml:space="preserve"> encouraged the department to foster a culture where practitioners prioritise the development of wholesome and productive relationships with partner agencies involved with a family, with clear </w:t>
      </w:r>
      <w:r w:rsidR="0018201A">
        <w:rPr>
          <w:rFonts w:cs="Arial"/>
        </w:rPr>
        <w:t>communication regarding expectations and the</w:t>
      </w:r>
      <w:r w:rsidRPr="002C5E6C">
        <w:rPr>
          <w:rFonts w:cs="Arial"/>
        </w:rPr>
        <w:t xml:space="preserve"> roles and responsibilities of each agency, to better inform ongoing service delivery, risk as</w:t>
      </w:r>
      <w:r>
        <w:rPr>
          <w:rFonts w:cs="Arial"/>
        </w:rPr>
        <w:t xml:space="preserve">sessment and decision making.  </w:t>
      </w:r>
      <w:r w:rsidRPr="002C5E6C">
        <w:rPr>
          <w:rFonts w:cs="Arial"/>
        </w:rPr>
        <w:t xml:space="preserve"> </w:t>
      </w:r>
    </w:p>
    <w:p w:rsidR="002C5E6C" w:rsidRPr="002C5E6C" w:rsidRDefault="002C5E6C" w:rsidP="00DD5024">
      <w:pPr>
        <w:spacing w:before="240"/>
        <w:jc w:val="both"/>
        <w:rPr>
          <w:rFonts w:cs="Arial"/>
          <w:b/>
        </w:rPr>
      </w:pPr>
      <w:r w:rsidRPr="002C5E6C">
        <w:rPr>
          <w:rFonts w:cs="Arial"/>
          <w:b/>
        </w:rPr>
        <w:t xml:space="preserve">Disability Services and the National Disability Insurance Scheme </w:t>
      </w:r>
    </w:p>
    <w:p w:rsidR="002C5E6C" w:rsidRPr="002C5E6C" w:rsidRDefault="002C5E6C" w:rsidP="00DD5024">
      <w:pPr>
        <w:jc w:val="both"/>
        <w:rPr>
          <w:rFonts w:cs="Arial"/>
        </w:rPr>
      </w:pPr>
      <w:r w:rsidRPr="002C5E6C">
        <w:rPr>
          <w:rFonts w:cs="Arial"/>
        </w:rPr>
        <w:t>The Panel</w:t>
      </w:r>
      <w:r w:rsidR="0018201A">
        <w:rPr>
          <w:rFonts w:cs="Arial"/>
        </w:rPr>
        <w:t>s</w:t>
      </w:r>
      <w:r w:rsidRPr="002C5E6C">
        <w:rPr>
          <w:rFonts w:cs="Arial"/>
        </w:rPr>
        <w:t xml:space="preserve"> identified departmental staff struggled at times with service delivery to children and families with disabilities and experienced difficulty navigating the National Disability Insurance Scheme. The Panel</w:t>
      </w:r>
      <w:r w:rsidR="004476B0">
        <w:rPr>
          <w:rFonts w:cs="Arial"/>
        </w:rPr>
        <w:t>s</w:t>
      </w:r>
      <w:r w:rsidRPr="002C5E6C">
        <w:rPr>
          <w:rFonts w:cs="Arial"/>
        </w:rPr>
        <w:t xml:space="preserve"> encouraged the department to build staff capacity in understanding how different types of disability manifest and how the disability</w:t>
      </w:r>
      <w:r w:rsidR="0018201A">
        <w:rPr>
          <w:rFonts w:cs="Arial"/>
        </w:rPr>
        <w:t xml:space="preserve"> may impact</w:t>
      </w:r>
      <w:r w:rsidRPr="002C5E6C">
        <w:rPr>
          <w:rFonts w:cs="Arial"/>
        </w:rPr>
        <w:t xml:space="preserve"> a care provider’s capacity to protect a child</w:t>
      </w:r>
      <w:r w:rsidR="0018201A">
        <w:rPr>
          <w:rFonts w:cs="Arial"/>
        </w:rPr>
        <w:t>. The Panel</w:t>
      </w:r>
      <w:r w:rsidR="004476B0">
        <w:rPr>
          <w:rFonts w:cs="Arial"/>
        </w:rPr>
        <w:t>s</w:t>
      </w:r>
      <w:r w:rsidR="0018201A">
        <w:rPr>
          <w:rFonts w:cs="Arial"/>
        </w:rPr>
        <w:t xml:space="preserve"> promoted departmental staff utilising</w:t>
      </w:r>
      <w:r w:rsidRPr="002C5E6C">
        <w:rPr>
          <w:rFonts w:cs="Arial"/>
        </w:rPr>
        <w:t xml:space="preserve"> the expertise of Disability Services staff. </w:t>
      </w:r>
    </w:p>
    <w:p w:rsidR="007353D6" w:rsidRPr="002C5E6C" w:rsidRDefault="007353D6" w:rsidP="00DD5024">
      <w:pPr>
        <w:spacing w:before="240"/>
        <w:jc w:val="both"/>
        <w:rPr>
          <w:rFonts w:cs="Arial"/>
          <w:b/>
        </w:rPr>
      </w:pPr>
      <w:r w:rsidRPr="002C5E6C">
        <w:rPr>
          <w:rFonts w:cs="Arial"/>
          <w:b/>
        </w:rPr>
        <w:t>Accident and injury prevention</w:t>
      </w:r>
    </w:p>
    <w:p w:rsidR="007353D6" w:rsidRPr="002C5E6C" w:rsidRDefault="007353D6" w:rsidP="00DD5024">
      <w:pPr>
        <w:jc w:val="both"/>
        <w:rPr>
          <w:rFonts w:cs="Arial"/>
        </w:rPr>
      </w:pPr>
      <w:r w:rsidRPr="002C5E6C">
        <w:rPr>
          <w:rFonts w:cs="Arial"/>
        </w:rPr>
        <w:t>The Panel</w:t>
      </w:r>
      <w:r>
        <w:rPr>
          <w:rFonts w:cs="Arial"/>
        </w:rPr>
        <w:t>s</w:t>
      </w:r>
      <w:r w:rsidRPr="002C5E6C">
        <w:rPr>
          <w:rFonts w:cs="Arial"/>
        </w:rPr>
        <w:t xml:space="preserve"> encouraged the department to assess child safety holistically and develop an evidence based understanding of the links between neglect, sub-standard housing and inadequate supervision, and accidental death</w:t>
      </w:r>
      <w:r>
        <w:rPr>
          <w:rFonts w:cs="Arial"/>
        </w:rPr>
        <w:t xml:space="preserve"> of</w:t>
      </w:r>
      <w:r w:rsidRPr="002C5E6C">
        <w:rPr>
          <w:rFonts w:cs="Arial"/>
        </w:rPr>
        <w:t xml:space="preserve"> or injury to children. The Panels </w:t>
      </w:r>
      <w:r>
        <w:rPr>
          <w:rFonts w:cs="Arial"/>
        </w:rPr>
        <w:t>identified</w:t>
      </w:r>
      <w:r w:rsidRPr="002C5E6C">
        <w:rPr>
          <w:rFonts w:cs="Arial"/>
        </w:rPr>
        <w:t xml:space="preserve"> that household safety needed to be addressed</w:t>
      </w:r>
      <w:r>
        <w:rPr>
          <w:rFonts w:cs="Arial"/>
        </w:rPr>
        <w:t xml:space="preserve"> and identified the benefit of utilising </w:t>
      </w:r>
      <w:r w:rsidRPr="002C5E6C">
        <w:rPr>
          <w:rFonts w:cs="Arial"/>
        </w:rPr>
        <w:t xml:space="preserve">injury prevention resources and services, such as those provided by Kidsafe Queensland and Queensland Fire and Rescue Service, during departmental engagement with parents and families. </w:t>
      </w:r>
    </w:p>
    <w:p w:rsidR="007353D6" w:rsidRPr="002C5E6C" w:rsidRDefault="007353D6" w:rsidP="00DD5024">
      <w:pPr>
        <w:spacing w:before="240"/>
        <w:jc w:val="both"/>
        <w:rPr>
          <w:rFonts w:cs="Arial"/>
          <w:b/>
        </w:rPr>
      </w:pPr>
      <w:r w:rsidRPr="002C5E6C">
        <w:rPr>
          <w:rFonts w:cs="Arial"/>
          <w:b/>
        </w:rPr>
        <w:t>Early childhood development</w:t>
      </w:r>
    </w:p>
    <w:p w:rsidR="007353D6" w:rsidRPr="002C5E6C" w:rsidRDefault="007353D6" w:rsidP="00DD5024">
      <w:pPr>
        <w:jc w:val="both"/>
        <w:rPr>
          <w:rFonts w:cs="Arial"/>
        </w:rPr>
      </w:pPr>
      <w:r w:rsidRPr="002C5E6C">
        <w:rPr>
          <w:rFonts w:cs="Arial"/>
        </w:rPr>
        <w:t>The Panel</w:t>
      </w:r>
      <w:r>
        <w:rPr>
          <w:rFonts w:cs="Arial"/>
        </w:rPr>
        <w:t>s</w:t>
      </w:r>
      <w:r w:rsidRPr="002C5E6C">
        <w:rPr>
          <w:rFonts w:cs="Arial"/>
        </w:rPr>
        <w:t xml:space="preserve"> encouraged the department to develop a better understanding of attachment theories for young children in early developmental stages, particularly when infants are removed from their biological parents at birth and placed with kinshi</w:t>
      </w:r>
      <w:r>
        <w:rPr>
          <w:rFonts w:cs="Arial"/>
        </w:rPr>
        <w:t>p carers or foster carers. The P</w:t>
      </w:r>
      <w:r w:rsidRPr="002C5E6C">
        <w:rPr>
          <w:rFonts w:cs="Arial"/>
        </w:rPr>
        <w:t>anel</w:t>
      </w:r>
      <w:r>
        <w:rPr>
          <w:rFonts w:cs="Arial"/>
        </w:rPr>
        <w:t>s</w:t>
      </w:r>
      <w:r w:rsidRPr="002C5E6C">
        <w:rPr>
          <w:rFonts w:cs="Arial"/>
        </w:rPr>
        <w:t xml:space="preserve"> noted that children form bonds and attachments with their primary care providers and extended family members and care must be taken to ensure that these bonds are retained during and following reunification. </w:t>
      </w:r>
    </w:p>
    <w:p w:rsidR="007353D6" w:rsidRPr="002C5E6C" w:rsidRDefault="007353D6" w:rsidP="00DD5024">
      <w:pPr>
        <w:spacing w:before="240"/>
        <w:jc w:val="both"/>
        <w:rPr>
          <w:rFonts w:cs="Arial"/>
          <w:b/>
        </w:rPr>
      </w:pPr>
      <w:r w:rsidRPr="002C5E6C">
        <w:rPr>
          <w:rFonts w:cs="Arial"/>
          <w:b/>
        </w:rPr>
        <w:t>High risk adolescents</w:t>
      </w:r>
    </w:p>
    <w:p w:rsidR="007353D6" w:rsidRPr="002C5E6C" w:rsidRDefault="007353D6" w:rsidP="00DD5024">
      <w:pPr>
        <w:jc w:val="both"/>
        <w:rPr>
          <w:rFonts w:cs="Arial"/>
        </w:rPr>
      </w:pPr>
      <w:r w:rsidRPr="002C5E6C">
        <w:rPr>
          <w:rFonts w:cs="Arial"/>
        </w:rPr>
        <w:t>The Panel</w:t>
      </w:r>
      <w:r>
        <w:rPr>
          <w:rFonts w:cs="Arial"/>
        </w:rPr>
        <w:t>s</w:t>
      </w:r>
      <w:r w:rsidRPr="002C5E6C">
        <w:rPr>
          <w:rFonts w:cs="Arial"/>
        </w:rPr>
        <w:t xml:space="preserve"> acknowledged that adolescent behaviours are becoming increasingly complex and departmental staff may not always be equipped to manage the complex areas of need of adolescents. The Panel</w:t>
      </w:r>
      <w:r>
        <w:rPr>
          <w:rFonts w:cs="Arial"/>
        </w:rPr>
        <w:t>s</w:t>
      </w:r>
      <w:r w:rsidRPr="002C5E6C">
        <w:rPr>
          <w:rFonts w:cs="Arial"/>
        </w:rPr>
        <w:t xml:space="preserve"> encouraged a multi-agency response for these highly vulnerable clients, to ensure young people can access safe and supported accommodation, drug and alcohol rehabilitation, mental health care, safety </w:t>
      </w:r>
      <w:r>
        <w:rPr>
          <w:rFonts w:cs="Arial"/>
        </w:rPr>
        <w:t>and support networks, education</w:t>
      </w:r>
      <w:r w:rsidRPr="002C5E6C">
        <w:rPr>
          <w:rFonts w:cs="Arial"/>
        </w:rPr>
        <w:t xml:space="preserve"> and employment, particularly those adolescents transitioning from care.  </w:t>
      </w:r>
    </w:p>
    <w:p w:rsidR="001510BD" w:rsidRPr="00C30128" w:rsidRDefault="001510BD" w:rsidP="00A73B53">
      <w:pPr>
        <w:keepNext/>
        <w:spacing w:before="240"/>
        <w:jc w:val="both"/>
        <w:rPr>
          <w:rFonts w:cs="Arial"/>
          <w:b/>
        </w:rPr>
      </w:pPr>
      <w:r w:rsidRPr="00C30128">
        <w:rPr>
          <w:rFonts w:cs="Arial"/>
          <w:b/>
        </w:rPr>
        <w:lastRenderedPageBreak/>
        <w:t>Palliative care and end-of-life decision making</w:t>
      </w:r>
    </w:p>
    <w:p w:rsidR="001510BD" w:rsidRDefault="001510BD" w:rsidP="00A73B53">
      <w:pPr>
        <w:keepNext/>
        <w:jc w:val="both"/>
        <w:rPr>
          <w:rFonts w:cs="Arial"/>
        </w:rPr>
      </w:pPr>
      <w:r w:rsidRPr="001510BD">
        <w:rPr>
          <w:rFonts w:cs="Arial"/>
        </w:rPr>
        <w:t>The Panel encouraged the department to build its capacity in relation to palliative care, end-of-life decision making and funeral arrangements for terminally ill children in the guardianship of the chief executive of the department, particularly for children who identify as Aboriginal and/or Torres Strait Islander where there are cultural protocols to be considered in these decisions. The Panel considered the department could benefit from resources and training offered by the Experience in the Palliative Approach program (PEPA).</w:t>
      </w:r>
    </w:p>
    <w:p w:rsidR="00A73B53" w:rsidRDefault="00A73B53" w:rsidP="00A73B53">
      <w:pPr>
        <w:keepNext/>
        <w:jc w:val="both"/>
        <w:rPr>
          <w:rFonts w:cs="Arial"/>
        </w:rPr>
      </w:pPr>
    </w:p>
    <w:p w:rsidR="003E7FD3" w:rsidRPr="007D0F7C" w:rsidRDefault="003E7FD3" w:rsidP="003E7FD3">
      <w:pPr>
        <w:autoSpaceDE w:val="0"/>
        <w:autoSpaceDN w:val="0"/>
        <w:adjustRightInd w:val="0"/>
        <w:jc w:val="both"/>
        <w:rPr>
          <w:rFonts w:cs="Arial"/>
          <w:b/>
          <w:sz w:val="20"/>
          <w:szCs w:val="20"/>
        </w:rPr>
      </w:pPr>
      <w:r w:rsidRPr="007D0F7C">
        <w:rPr>
          <w:rFonts w:cs="Arial"/>
          <w:b/>
          <w:sz w:val="20"/>
          <w:szCs w:val="20"/>
        </w:rPr>
        <w:t>Case Study: Palliative care and end of life decision making</w:t>
      </w:r>
    </w:p>
    <w:p w:rsidR="003E7FD3" w:rsidRPr="007D0F7C" w:rsidRDefault="003E7FD3" w:rsidP="003E7FD3">
      <w:pPr>
        <w:autoSpaceDE w:val="0"/>
        <w:autoSpaceDN w:val="0"/>
        <w:adjustRightInd w:val="0"/>
        <w:jc w:val="both"/>
        <w:rPr>
          <w:rFonts w:cs="Arial"/>
          <w:sz w:val="20"/>
          <w:szCs w:val="20"/>
        </w:rPr>
      </w:pPr>
      <w:r w:rsidRPr="007D0F7C">
        <w:rPr>
          <w:rFonts w:cs="Arial"/>
          <w:sz w:val="20"/>
          <w:szCs w:val="20"/>
        </w:rPr>
        <w:t xml:space="preserve">Jessica* died </w:t>
      </w:r>
      <w:r>
        <w:rPr>
          <w:rFonts w:cs="Arial"/>
          <w:sz w:val="20"/>
          <w:szCs w:val="20"/>
        </w:rPr>
        <w:t>as an adolescent</w:t>
      </w:r>
      <w:r w:rsidRPr="007D0F7C">
        <w:rPr>
          <w:rFonts w:cs="Arial"/>
          <w:sz w:val="20"/>
          <w:szCs w:val="20"/>
        </w:rPr>
        <w:t xml:space="preserve"> as a result of </w:t>
      </w:r>
      <w:r>
        <w:rPr>
          <w:rFonts w:cs="Arial"/>
          <w:sz w:val="20"/>
          <w:szCs w:val="20"/>
        </w:rPr>
        <w:t>the life limiting condition she had suffered from as a child</w:t>
      </w:r>
      <w:r w:rsidRPr="007D0F7C">
        <w:rPr>
          <w:rFonts w:cs="Arial"/>
          <w:sz w:val="20"/>
          <w:szCs w:val="20"/>
        </w:rPr>
        <w:t xml:space="preserve">. </w:t>
      </w:r>
    </w:p>
    <w:p w:rsidR="003E7FD3" w:rsidRPr="007D0F7C" w:rsidRDefault="003E7FD3" w:rsidP="003E7FD3">
      <w:pPr>
        <w:autoSpaceDE w:val="0"/>
        <w:autoSpaceDN w:val="0"/>
        <w:adjustRightInd w:val="0"/>
        <w:jc w:val="both"/>
        <w:rPr>
          <w:rFonts w:cs="Arial"/>
          <w:sz w:val="20"/>
          <w:szCs w:val="20"/>
        </w:rPr>
      </w:pPr>
      <w:r w:rsidRPr="007D0F7C">
        <w:rPr>
          <w:sz w:val="20"/>
          <w:szCs w:val="20"/>
        </w:rPr>
        <w:t xml:space="preserve">Jessica </w:t>
      </w:r>
      <w:r>
        <w:rPr>
          <w:sz w:val="20"/>
          <w:szCs w:val="20"/>
        </w:rPr>
        <w:t xml:space="preserve">had multiple disabilities including </w:t>
      </w:r>
      <w:r w:rsidRPr="007D0F7C">
        <w:rPr>
          <w:sz w:val="20"/>
          <w:szCs w:val="20"/>
        </w:rPr>
        <w:t>cerebral palsy, spastic quadriplegia, vision</w:t>
      </w:r>
      <w:r>
        <w:rPr>
          <w:sz w:val="20"/>
          <w:szCs w:val="20"/>
        </w:rPr>
        <w:t xml:space="preserve"> and hearing</w:t>
      </w:r>
      <w:r w:rsidRPr="007D0F7C">
        <w:rPr>
          <w:sz w:val="20"/>
          <w:szCs w:val="20"/>
        </w:rPr>
        <w:t xml:space="preserve"> impairment</w:t>
      </w:r>
      <w:r>
        <w:rPr>
          <w:sz w:val="20"/>
          <w:szCs w:val="20"/>
        </w:rPr>
        <w:t>s,</w:t>
      </w:r>
      <w:r w:rsidRPr="007D0F7C">
        <w:rPr>
          <w:sz w:val="20"/>
          <w:szCs w:val="20"/>
        </w:rPr>
        <w:t xml:space="preserve"> scoliosis and epilepsy. Jessica had complex care needs and required a high level of care around the clock. She was wheelchair bound</w:t>
      </w:r>
      <w:r>
        <w:rPr>
          <w:sz w:val="20"/>
          <w:szCs w:val="20"/>
        </w:rPr>
        <w:t xml:space="preserve"> and</w:t>
      </w:r>
      <w:r w:rsidRPr="007D0F7C">
        <w:rPr>
          <w:sz w:val="20"/>
          <w:szCs w:val="20"/>
        </w:rPr>
        <w:t xml:space="preserve"> non-verbal</w:t>
      </w:r>
      <w:r>
        <w:rPr>
          <w:sz w:val="20"/>
          <w:szCs w:val="20"/>
        </w:rPr>
        <w:t>.</w:t>
      </w:r>
    </w:p>
    <w:p w:rsidR="003E7FD3" w:rsidRPr="007D0F7C" w:rsidRDefault="003E7FD3" w:rsidP="003E7FD3">
      <w:pPr>
        <w:autoSpaceDE w:val="0"/>
        <w:autoSpaceDN w:val="0"/>
        <w:adjustRightInd w:val="0"/>
        <w:jc w:val="both"/>
        <w:rPr>
          <w:rFonts w:cs="Arial"/>
          <w:sz w:val="20"/>
          <w:szCs w:val="20"/>
        </w:rPr>
      </w:pPr>
      <w:r w:rsidRPr="007D0F7C">
        <w:rPr>
          <w:rFonts w:cs="Arial"/>
          <w:sz w:val="20"/>
          <w:szCs w:val="20"/>
        </w:rPr>
        <w:t xml:space="preserve">Jessica was subject to a </w:t>
      </w:r>
      <w:r>
        <w:rPr>
          <w:rFonts w:cs="Arial"/>
          <w:sz w:val="20"/>
          <w:szCs w:val="20"/>
        </w:rPr>
        <w:t>c</w:t>
      </w:r>
      <w:r w:rsidRPr="007D0F7C">
        <w:rPr>
          <w:rFonts w:cs="Arial"/>
          <w:sz w:val="20"/>
          <w:szCs w:val="20"/>
        </w:rPr>
        <w:t xml:space="preserve">hild </w:t>
      </w:r>
      <w:r>
        <w:rPr>
          <w:rFonts w:cs="Arial"/>
          <w:sz w:val="20"/>
          <w:szCs w:val="20"/>
        </w:rPr>
        <w:t>protection o</w:t>
      </w:r>
      <w:r w:rsidRPr="007D0F7C">
        <w:rPr>
          <w:rFonts w:cs="Arial"/>
          <w:sz w:val="20"/>
          <w:szCs w:val="20"/>
        </w:rPr>
        <w:t xml:space="preserve">rder </w:t>
      </w:r>
      <w:r>
        <w:rPr>
          <w:rFonts w:cs="Arial"/>
          <w:sz w:val="20"/>
          <w:szCs w:val="20"/>
        </w:rPr>
        <w:t>granting</w:t>
      </w:r>
      <w:r w:rsidRPr="007D0F7C">
        <w:rPr>
          <w:rFonts w:cs="Arial"/>
          <w:sz w:val="20"/>
          <w:szCs w:val="20"/>
        </w:rPr>
        <w:t xml:space="preserve"> </w:t>
      </w:r>
      <w:r>
        <w:rPr>
          <w:rFonts w:cs="Arial"/>
          <w:sz w:val="20"/>
          <w:szCs w:val="20"/>
        </w:rPr>
        <w:t>l</w:t>
      </w:r>
      <w:r w:rsidRPr="007D0F7C">
        <w:rPr>
          <w:rFonts w:cs="Arial"/>
          <w:sz w:val="20"/>
          <w:szCs w:val="20"/>
        </w:rPr>
        <w:t xml:space="preserve">ong </w:t>
      </w:r>
      <w:r>
        <w:rPr>
          <w:rFonts w:cs="Arial"/>
          <w:sz w:val="20"/>
          <w:szCs w:val="20"/>
        </w:rPr>
        <w:t>term g</w:t>
      </w:r>
      <w:r w:rsidRPr="007D0F7C">
        <w:rPr>
          <w:rFonts w:cs="Arial"/>
          <w:sz w:val="20"/>
          <w:szCs w:val="20"/>
        </w:rPr>
        <w:t xml:space="preserve">uardianship to the </w:t>
      </w:r>
      <w:r>
        <w:rPr>
          <w:rFonts w:cs="Arial"/>
          <w:sz w:val="20"/>
          <w:szCs w:val="20"/>
        </w:rPr>
        <w:t>c</w:t>
      </w:r>
      <w:r w:rsidRPr="007D0F7C">
        <w:rPr>
          <w:rFonts w:cs="Arial"/>
          <w:sz w:val="20"/>
          <w:szCs w:val="20"/>
        </w:rPr>
        <w:t xml:space="preserve">hief </w:t>
      </w:r>
      <w:r>
        <w:rPr>
          <w:rFonts w:cs="Arial"/>
          <w:sz w:val="20"/>
          <w:szCs w:val="20"/>
        </w:rPr>
        <w:t>e</w:t>
      </w:r>
      <w:r w:rsidRPr="007D0F7C">
        <w:rPr>
          <w:rFonts w:cs="Arial"/>
          <w:sz w:val="20"/>
          <w:szCs w:val="20"/>
        </w:rPr>
        <w:t xml:space="preserve">xecutive at the time of her death. Jessica identified as Aboriginal. </w:t>
      </w:r>
    </w:p>
    <w:p w:rsidR="003E7FD3" w:rsidRPr="007D0F7C" w:rsidRDefault="003E7FD3" w:rsidP="003E7FD3">
      <w:pPr>
        <w:autoSpaceDE w:val="0"/>
        <w:autoSpaceDN w:val="0"/>
        <w:adjustRightInd w:val="0"/>
        <w:jc w:val="both"/>
        <w:rPr>
          <w:sz w:val="20"/>
          <w:szCs w:val="20"/>
        </w:rPr>
      </w:pPr>
      <w:r w:rsidRPr="007D0F7C">
        <w:rPr>
          <w:sz w:val="20"/>
          <w:szCs w:val="20"/>
        </w:rPr>
        <w:t xml:space="preserve">Jessica was placed with a foster carer where she remained until her death in 2017, and had been considered palliative since 2012. An ongoing Acute Resuscitation Plan was put in place that supported breathing assistance but no invasive actions, including intubation. </w:t>
      </w:r>
    </w:p>
    <w:p w:rsidR="003E7FD3" w:rsidRPr="007D0F7C" w:rsidRDefault="003E7FD3" w:rsidP="003E7FD3">
      <w:pPr>
        <w:jc w:val="both"/>
        <w:rPr>
          <w:sz w:val="20"/>
          <w:szCs w:val="20"/>
        </w:rPr>
      </w:pPr>
      <w:r w:rsidRPr="007D0F7C">
        <w:rPr>
          <w:sz w:val="20"/>
          <w:szCs w:val="20"/>
        </w:rPr>
        <w:t xml:space="preserve">In the last year of Jessica’s life, departmental case work focused on </w:t>
      </w:r>
      <w:r>
        <w:rPr>
          <w:sz w:val="20"/>
          <w:szCs w:val="20"/>
        </w:rPr>
        <w:t>her</w:t>
      </w:r>
      <w:r w:rsidRPr="007D0F7C">
        <w:rPr>
          <w:sz w:val="20"/>
          <w:szCs w:val="20"/>
        </w:rPr>
        <w:t xml:space="preserve"> transition from care and planning was underway for Jessica to enter the National Disability Insurance Scheme. </w:t>
      </w:r>
    </w:p>
    <w:p w:rsidR="003E7FD3" w:rsidRDefault="003E7FD3" w:rsidP="003E7FD3">
      <w:pPr>
        <w:rPr>
          <w:sz w:val="20"/>
          <w:szCs w:val="20"/>
        </w:rPr>
      </w:pPr>
      <w:r w:rsidRPr="007D0F7C">
        <w:rPr>
          <w:sz w:val="20"/>
          <w:szCs w:val="20"/>
        </w:rPr>
        <w:t>During its review, the panel considered that from the outset of Jessica being identified as palliative the department needed to undertake end of life and funeral planning in collaboration with Jessica’s extended family</w:t>
      </w:r>
      <w:r>
        <w:rPr>
          <w:sz w:val="20"/>
          <w:szCs w:val="20"/>
        </w:rPr>
        <w:t xml:space="preserve"> with consideration of their </w:t>
      </w:r>
      <w:r w:rsidRPr="007D0F7C">
        <w:rPr>
          <w:sz w:val="20"/>
          <w:szCs w:val="20"/>
        </w:rPr>
        <w:t xml:space="preserve">cultural and traditional practices relating to death, grief and loss. </w:t>
      </w:r>
      <w:r>
        <w:rPr>
          <w:sz w:val="20"/>
          <w:szCs w:val="20"/>
        </w:rPr>
        <w:t xml:space="preserve">The panel considered </w:t>
      </w:r>
      <w:r w:rsidRPr="007D0F7C">
        <w:rPr>
          <w:sz w:val="20"/>
          <w:szCs w:val="20"/>
        </w:rPr>
        <w:t xml:space="preserve">Jessica’s cultural connections, belonging to country and protocols around death needed to be front and centre in that planning.  </w:t>
      </w:r>
    </w:p>
    <w:p w:rsidR="003E7FD3" w:rsidRDefault="003E7FD3" w:rsidP="003E7FD3">
      <w:pPr>
        <w:rPr>
          <w:sz w:val="20"/>
          <w:szCs w:val="20"/>
        </w:rPr>
      </w:pPr>
      <w:r>
        <w:rPr>
          <w:sz w:val="20"/>
          <w:szCs w:val="20"/>
        </w:rPr>
        <w:t>The panel’s recommendation was instrumental in the department’s subsequent development of a palliative care training module discussed further in Chapter 4.</w:t>
      </w:r>
    </w:p>
    <w:p w:rsidR="003E7FD3" w:rsidRPr="00694A4C" w:rsidRDefault="003E7FD3" w:rsidP="003E7FD3">
      <w:pPr>
        <w:rPr>
          <w:i/>
          <w:sz w:val="20"/>
          <w:szCs w:val="20"/>
        </w:rPr>
      </w:pPr>
      <w:r w:rsidRPr="00694A4C">
        <w:rPr>
          <w:sz w:val="20"/>
          <w:szCs w:val="20"/>
        </w:rPr>
        <w:t>*</w:t>
      </w:r>
      <w:r>
        <w:rPr>
          <w:sz w:val="20"/>
          <w:szCs w:val="20"/>
        </w:rPr>
        <w:t xml:space="preserve"> </w:t>
      </w:r>
      <w:r>
        <w:rPr>
          <w:i/>
          <w:sz w:val="20"/>
          <w:szCs w:val="20"/>
        </w:rPr>
        <w:t xml:space="preserve">name changed </w:t>
      </w:r>
    </w:p>
    <w:p w:rsidR="003E7FD3" w:rsidRDefault="003E7FD3" w:rsidP="00A73B53">
      <w:pPr>
        <w:keepNext/>
        <w:jc w:val="both"/>
        <w:rPr>
          <w:rFonts w:cs="Arial"/>
        </w:rPr>
      </w:pPr>
    </w:p>
    <w:p w:rsidR="002C5E6C" w:rsidRPr="002C5E6C" w:rsidRDefault="00CC30AA" w:rsidP="00DD5024">
      <w:pPr>
        <w:spacing w:before="240"/>
        <w:jc w:val="both"/>
        <w:rPr>
          <w:rFonts w:cs="Arial"/>
          <w:b/>
        </w:rPr>
      </w:pPr>
      <w:r>
        <w:rPr>
          <w:rFonts w:cs="Arial"/>
          <w:b/>
        </w:rPr>
        <w:t>Growing</w:t>
      </w:r>
      <w:r w:rsidR="002C5E6C" w:rsidRPr="002C5E6C">
        <w:rPr>
          <w:rFonts w:cs="Arial"/>
          <w:b/>
        </w:rPr>
        <w:t xml:space="preserve"> cul</w:t>
      </w:r>
      <w:r>
        <w:rPr>
          <w:rFonts w:cs="Arial"/>
          <w:b/>
        </w:rPr>
        <w:t>tural capability and improving</w:t>
      </w:r>
      <w:r w:rsidR="002C5E6C" w:rsidRPr="002C5E6C">
        <w:rPr>
          <w:rFonts w:cs="Arial"/>
          <w:b/>
        </w:rPr>
        <w:t xml:space="preserve"> Aboriginal and Torres Strait Islander </w:t>
      </w:r>
      <w:r w:rsidRPr="00BB2478">
        <w:rPr>
          <w:rFonts w:cs="Arial"/>
          <w:b/>
        </w:rPr>
        <w:t>service</w:t>
      </w:r>
      <w:r w:rsidR="004476B0" w:rsidRPr="00BB2478">
        <w:rPr>
          <w:rFonts w:cs="Arial"/>
          <w:b/>
        </w:rPr>
        <w:t xml:space="preserve"> delivery</w:t>
      </w:r>
    </w:p>
    <w:p w:rsidR="002C5E6C" w:rsidRPr="002C5E6C" w:rsidRDefault="002C5E6C" w:rsidP="00DD5024">
      <w:pPr>
        <w:jc w:val="both"/>
        <w:rPr>
          <w:rFonts w:cs="Arial"/>
        </w:rPr>
      </w:pPr>
      <w:r w:rsidRPr="002C5E6C">
        <w:rPr>
          <w:rFonts w:cs="Arial"/>
        </w:rPr>
        <w:t>The Panel</w:t>
      </w:r>
      <w:r w:rsidR="004476B0">
        <w:rPr>
          <w:rFonts w:cs="Arial"/>
        </w:rPr>
        <w:t>s</w:t>
      </w:r>
      <w:r w:rsidRPr="002C5E6C">
        <w:rPr>
          <w:rFonts w:cs="Arial"/>
        </w:rPr>
        <w:t xml:space="preserve"> encouraged the department to</w:t>
      </w:r>
      <w:r w:rsidR="00993078">
        <w:rPr>
          <w:rFonts w:cs="Arial"/>
        </w:rPr>
        <w:t xml:space="preserve"> continue to</w:t>
      </w:r>
      <w:r w:rsidRPr="002C5E6C">
        <w:rPr>
          <w:rFonts w:cs="Arial"/>
        </w:rPr>
        <w:t xml:space="preserve"> develop staff understanding and awareness of the significance and importance </w:t>
      </w:r>
      <w:r w:rsidR="00F125D4">
        <w:rPr>
          <w:rFonts w:cs="Arial"/>
        </w:rPr>
        <w:t>of engaging with Aboriginal and</w:t>
      </w:r>
      <w:r w:rsidRPr="002C5E6C">
        <w:rPr>
          <w:rFonts w:cs="Arial"/>
        </w:rPr>
        <w:t xml:space="preserve"> Torres Strait Islander children and families in </w:t>
      </w:r>
      <w:r w:rsidR="00CC30AA">
        <w:rPr>
          <w:rFonts w:cs="Arial"/>
        </w:rPr>
        <w:t>a culturally appropriate manner and</w:t>
      </w:r>
      <w:r w:rsidRPr="002C5E6C">
        <w:rPr>
          <w:rFonts w:cs="Arial"/>
        </w:rPr>
        <w:t xml:space="preserve"> to ensure that </w:t>
      </w:r>
      <w:r w:rsidR="00CC30AA">
        <w:rPr>
          <w:rFonts w:cs="Arial"/>
        </w:rPr>
        <w:t>services are provided</w:t>
      </w:r>
      <w:r w:rsidRPr="002C5E6C">
        <w:rPr>
          <w:rFonts w:cs="Arial"/>
        </w:rPr>
        <w:t xml:space="preserve"> in a collaborative, meaningful and culturally </w:t>
      </w:r>
      <w:r w:rsidR="00BA60F0">
        <w:rPr>
          <w:rFonts w:cs="Arial"/>
        </w:rPr>
        <w:t>appropriate</w:t>
      </w:r>
      <w:r w:rsidRPr="002C5E6C">
        <w:rPr>
          <w:rFonts w:cs="Arial"/>
        </w:rPr>
        <w:t xml:space="preserve"> manner.  </w:t>
      </w:r>
    </w:p>
    <w:p w:rsidR="002C5E6C" w:rsidRPr="002C5E6C" w:rsidRDefault="002C5E6C" w:rsidP="00DD5024">
      <w:pPr>
        <w:spacing w:before="240"/>
        <w:jc w:val="both"/>
        <w:rPr>
          <w:rFonts w:cs="Arial"/>
          <w:b/>
        </w:rPr>
      </w:pPr>
      <w:r w:rsidRPr="002C5E6C">
        <w:rPr>
          <w:rFonts w:cs="Arial"/>
          <w:b/>
        </w:rPr>
        <w:t xml:space="preserve">Delays in commencement of Investigation and Assessments </w:t>
      </w:r>
    </w:p>
    <w:p w:rsidR="00F125D4" w:rsidRDefault="002C5E6C" w:rsidP="00DD5024">
      <w:pPr>
        <w:jc w:val="both"/>
        <w:rPr>
          <w:rFonts w:cs="Arial"/>
        </w:rPr>
      </w:pPr>
      <w:r w:rsidRPr="002C5E6C">
        <w:rPr>
          <w:rFonts w:cs="Arial"/>
        </w:rPr>
        <w:t>The Panel</w:t>
      </w:r>
      <w:r w:rsidR="004476B0">
        <w:rPr>
          <w:rFonts w:cs="Arial"/>
        </w:rPr>
        <w:t>s</w:t>
      </w:r>
      <w:r w:rsidRPr="002C5E6C">
        <w:rPr>
          <w:rFonts w:cs="Arial"/>
        </w:rPr>
        <w:t xml:space="preserve"> identified that delays in allocation and commencement of Investigation and Assessments within the assigned Response Priority Timeframe </w:t>
      </w:r>
      <w:r w:rsidR="00993078">
        <w:rPr>
          <w:rFonts w:cs="Arial"/>
        </w:rPr>
        <w:t>can</w:t>
      </w:r>
      <w:r w:rsidRPr="002C5E6C">
        <w:rPr>
          <w:rFonts w:cs="Arial"/>
        </w:rPr>
        <w:t xml:space="preserve"> impact service delivery to children and families, including information gathering, secondary support service referrals</w:t>
      </w:r>
      <w:r w:rsidR="004476B0">
        <w:rPr>
          <w:rFonts w:cs="Arial"/>
        </w:rPr>
        <w:t xml:space="preserve"> and</w:t>
      </w:r>
      <w:r w:rsidRPr="002C5E6C">
        <w:rPr>
          <w:rFonts w:cs="Arial"/>
        </w:rPr>
        <w:t xml:space="preserve"> minimisation of the original reported concerns and escalating risks. The Panel</w:t>
      </w:r>
      <w:r w:rsidR="004476B0">
        <w:rPr>
          <w:rFonts w:cs="Arial"/>
        </w:rPr>
        <w:t>s</w:t>
      </w:r>
      <w:r w:rsidRPr="002C5E6C">
        <w:rPr>
          <w:rFonts w:cs="Arial"/>
        </w:rPr>
        <w:t xml:space="preserve"> encouraged the department to</w:t>
      </w:r>
      <w:r w:rsidR="00993078">
        <w:rPr>
          <w:rFonts w:cs="Arial"/>
        </w:rPr>
        <w:t xml:space="preserve"> continue</w:t>
      </w:r>
      <w:r w:rsidRPr="002C5E6C">
        <w:rPr>
          <w:rFonts w:cs="Arial"/>
        </w:rPr>
        <w:t xml:space="preserve"> </w:t>
      </w:r>
      <w:r w:rsidR="00A101CE">
        <w:rPr>
          <w:rFonts w:cs="Arial"/>
        </w:rPr>
        <w:t>improv</w:t>
      </w:r>
      <w:r w:rsidR="00993078">
        <w:rPr>
          <w:rFonts w:cs="Arial"/>
        </w:rPr>
        <w:t>ing</w:t>
      </w:r>
      <w:r w:rsidR="00A101CE">
        <w:rPr>
          <w:rFonts w:cs="Arial"/>
        </w:rPr>
        <w:t xml:space="preserve"> the</w:t>
      </w:r>
      <w:r w:rsidRPr="002C5E6C">
        <w:rPr>
          <w:rFonts w:cs="Arial"/>
        </w:rPr>
        <w:t xml:space="preserve"> monitoring and triaging of unallocated Investigation and Assessments</w:t>
      </w:r>
      <w:r w:rsidR="000933C0">
        <w:rPr>
          <w:rFonts w:cs="Arial"/>
        </w:rPr>
        <w:t>,</w:t>
      </w:r>
      <w:r w:rsidR="00C242E2">
        <w:rPr>
          <w:rFonts w:cs="Arial"/>
        </w:rPr>
        <w:t xml:space="preserve"> and those not commenced within the allocated response priority timeframes</w:t>
      </w:r>
      <w:r w:rsidR="000933C0">
        <w:rPr>
          <w:rFonts w:cs="Arial"/>
        </w:rPr>
        <w:t>, with a view to looking at</w:t>
      </w:r>
      <w:r w:rsidRPr="002C5E6C">
        <w:rPr>
          <w:rFonts w:cs="Arial"/>
        </w:rPr>
        <w:t xml:space="preserve"> escalati</w:t>
      </w:r>
      <w:r w:rsidR="004476B0">
        <w:rPr>
          <w:rFonts w:cs="Arial"/>
        </w:rPr>
        <w:t>on triggers, regional oversight</w:t>
      </w:r>
      <w:r w:rsidRPr="002C5E6C">
        <w:rPr>
          <w:rFonts w:cs="Arial"/>
        </w:rPr>
        <w:t xml:space="preserve"> and priority distribution of resources to manage worklo</w:t>
      </w:r>
      <w:r w:rsidR="00D52619">
        <w:rPr>
          <w:rFonts w:cs="Arial"/>
        </w:rPr>
        <w:t>ad backlogs.</w:t>
      </w:r>
      <w:r>
        <w:rPr>
          <w:rFonts w:cs="Arial"/>
        </w:rPr>
        <w:t xml:space="preserve"> </w:t>
      </w:r>
    </w:p>
    <w:p w:rsidR="00394098" w:rsidRPr="00394098" w:rsidRDefault="00394098" w:rsidP="00DD5024">
      <w:pPr>
        <w:keepNext/>
        <w:spacing w:before="240"/>
        <w:jc w:val="both"/>
        <w:rPr>
          <w:rFonts w:cs="Arial"/>
          <w:b/>
        </w:rPr>
      </w:pPr>
      <w:r w:rsidRPr="00394098">
        <w:rPr>
          <w:rFonts w:cs="Arial"/>
          <w:b/>
        </w:rPr>
        <w:lastRenderedPageBreak/>
        <w:t>Workload demands and staff fatigue</w:t>
      </w:r>
    </w:p>
    <w:p w:rsidR="00394098" w:rsidRDefault="00394098" w:rsidP="00DD5024">
      <w:pPr>
        <w:keepNext/>
        <w:jc w:val="both"/>
        <w:rPr>
          <w:rFonts w:cs="Arial"/>
        </w:rPr>
      </w:pPr>
      <w:r w:rsidRPr="00394098">
        <w:rPr>
          <w:rFonts w:cs="Arial"/>
        </w:rPr>
        <w:t>The Panel identified a need for mobile units of experienced practitioners to be deployed to regions experiencing periods of unplanned staff absences, complex caseloads, workload management concerns, and other performance related issues. The Panel considered that such units could assist in the management of backlogs, provide backfill relief, and offer practice advice and casework support.</w:t>
      </w:r>
    </w:p>
    <w:p w:rsidR="00A2475D" w:rsidRPr="00F125D4" w:rsidRDefault="00A2475D" w:rsidP="00DD5024">
      <w:pPr>
        <w:pStyle w:val="Heading2"/>
        <w:spacing w:before="240"/>
        <w:jc w:val="both"/>
        <w:rPr>
          <w:sz w:val="28"/>
        </w:rPr>
      </w:pPr>
      <w:bookmarkStart w:id="82" w:name="_Toc524517385"/>
      <w:r w:rsidRPr="00F125D4">
        <w:rPr>
          <w:sz w:val="28"/>
        </w:rPr>
        <w:t>Future of Panels</w:t>
      </w:r>
      <w:bookmarkEnd w:id="82"/>
    </w:p>
    <w:p w:rsidR="00775C8A" w:rsidRDefault="00775C8A" w:rsidP="00DD5024">
      <w:pPr>
        <w:jc w:val="both"/>
        <w:rPr>
          <w:rFonts w:cs="Arial"/>
        </w:rPr>
      </w:pPr>
      <w:r w:rsidRPr="002C5E6C">
        <w:rPr>
          <w:rFonts w:cs="Arial"/>
        </w:rPr>
        <w:t>Under</w:t>
      </w:r>
      <w:r w:rsidRPr="00775C8A">
        <w:rPr>
          <w:rFonts w:cs="Arial"/>
        </w:rPr>
        <w:t xml:space="preserve"> the </w:t>
      </w:r>
      <w:r>
        <w:rPr>
          <w:rFonts w:cs="Arial"/>
        </w:rPr>
        <w:t>Q</w:t>
      </w:r>
      <w:r w:rsidR="004476B0">
        <w:rPr>
          <w:rFonts w:cs="Arial"/>
        </w:rPr>
        <w:t xml:space="preserve">ueensland </w:t>
      </w:r>
      <w:r>
        <w:rPr>
          <w:rFonts w:cs="Arial"/>
        </w:rPr>
        <w:t>F</w:t>
      </w:r>
      <w:r w:rsidR="004476B0">
        <w:rPr>
          <w:rFonts w:cs="Arial"/>
        </w:rPr>
        <w:t xml:space="preserve">amily and </w:t>
      </w:r>
      <w:r>
        <w:rPr>
          <w:rFonts w:cs="Arial"/>
        </w:rPr>
        <w:t>C</w:t>
      </w:r>
      <w:r w:rsidR="004476B0">
        <w:rPr>
          <w:rFonts w:cs="Arial"/>
        </w:rPr>
        <w:t xml:space="preserve">hild </w:t>
      </w:r>
      <w:r>
        <w:rPr>
          <w:rFonts w:cs="Arial"/>
        </w:rPr>
        <w:t>C</w:t>
      </w:r>
      <w:r w:rsidR="004476B0">
        <w:rPr>
          <w:rFonts w:cs="Arial"/>
        </w:rPr>
        <w:t>ommission</w:t>
      </w:r>
      <w:r w:rsidRPr="00775C8A">
        <w:rPr>
          <w:rFonts w:cs="Arial"/>
        </w:rPr>
        <w:t xml:space="preserve"> oversight provisions, as set out under the</w:t>
      </w:r>
      <w:r>
        <w:rPr>
          <w:rFonts w:cs="Arial"/>
        </w:rPr>
        <w:t xml:space="preserve"> </w:t>
      </w:r>
      <w:r w:rsidRPr="004476B0">
        <w:rPr>
          <w:rFonts w:cs="Arial"/>
          <w:i/>
        </w:rPr>
        <w:t>Family and Child Commission Act 2014</w:t>
      </w:r>
      <w:r w:rsidRPr="00775C8A">
        <w:rPr>
          <w:rFonts w:cs="Arial"/>
        </w:rPr>
        <w:t>, independent consideration was undertaken of the reviews</w:t>
      </w:r>
      <w:r>
        <w:rPr>
          <w:rFonts w:cs="Arial"/>
        </w:rPr>
        <w:t xml:space="preserve"> </w:t>
      </w:r>
      <w:r w:rsidRPr="00775C8A">
        <w:rPr>
          <w:rFonts w:cs="Arial"/>
        </w:rPr>
        <w:t>conducted by the</w:t>
      </w:r>
      <w:r>
        <w:rPr>
          <w:rFonts w:cs="Arial"/>
        </w:rPr>
        <w:t xml:space="preserve"> department, the Child Death Case Review Panel</w:t>
      </w:r>
      <w:r w:rsidRPr="00775C8A">
        <w:rPr>
          <w:rFonts w:cs="Arial"/>
        </w:rPr>
        <w:t xml:space="preserve"> and Queensland Health into the death</w:t>
      </w:r>
      <w:r>
        <w:rPr>
          <w:rFonts w:cs="Arial"/>
        </w:rPr>
        <w:t xml:space="preserve"> </w:t>
      </w:r>
      <w:r w:rsidRPr="00775C8A">
        <w:rPr>
          <w:rFonts w:cs="Arial"/>
        </w:rPr>
        <w:t xml:space="preserve">of Mason Lee. </w:t>
      </w:r>
      <w:r>
        <w:rPr>
          <w:rFonts w:cs="Arial"/>
        </w:rPr>
        <w:t>In 2017</w:t>
      </w:r>
      <w:r w:rsidR="00FB7625">
        <w:rPr>
          <w:rFonts w:cs="Arial"/>
        </w:rPr>
        <w:t>,</w:t>
      </w:r>
      <w:r>
        <w:rPr>
          <w:rFonts w:cs="Arial"/>
        </w:rPr>
        <w:t xml:space="preserve"> the Q</w:t>
      </w:r>
      <w:r w:rsidR="004476B0">
        <w:rPr>
          <w:rFonts w:cs="Arial"/>
        </w:rPr>
        <w:t xml:space="preserve">ueensland Family and </w:t>
      </w:r>
      <w:r>
        <w:rPr>
          <w:rFonts w:cs="Arial"/>
        </w:rPr>
        <w:t>C</w:t>
      </w:r>
      <w:r w:rsidR="004476B0">
        <w:rPr>
          <w:rFonts w:cs="Arial"/>
        </w:rPr>
        <w:t xml:space="preserve">hild </w:t>
      </w:r>
      <w:r>
        <w:rPr>
          <w:rFonts w:cs="Arial"/>
        </w:rPr>
        <w:t>C</w:t>
      </w:r>
      <w:r w:rsidR="004476B0">
        <w:rPr>
          <w:rFonts w:cs="Arial"/>
        </w:rPr>
        <w:t>ommission</w:t>
      </w:r>
      <w:r>
        <w:rPr>
          <w:rFonts w:cs="Arial"/>
        </w:rPr>
        <w:t xml:space="preserve"> published a review report: “</w:t>
      </w:r>
      <w:r w:rsidRPr="002C5E6C">
        <w:rPr>
          <w:rFonts w:cs="Arial"/>
          <w:i/>
        </w:rPr>
        <w:t>A systems review of individual agency findings following the death of a child</w:t>
      </w:r>
      <w:r w:rsidRPr="002C5E6C">
        <w:rPr>
          <w:rFonts w:cs="Arial"/>
        </w:rPr>
        <w:t>”</w:t>
      </w:r>
      <w:r w:rsidRPr="006F5844">
        <w:rPr>
          <w:rFonts w:cs="Arial"/>
        </w:rPr>
        <w:t>.</w:t>
      </w:r>
    </w:p>
    <w:p w:rsidR="00775C8A" w:rsidRPr="00FB7625" w:rsidRDefault="00775C8A" w:rsidP="00DD5024">
      <w:pPr>
        <w:jc w:val="both"/>
      </w:pPr>
      <w:r w:rsidRPr="00FB7625">
        <w:t>The review focused on whether the internal and external review processes were robust and appropriately identified systemic issues within Queensland Health and the department. The Q</w:t>
      </w:r>
      <w:r w:rsidR="004476B0">
        <w:t xml:space="preserve">ueensland </w:t>
      </w:r>
      <w:r w:rsidRPr="00FB7625">
        <w:t>F</w:t>
      </w:r>
      <w:r w:rsidR="004476B0">
        <w:t xml:space="preserve">amily and </w:t>
      </w:r>
      <w:r w:rsidRPr="00FB7625">
        <w:t>C</w:t>
      </w:r>
      <w:r w:rsidR="004476B0">
        <w:t xml:space="preserve">hild </w:t>
      </w:r>
      <w:r w:rsidRPr="00FB7625">
        <w:t>C</w:t>
      </w:r>
      <w:r w:rsidR="004476B0">
        <w:t>ommission</w:t>
      </w:r>
      <w:r w:rsidRPr="00FB7625">
        <w:t xml:space="preserve"> found the reviews undertaken by Child Safety Services, Queensland Health and the Child Death Case Review Panel in the Mason Lee case were timely and thorough.</w:t>
      </w:r>
    </w:p>
    <w:p w:rsidR="00775C8A" w:rsidRPr="00FB7625" w:rsidRDefault="00775C8A" w:rsidP="00DD5024">
      <w:pPr>
        <w:jc w:val="both"/>
      </w:pPr>
      <w:r w:rsidRPr="00FB7625">
        <w:t>One overarching recommendation was made</w:t>
      </w:r>
      <w:r w:rsidR="00FB7625">
        <w:t>,</w:t>
      </w:r>
      <w:r w:rsidRPr="00FB7625">
        <w:t xml:space="preserve"> that the Queensland Government redesign the independent model through which the deaths of children and young people known to the child protection system are considered to promote a shared responsibility and accountability between the agencies involved in providing services for the child who has died.</w:t>
      </w:r>
    </w:p>
    <w:p w:rsidR="00A2475D" w:rsidRPr="00FB7625" w:rsidRDefault="00A2475D" w:rsidP="00DD5024">
      <w:pPr>
        <w:jc w:val="both"/>
      </w:pPr>
      <w:r w:rsidRPr="00FB7625">
        <w:t>The review recommended</w:t>
      </w:r>
      <w:r w:rsidR="008F0B83" w:rsidRPr="00FB7625">
        <w:t xml:space="preserve"> in part</w:t>
      </w:r>
      <w:r w:rsidRPr="00FB7625">
        <w:t>:</w:t>
      </w:r>
    </w:p>
    <w:p w:rsidR="00A2475D" w:rsidRDefault="00A2475D" w:rsidP="00DD5024">
      <w:pPr>
        <w:tabs>
          <w:tab w:val="right" w:pos="9180"/>
        </w:tabs>
        <w:ind w:left="630" w:right="548"/>
        <w:jc w:val="both"/>
        <w:rPr>
          <w:rFonts w:cs="Arial"/>
          <w:i/>
          <w:iCs/>
        </w:rPr>
      </w:pPr>
      <w:r>
        <w:rPr>
          <w:rFonts w:cs="Arial"/>
          <w:i/>
          <w:iCs/>
        </w:rPr>
        <w:t>That the Queensland government considers a revised external and independent model for reviewing the deaths of children ‘known to the child protection system’.</w:t>
      </w:r>
    </w:p>
    <w:p w:rsidR="00A2475D" w:rsidRDefault="00A2475D" w:rsidP="00DD5024">
      <w:pPr>
        <w:tabs>
          <w:tab w:val="right" w:pos="9180"/>
        </w:tabs>
        <w:ind w:left="630" w:right="548"/>
        <w:jc w:val="both"/>
        <w:rPr>
          <w:rFonts w:cs="Arial"/>
          <w:i/>
          <w:iCs/>
        </w:rPr>
      </w:pPr>
      <w:r>
        <w:rPr>
          <w:rFonts w:cs="Arial"/>
          <w:i/>
          <w:iCs/>
        </w:rPr>
        <w:t>Amendments will be required to the Child Protection Act 1999 to transfer responsibility for the child death case review panel to an independent government agency.</w:t>
      </w:r>
    </w:p>
    <w:p w:rsidR="008F0B83" w:rsidRDefault="008F0B83" w:rsidP="00DD5024">
      <w:pPr>
        <w:tabs>
          <w:tab w:val="right" w:pos="9180"/>
        </w:tabs>
        <w:ind w:left="630" w:right="548"/>
        <w:jc w:val="both"/>
        <w:rPr>
          <w:rFonts w:cs="Arial"/>
          <w:i/>
          <w:iCs/>
        </w:rPr>
      </w:pPr>
      <w:r>
        <w:rPr>
          <w:rFonts w:cs="Arial"/>
          <w:i/>
          <w:iCs/>
        </w:rPr>
        <w:t>Legislation will be required to compel nominated agencies who have provided service delivery to the child to undertake an internal review.</w:t>
      </w:r>
    </w:p>
    <w:p w:rsidR="00423CD9" w:rsidRDefault="00423CD9" w:rsidP="00DD5024">
      <w:pPr>
        <w:jc w:val="both"/>
        <w:rPr>
          <w:rFonts w:cs="Arial"/>
        </w:rPr>
      </w:pPr>
      <w:r w:rsidRPr="00423CD9">
        <w:rPr>
          <w:rFonts w:cs="Arial"/>
        </w:rPr>
        <w:t>The Government is currently considering how best to establish a revised external and independent child death review model having regard to the recommendation and other reports which have recommended oversight bodies for vulnerable children and young people.</w:t>
      </w:r>
    </w:p>
    <w:p w:rsidR="00423CD9" w:rsidRDefault="00423CD9" w:rsidP="00DD5024">
      <w:pPr>
        <w:jc w:val="both"/>
        <w:rPr>
          <w:rFonts w:cs="Arial"/>
        </w:rPr>
      </w:pPr>
    </w:p>
    <w:p w:rsidR="00423CD9" w:rsidRDefault="00423CD9" w:rsidP="00DD5024">
      <w:pPr>
        <w:jc w:val="both"/>
        <w:rPr>
          <w:rFonts w:cs="Arial"/>
        </w:rPr>
        <w:sectPr w:rsidR="00423CD9" w:rsidSect="00591B31">
          <w:pgSz w:w="11906" w:h="16838" w:code="9"/>
          <w:pgMar w:top="2098" w:right="1418" w:bottom="1418" w:left="1418" w:header="426" w:footer="450" w:gutter="0"/>
          <w:cols w:space="708"/>
          <w:titlePg/>
          <w:docGrid w:linePitch="360"/>
        </w:sectPr>
      </w:pPr>
    </w:p>
    <w:p w:rsidR="00FB7625" w:rsidRDefault="008E5EAA" w:rsidP="00DD5024">
      <w:pPr>
        <w:pStyle w:val="Heading1"/>
        <w:spacing w:before="480"/>
        <w:jc w:val="both"/>
      </w:pPr>
      <w:bookmarkStart w:id="83" w:name="_Toc524517386"/>
      <w:bookmarkStart w:id="84" w:name="_Toc424043225"/>
      <w:bookmarkStart w:id="85" w:name="_Toc424043312"/>
      <w:bookmarkEnd w:id="77"/>
      <w:bookmarkEnd w:id="78"/>
      <w:r w:rsidRPr="0073301E">
        <w:lastRenderedPageBreak/>
        <w:t>Chapter 4</w:t>
      </w:r>
      <w:bookmarkStart w:id="86" w:name="_Toc463343799"/>
      <w:bookmarkStart w:id="87" w:name="_Toc461524895"/>
      <w:bookmarkEnd w:id="83"/>
    </w:p>
    <w:p w:rsidR="002E06E6" w:rsidRPr="00547A7F" w:rsidRDefault="00D862CF" w:rsidP="00DD5024">
      <w:pPr>
        <w:pStyle w:val="Heading1"/>
        <w:spacing w:before="480"/>
        <w:jc w:val="both"/>
      </w:pPr>
      <w:bookmarkStart w:id="88" w:name="_Toc524517387"/>
      <w:r>
        <w:t>Actions taken</w:t>
      </w:r>
      <w:r w:rsidR="002E06E6" w:rsidRPr="00547A7F">
        <w:t xml:space="preserve"> in 201</w:t>
      </w:r>
      <w:bookmarkEnd w:id="86"/>
      <w:r w:rsidR="00984071">
        <w:t>7</w:t>
      </w:r>
      <w:r w:rsidR="004A579D">
        <w:t>-1</w:t>
      </w:r>
      <w:r w:rsidR="00984071">
        <w:t>8</w:t>
      </w:r>
      <w:bookmarkEnd w:id="88"/>
    </w:p>
    <w:p w:rsidR="00C66B20" w:rsidRDefault="00C66B20" w:rsidP="00DD5024">
      <w:pPr>
        <w:autoSpaceDE w:val="0"/>
        <w:autoSpaceDN w:val="0"/>
        <w:adjustRightInd w:val="0"/>
        <w:jc w:val="both"/>
        <w:rPr>
          <w:rFonts w:cs="Arial"/>
          <w:bCs/>
          <w:iCs/>
        </w:rPr>
      </w:pPr>
      <w:bookmarkStart w:id="89" w:name="_Toc462840904"/>
      <w:bookmarkStart w:id="90" w:name="_Toc462905061"/>
      <w:bookmarkStart w:id="91" w:name="_Toc462998188"/>
      <w:bookmarkStart w:id="92" w:name="_Toc463008552"/>
      <w:bookmarkStart w:id="93" w:name="_Toc463343800"/>
      <w:r w:rsidRPr="00C66B20">
        <w:rPr>
          <w:rFonts w:cs="Arial"/>
          <w:bCs/>
          <w:iCs/>
        </w:rPr>
        <w:t xml:space="preserve">The department </w:t>
      </w:r>
      <w:r w:rsidR="00ED4556">
        <w:rPr>
          <w:rFonts w:cs="Arial"/>
          <w:bCs/>
          <w:iCs/>
        </w:rPr>
        <w:t>appreciates</w:t>
      </w:r>
      <w:r w:rsidRPr="00C66B20">
        <w:rPr>
          <w:rFonts w:cs="Arial"/>
          <w:bCs/>
          <w:iCs/>
        </w:rPr>
        <w:t xml:space="preserve"> the</w:t>
      </w:r>
      <w:r w:rsidR="00ED4556">
        <w:rPr>
          <w:rFonts w:cs="Arial"/>
          <w:bCs/>
          <w:iCs/>
        </w:rPr>
        <w:t xml:space="preserve"> depth and breadth of</w:t>
      </w:r>
      <w:r w:rsidRPr="00C66B20">
        <w:rPr>
          <w:rFonts w:cs="Arial"/>
          <w:bCs/>
          <w:iCs/>
        </w:rPr>
        <w:t xml:space="preserve"> expertise of panel members and the insights</w:t>
      </w:r>
      <w:r>
        <w:rPr>
          <w:rFonts w:cs="Arial"/>
          <w:bCs/>
          <w:iCs/>
        </w:rPr>
        <w:t xml:space="preserve"> they have provided in</w:t>
      </w:r>
      <w:r w:rsidRPr="00C66B20">
        <w:rPr>
          <w:rFonts w:cs="Arial"/>
          <w:bCs/>
          <w:iCs/>
        </w:rPr>
        <w:t>to the department’s service delivery to children and families.</w:t>
      </w:r>
      <w:r w:rsidR="00BE6509">
        <w:rPr>
          <w:rFonts w:cs="Arial"/>
          <w:bCs/>
          <w:iCs/>
        </w:rPr>
        <w:t xml:space="preserve"> The department is committed to ongoing learning and improvement in </w:t>
      </w:r>
      <w:r w:rsidR="00577240">
        <w:rPr>
          <w:rFonts w:cs="Arial"/>
          <w:bCs/>
          <w:iCs/>
        </w:rPr>
        <w:t xml:space="preserve">systems and </w:t>
      </w:r>
      <w:r w:rsidR="00BE6509">
        <w:rPr>
          <w:rFonts w:cs="Arial"/>
          <w:bCs/>
          <w:iCs/>
        </w:rPr>
        <w:t xml:space="preserve">practice and </w:t>
      </w:r>
      <w:r w:rsidR="00ED4556">
        <w:rPr>
          <w:rFonts w:cs="Arial"/>
          <w:bCs/>
          <w:iCs/>
        </w:rPr>
        <w:t xml:space="preserve">feedback from panels forms a key part of </w:t>
      </w:r>
      <w:r w:rsidR="003254D0">
        <w:rPr>
          <w:rFonts w:cs="Arial"/>
          <w:bCs/>
          <w:iCs/>
        </w:rPr>
        <w:t>the continuous quality improvement process.</w:t>
      </w:r>
    </w:p>
    <w:p w:rsidR="002E06E6" w:rsidRPr="009363D9" w:rsidRDefault="002E06E6" w:rsidP="00DD5024">
      <w:pPr>
        <w:autoSpaceDE w:val="0"/>
        <w:autoSpaceDN w:val="0"/>
        <w:adjustRightInd w:val="0"/>
        <w:jc w:val="both"/>
        <w:rPr>
          <w:rFonts w:cs="Arial"/>
          <w:bCs/>
          <w:iCs/>
        </w:rPr>
      </w:pPr>
      <w:r>
        <w:rPr>
          <w:rFonts w:cs="Arial"/>
          <w:bCs/>
          <w:iCs/>
        </w:rPr>
        <w:t>Chapter 4</w:t>
      </w:r>
      <w:r w:rsidRPr="009363D9">
        <w:rPr>
          <w:rFonts w:cs="Arial"/>
          <w:bCs/>
          <w:iCs/>
        </w:rPr>
        <w:t xml:space="preserve"> provides </w:t>
      </w:r>
      <w:r w:rsidR="00510AA2">
        <w:rPr>
          <w:rFonts w:cs="Arial"/>
          <w:bCs/>
          <w:iCs/>
        </w:rPr>
        <w:t>a summary of actions taken by the</w:t>
      </w:r>
      <w:r w:rsidRPr="009363D9">
        <w:rPr>
          <w:rFonts w:cs="Arial"/>
          <w:bCs/>
          <w:iCs/>
        </w:rPr>
        <w:t xml:space="preserve"> department</w:t>
      </w:r>
      <w:r w:rsidR="00510AA2">
        <w:rPr>
          <w:rFonts w:cs="Arial"/>
          <w:bCs/>
          <w:iCs/>
        </w:rPr>
        <w:t xml:space="preserve"> in response to </w:t>
      </w:r>
      <w:r w:rsidR="00EF3FE0">
        <w:rPr>
          <w:rFonts w:cs="Arial"/>
          <w:bCs/>
          <w:iCs/>
        </w:rPr>
        <w:t xml:space="preserve">the </w:t>
      </w:r>
      <w:r w:rsidR="002822BF">
        <w:rPr>
          <w:rFonts w:cs="Arial"/>
        </w:rPr>
        <w:t>key</w:t>
      </w:r>
      <w:r w:rsidR="00EF3FE0" w:rsidRPr="002C5E6C">
        <w:rPr>
          <w:rFonts w:cs="Arial"/>
        </w:rPr>
        <w:t xml:space="preserve"> </w:t>
      </w:r>
      <w:r w:rsidR="00C66B20">
        <w:rPr>
          <w:rFonts w:cs="Arial"/>
        </w:rPr>
        <w:t xml:space="preserve">areas derived from the findings and recommendations of the </w:t>
      </w:r>
      <w:r w:rsidR="00C66B20">
        <w:rPr>
          <w:rFonts w:cs="Arial"/>
          <w:bCs/>
          <w:iCs/>
        </w:rPr>
        <w:t>Panels detailed</w:t>
      </w:r>
      <w:r w:rsidR="00EF3FE0">
        <w:rPr>
          <w:rFonts w:cs="Arial"/>
          <w:bCs/>
          <w:iCs/>
        </w:rPr>
        <w:t xml:space="preserve"> in Chapter 3</w:t>
      </w:r>
      <w:r w:rsidRPr="009363D9">
        <w:rPr>
          <w:rFonts w:cs="Arial"/>
          <w:bCs/>
          <w:iCs/>
        </w:rPr>
        <w:t>.</w:t>
      </w:r>
      <w:bookmarkEnd w:id="89"/>
      <w:bookmarkEnd w:id="90"/>
      <w:bookmarkEnd w:id="91"/>
      <w:bookmarkEnd w:id="92"/>
      <w:bookmarkEnd w:id="93"/>
    </w:p>
    <w:p w:rsidR="002E06E6" w:rsidRPr="001133D1" w:rsidRDefault="00EF3FE0" w:rsidP="00DD5024">
      <w:pPr>
        <w:pStyle w:val="Heading2"/>
        <w:spacing w:before="240"/>
        <w:jc w:val="both"/>
        <w:rPr>
          <w:sz w:val="28"/>
        </w:rPr>
      </w:pPr>
      <w:bookmarkStart w:id="94" w:name="_Toc524517388"/>
      <w:bookmarkEnd w:id="87"/>
      <w:r w:rsidRPr="00EF3FE0">
        <w:rPr>
          <w:sz w:val="28"/>
        </w:rPr>
        <w:t xml:space="preserve">Engagement with </w:t>
      </w:r>
      <w:r w:rsidR="00180C4B">
        <w:rPr>
          <w:sz w:val="28"/>
        </w:rPr>
        <w:t>health providers</w:t>
      </w:r>
      <w:bookmarkEnd w:id="94"/>
      <w:r>
        <w:rPr>
          <w:sz w:val="28"/>
        </w:rPr>
        <w:t xml:space="preserve"> </w:t>
      </w:r>
    </w:p>
    <w:p w:rsidR="00180C4B" w:rsidRPr="00180C4B" w:rsidRDefault="00180C4B" w:rsidP="00DD5024">
      <w:pPr>
        <w:autoSpaceDE w:val="0"/>
        <w:autoSpaceDN w:val="0"/>
        <w:adjustRightInd w:val="0"/>
        <w:spacing w:before="120" w:after="60"/>
        <w:jc w:val="both"/>
        <w:rPr>
          <w:rFonts w:cs="Arial"/>
          <w:bCs/>
          <w:iCs/>
        </w:rPr>
      </w:pPr>
      <w:r w:rsidRPr="00180C4B">
        <w:rPr>
          <w:rFonts w:cs="Arial"/>
          <w:bCs/>
          <w:iCs/>
        </w:rPr>
        <w:t xml:space="preserve">The </w:t>
      </w:r>
      <w:r w:rsidR="002822BF">
        <w:rPr>
          <w:rFonts w:cs="Arial"/>
          <w:bCs/>
          <w:iCs/>
        </w:rPr>
        <w:t>department has placed</w:t>
      </w:r>
      <w:r w:rsidRPr="00180C4B">
        <w:rPr>
          <w:rFonts w:cs="Arial"/>
          <w:bCs/>
          <w:iCs/>
        </w:rPr>
        <w:t xml:space="preserve"> 12 Child Safety Officers </w:t>
      </w:r>
      <w:r w:rsidR="00D97E00">
        <w:rPr>
          <w:rFonts w:cs="Arial"/>
          <w:bCs/>
          <w:iCs/>
        </w:rPr>
        <w:t xml:space="preserve">to work with and </w:t>
      </w:r>
      <w:r w:rsidRPr="00180C4B">
        <w:rPr>
          <w:rFonts w:cs="Arial"/>
          <w:bCs/>
          <w:iCs/>
        </w:rPr>
        <w:t>a</w:t>
      </w:r>
      <w:r w:rsidR="00A452FD">
        <w:rPr>
          <w:rFonts w:cs="Arial"/>
          <w:bCs/>
          <w:iCs/>
        </w:rPr>
        <w:t>cross</w:t>
      </w:r>
      <w:r w:rsidRPr="00180C4B">
        <w:rPr>
          <w:rFonts w:cs="Arial"/>
          <w:bCs/>
          <w:iCs/>
        </w:rPr>
        <w:t xml:space="preserve"> Queensland hospitals </w:t>
      </w:r>
      <w:r w:rsidR="00D97E00">
        <w:rPr>
          <w:rFonts w:cs="Arial"/>
          <w:bCs/>
          <w:iCs/>
        </w:rPr>
        <w:t xml:space="preserve">and health services.  Their </w:t>
      </w:r>
      <w:r w:rsidRPr="00180C4B">
        <w:rPr>
          <w:rFonts w:cs="Arial"/>
          <w:bCs/>
          <w:iCs/>
        </w:rPr>
        <w:t xml:space="preserve">function is to assist with issues of interagency communication and collaboration. </w:t>
      </w:r>
      <w:r w:rsidR="002822BF" w:rsidRPr="00180C4B">
        <w:rPr>
          <w:rFonts w:cs="Arial"/>
          <w:bCs/>
          <w:iCs/>
        </w:rPr>
        <w:t xml:space="preserve">The </w:t>
      </w:r>
      <w:r w:rsidR="00F72634">
        <w:rPr>
          <w:rFonts w:cs="Arial"/>
          <w:bCs/>
          <w:iCs/>
        </w:rPr>
        <w:t>Child Safety Officers – Hospital Liaison</w:t>
      </w:r>
      <w:r w:rsidR="002822BF" w:rsidRPr="00180C4B">
        <w:rPr>
          <w:rFonts w:cs="Arial"/>
          <w:bCs/>
          <w:iCs/>
        </w:rPr>
        <w:t xml:space="preserve"> play a key role in information sharing between the department and health providers. </w:t>
      </w:r>
      <w:r w:rsidRPr="00180C4B">
        <w:rPr>
          <w:rFonts w:cs="Arial"/>
          <w:bCs/>
          <w:iCs/>
        </w:rPr>
        <w:t>They are now successfully supporting staff and promoting the interface between</w:t>
      </w:r>
      <w:r w:rsidR="00A452FD">
        <w:rPr>
          <w:rFonts w:cs="Arial"/>
          <w:bCs/>
          <w:iCs/>
        </w:rPr>
        <w:t xml:space="preserve"> Queensland</w:t>
      </w:r>
      <w:r w:rsidRPr="00180C4B">
        <w:rPr>
          <w:rFonts w:cs="Arial"/>
          <w:bCs/>
          <w:iCs/>
        </w:rPr>
        <w:t xml:space="preserve"> Health and Child Safety </w:t>
      </w:r>
      <w:r w:rsidR="007C17C0">
        <w:rPr>
          <w:rFonts w:cs="Arial"/>
          <w:bCs/>
          <w:iCs/>
        </w:rPr>
        <w:t xml:space="preserve">with </w:t>
      </w:r>
      <w:r w:rsidR="00F72634">
        <w:rPr>
          <w:rFonts w:cs="Arial"/>
          <w:bCs/>
          <w:iCs/>
        </w:rPr>
        <w:t xml:space="preserve">improved </w:t>
      </w:r>
      <w:r w:rsidR="00D97E00">
        <w:rPr>
          <w:rFonts w:cs="Arial"/>
          <w:bCs/>
          <w:iCs/>
        </w:rPr>
        <w:t xml:space="preserve">responses and </w:t>
      </w:r>
      <w:r w:rsidR="00F72634">
        <w:rPr>
          <w:rFonts w:cs="Arial"/>
          <w:bCs/>
          <w:iCs/>
        </w:rPr>
        <w:t>service delivery to families</w:t>
      </w:r>
      <w:r w:rsidRPr="00180C4B">
        <w:rPr>
          <w:rFonts w:cs="Arial"/>
          <w:bCs/>
          <w:iCs/>
        </w:rPr>
        <w:t>.</w:t>
      </w:r>
    </w:p>
    <w:p w:rsidR="00180C4B" w:rsidRPr="00180C4B" w:rsidRDefault="00180C4B" w:rsidP="00DD5024">
      <w:pPr>
        <w:autoSpaceDE w:val="0"/>
        <w:autoSpaceDN w:val="0"/>
        <w:adjustRightInd w:val="0"/>
        <w:spacing w:before="120" w:after="60"/>
        <w:jc w:val="both"/>
        <w:rPr>
          <w:rFonts w:cs="Arial"/>
          <w:bCs/>
          <w:iCs/>
        </w:rPr>
      </w:pPr>
      <w:r w:rsidRPr="00180C4B">
        <w:rPr>
          <w:rFonts w:cs="Arial"/>
          <w:bCs/>
          <w:iCs/>
        </w:rPr>
        <w:t>In addition, increased staffing now improves the intersection of the health and</w:t>
      </w:r>
      <w:r w:rsidR="00C66B20">
        <w:rPr>
          <w:rFonts w:cs="Arial"/>
          <w:bCs/>
          <w:iCs/>
        </w:rPr>
        <w:t xml:space="preserve"> the secondary</w:t>
      </w:r>
      <w:r w:rsidRPr="00180C4B">
        <w:rPr>
          <w:rFonts w:cs="Arial"/>
          <w:bCs/>
          <w:iCs/>
        </w:rPr>
        <w:t xml:space="preserve"> </w:t>
      </w:r>
      <w:r w:rsidR="00D97E00">
        <w:rPr>
          <w:rFonts w:cs="Arial"/>
          <w:bCs/>
          <w:iCs/>
        </w:rPr>
        <w:t xml:space="preserve">family support </w:t>
      </w:r>
      <w:r w:rsidRPr="00180C4B">
        <w:rPr>
          <w:rFonts w:cs="Arial"/>
          <w:bCs/>
          <w:iCs/>
        </w:rPr>
        <w:t xml:space="preserve">system through the placement of </w:t>
      </w:r>
      <w:r w:rsidR="00F32517">
        <w:rPr>
          <w:rFonts w:cs="Arial"/>
          <w:bCs/>
          <w:iCs/>
        </w:rPr>
        <w:t>Clinical</w:t>
      </w:r>
      <w:r w:rsidRPr="00180C4B">
        <w:rPr>
          <w:rFonts w:cs="Arial"/>
          <w:bCs/>
          <w:iCs/>
        </w:rPr>
        <w:t xml:space="preserve"> Nurses in Family and Child Connect </w:t>
      </w:r>
      <w:r w:rsidR="00F32517">
        <w:rPr>
          <w:rFonts w:cs="Arial"/>
          <w:bCs/>
          <w:iCs/>
        </w:rPr>
        <w:t>catchments to work with families involved in Intensive Family Support and Aboriginal and Torres Strait Islander Wellbeing S</w:t>
      </w:r>
      <w:r w:rsidR="00C66B20">
        <w:rPr>
          <w:rFonts w:cs="Arial"/>
          <w:bCs/>
          <w:iCs/>
        </w:rPr>
        <w:t>ervices</w:t>
      </w:r>
      <w:r w:rsidRPr="00180C4B">
        <w:rPr>
          <w:rFonts w:cs="Arial"/>
          <w:bCs/>
          <w:iCs/>
        </w:rPr>
        <w:t>.</w:t>
      </w:r>
    </w:p>
    <w:p w:rsidR="00180C4B" w:rsidRPr="00180C4B" w:rsidRDefault="00180C4B" w:rsidP="00DD5024">
      <w:pPr>
        <w:autoSpaceDE w:val="0"/>
        <w:autoSpaceDN w:val="0"/>
        <w:adjustRightInd w:val="0"/>
        <w:spacing w:before="120" w:after="60"/>
        <w:jc w:val="both"/>
        <w:rPr>
          <w:rFonts w:cs="Arial"/>
          <w:bCs/>
          <w:iCs/>
        </w:rPr>
      </w:pPr>
      <w:r w:rsidRPr="00180C4B">
        <w:rPr>
          <w:rFonts w:cs="Arial"/>
          <w:bCs/>
          <w:iCs/>
        </w:rPr>
        <w:t>There are a number of other initiatives occurring that will positively impact information sharing with health providers:</w:t>
      </w:r>
    </w:p>
    <w:p w:rsidR="00F32517" w:rsidRPr="00F32517" w:rsidRDefault="00180C4B" w:rsidP="00F32517">
      <w:pPr>
        <w:numPr>
          <w:ilvl w:val="0"/>
          <w:numId w:val="2"/>
        </w:numPr>
        <w:jc w:val="both"/>
        <w:rPr>
          <w:iCs/>
        </w:rPr>
      </w:pPr>
      <w:r w:rsidRPr="00180C4B">
        <w:t xml:space="preserve">My Health Records – </w:t>
      </w:r>
      <w:r w:rsidR="00F32517" w:rsidRPr="00F32517">
        <w:rPr>
          <w:iCs/>
        </w:rPr>
        <w:t xml:space="preserve">In November 2018, the Federal Government’s national My Health Records system will transition to an </w:t>
      </w:r>
      <w:r w:rsidR="00F32517">
        <w:rPr>
          <w:iCs/>
        </w:rPr>
        <w:t>o</w:t>
      </w:r>
      <w:r w:rsidR="00F32517" w:rsidRPr="00F32517">
        <w:rPr>
          <w:iCs/>
        </w:rPr>
        <w:t>pt-out approach whereby G</w:t>
      </w:r>
      <w:r w:rsidR="00F32517">
        <w:rPr>
          <w:iCs/>
        </w:rPr>
        <w:t xml:space="preserve">eneral </w:t>
      </w:r>
      <w:r w:rsidR="00F32517" w:rsidRPr="00F32517">
        <w:rPr>
          <w:iCs/>
        </w:rPr>
        <w:t>P</w:t>
      </w:r>
      <w:r w:rsidR="00F32517">
        <w:rPr>
          <w:iCs/>
        </w:rPr>
        <w:t>ractitioner</w:t>
      </w:r>
      <w:r w:rsidR="00F32517" w:rsidRPr="00F32517">
        <w:rPr>
          <w:iCs/>
        </w:rPr>
        <w:t>s, medical professionals</w:t>
      </w:r>
      <w:r w:rsidR="00F32517">
        <w:rPr>
          <w:iCs/>
        </w:rPr>
        <w:t> </w:t>
      </w:r>
      <w:r w:rsidR="00F32517" w:rsidRPr="00F32517">
        <w:rPr>
          <w:iCs/>
        </w:rPr>
        <w:t xml:space="preserve">and departmental staff will be able to access the health information of children on Child Protection Orders where the </w:t>
      </w:r>
      <w:r w:rsidR="00A73B53">
        <w:rPr>
          <w:iCs/>
        </w:rPr>
        <w:t>c</w:t>
      </w:r>
      <w:r w:rsidR="00F32517" w:rsidRPr="00F32517">
        <w:rPr>
          <w:iCs/>
        </w:rPr>
        <w:t xml:space="preserve">hief </w:t>
      </w:r>
      <w:r w:rsidR="00A73B53">
        <w:rPr>
          <w:iCs/>
        </w:rPr>
        <w:t>e</w:t>
      </w:r>
      <w:r w:rsidR="00F32517" w:rsidRPr="00F32517">
        <w:rPr>
          <w:iCs/>
        </w:rPr>
        <w:t>xecutiv</w:t>
      </w:r>
      <w:r w:rsidR="00F32517">
        <w:rPr>
          <w:iCs/>
        </w:rPr>
        <w:t xml:space="preserve">e has custody and guardianship. </w:t>
      </w:r>
      <w:r w:rsidR="00F32517" w:rsidRPr="00F32517">
        <w:rPr>
          <w:iCs/>
        </w:rPr>
        <w:t>This will provide online access to immunisation, prescription, hospital discharge and other medical event information for children and young people in, or transitioning from care</w:t>
      </w:r>
      <w:r w:rsidR="00E00D9C">
        <w:rPr>
          <w:iCs/>
        </w:rPr>
        <w:t>, and their carers</w:t>
      </w:r>
      <w:r w:rsidR="00F32517" w:rsidRPr="00F32517">
        <w:rPr>
          <w:iCs/>
        </w:rPr>
        <w:t>.</w:t>
      </w:r>
    </w:p>
    <w:p w:rsidR="00180C4B" w:rsidRPr="00180C4B" w:rsidRDefault="00180C4B" w:rsidP="00DD5024">
      <w:pPr>
        <w:numPr>
          <w:ilvl w:val="0"/>
          <w:numId w:val="2"/>
        </w:numPr>
        <w:jc w:val="both"/>
      </w:pPr>
      <w:r w:rsidRPr="00180C4B">
        <w:t xml:space="preserve">The Health Assessment Model – </w:t>
      </w:r>
      <w:r w:rsidR="00F32517">
        <w:t>a new Digitised</w:t>
      </w:r>
      <w:r w:rsidRPr="00180C4B">
        <w:t xml:space="preserve"> Health Pathway</w:t>
      </w:r>
      <w:r w:rsidR="00F32517">
        <w:t xml:space="preserve"> has been developed to support health professionals to more effectively assess the physical and psychological health needs of</w:t>
      </w:r>
      <w:r w:rsidRPr="00180C4B">
        <w:t xml:space="preserve"> children </w:t>
      </w:r>
      <w:r w:rsidR="00F32517">
        <w:t xml:space="preserve">and young people </w:t>
      </w:r>
      <w:r w:rsidRPr="00180C4B">
        <w:t xml:space="preserve">in care. </w:t>
      </w:r>
      <w:r w:rsidR="00F32517">
        <w:t>Implementation will be supported by seven communities of practice and a training program for General Practitioners to assist in improving their understanding of the particular health needs of children and young people with a care experience</w:t>
      </w:r>
      <w:r w:rsidRPr="00180C4B">
        <w:t xml:space="preserve">. The new model </w:t>
      </w:r>
      <w:r w:rsidR="00F32517">
        <w:t>commenced</w:t>
      </w:r>
      <w:r w:rsidRPr="00180C4B">
        <w:t xml:space="preserve"> implement</w:t>
      </w:r>
      <w:r w:rsidR="00F32517">
        <w:t xml:space="preserve">ation with the Labrador </w:t>
      </w:r>
      <w:r w:rsidRPr="00180C4B">
        <w:t>Child Safety Service Centre</w:t>
      </w:r>
      <w:r w:rsidR="00F32517">
        <w:t xml:space="preserve"> and is being</w:t>
      </w:r>
      <w:r w:rsidR="00BD25A2">
        <w:t xml:space="preserve"> progressively rolled out state-</w:t>
      </w:r>
      <w:r w:rsidR="00F32517">
        <w:t>wide</w:t>
      </w:r>
      <w:r w:rsidRPr="00180C4B">
        <w:t xml:space="preserve">. </w:t>
      </w:r>
    </w:p>
    <w:p w:rsidR="00180C4B" w:rsidRPr="00180C4B" w:rsidRDefault="00180C4B" w:rsidP="00DD5024">
      <w:pPr>
        <w:autoSpaceDE w:val="0"/>
        <w:autoSpaceDN w:val="0"/>
        <w:adjustRightInd w:val="0"/>
        <w:spacing w:before="120" w:after="60"/>
        <w:jc w:val="both"/>
        <w:rPr>
          <w:rFonts w:cs="Arial"/>
          <w:bCs/>
          <w:iCs/>
        </w:rPr>
      </w:pPr>
      <w:r w:rsidRPr="00180C4B">
        <w:rPr>
          <w:rFonts w:cs="Arial"/>
          <w:bCs/>
          <w:iCs/>
        </w:rPr>
        <w:t xml:space="preserve">The legislative amendments to the </w:t>
      </w:r>
      <w:r w:rsidRPr="00C66B20">
        <w:rPr>
          <w:rFonts w:cs="Arial"/>
          <w:bCs/>
          <w:i/>
          <w:iCs/>
        </w:rPr>
        <w:t>Child Protection Act 1999</w:t>
      </w:r>
      <w:r w:rsidRPr="00180C4B">
        <w:rPr>
          <w:rFonts w:cs="Arial"/>
          <w:bCs/>
          <w:iCs/>
        </w:rPr>
        <w:t xml:space="preserve"> scheduled </w:t>
      </w:r>
      <w:r w:rsidR="00D97E00">
        <w:rPr>
          <w:rFonts w:cs="Arial"/>
          <w:bCs/>
          <w:iCs/>
        </w:rPr>
        <w:t>to commence</w:t>
      </w:r>
      <w:r w:rsidRPr="00180C4B">
        <w:rPr>
          <w:rFonts w:cs="Arial"/>
          <w:bCs/>
          <w:iCs/>
        </w:rPr>
        <w:t xml:space="preserve"> in </w:t>
      </w:r>
      <w:r w:rsidR="004548A1">
        <w:rPr>
          <w:rFonts w:cs="Arial"/>
          <w:bCs/>
          <w:iCs/>
        </w:rPr>
        <w:t xml:space="preserve">late </w:t>
      </w:r>
      <w:r w:rsidRPr="00180C4B">
        <w:rPr>
          <w:rFonts w:cs="Arial"/>
          <w:bCs/>
          <w:iCs/>
        </w:rPr>
        <w:t xml:space="preserve">2018 require the Department of Child Safety, Youth and Women to develop, publish and embed an Information Sharing Guideline to provide guidance to government agencies and specialist services, on when information should be shared and on the secure use, storage, retention and disposal of information. The Information Sharing Guide will provide a consistent </w:t>
      </w:r>
      <w:r w:rsidRPr="00180C4B">
        <w:rPr>
          <w:rFonts w:cs="Arial"/>
          <w:bCs/>
          <w:iCs/>
        </w:rPr>
        <w:lastRenderedPageBreak/>
        <w:t xml:space="preserve">state-wide approach to appropriate information sharing practice for government agencies and non-government organisations. </w:t>
      </w:r>
    </w:p>
    <w:p w:rsidR="00180C4B" w:rsidRPr="00180C4B" w:rsidRDefault="00180C4B" w:rsidP="00DD5024">
      <w:pPr>
        <w:autoSpaceDE w:val="0"/>
        <w:autoSpaceDN w:val="0"/>
        <w:adjustRightInd w:val="0"/>
        <w:spacing w:before="120" w:after="60"/>
        <w:jc w:val="both"/>
        <w:rPr>
          <w:rFonts w:cs="Arial"/>
          <w:bCs/>
          <w:iCs/>
        </w:rPr>
      </w:pPr>
      <w:r w:rsidRPr="00180C4B">
        <w:rPr>
          <w:rFonts w:cs="Arial"/>
          <w:bCs/>
          <w:iCs/>
        </w:rPr>
        <w:t>The Queensland Fam</w:t>
      </w:r>
      <w:r w:rsidR="001275F0">
        <w:rPr>
          <w:rFonts w:cs="Arial"/>
          <w:bCs/>
          <w:iCs/>
        </w:rPr>
        <w:t xml:space="preserve">ily and Child Commission </w:t>
      </w:r>
      <w:r w:rsidRPr="00180C4B">
        <w:rPr>
          <w:rFonts w:cs="Arial"/>
          <w:bCs/>
          <w:iCs/>
        </w:rPr>
        <w:t>has reviewed how the Suspected Child Abuse and Neglect (SCAN)</w:t>
      </w:r>
      <w:r w:rsidR="001275F0">
        <w:rPr>
          <w:rFonts w:cs="Arial"/>
          <w:bCs/>
          <w:iCs/>
        </w:rPr>
        <w:t xml:space="preserve"> system</w:t>
      </w:r>
      <w:r w:rsidRPr="00180C4B">
        <w:rPr>
          <w:rFonts w:cs="Arial"/>
          <w:bCs/>
          <w:iCs/>
        </w:rPr>
        <w:t xml:space="preserve"> should operate given the changes to the child protection system since its introduction in 1980. A key focus of the review was to consider whether the SCAN Team system remained a suitable model for multi-agency collaboration and response for Queensland in the contemporary child protection context.</w:t>
      </w:r>
    </w:p>
    <w:p w:rsidR="00180C4B" w:rsidRPr="00180C4B" w:rsidRDefault="00180C4B" w:rsidP="00DD5024">
      <w:pPr>
        <w:autoSpaceDE w:val="0"/>
        <w:autoSpaceDN w:val="0"/>
        <w:adjustRightInd w:val="0"/>
        <w:spacing w:before="120" w:after="60"/>
        <w:jc w:val="both"/>
        <w:rPr>
          <w:rFonts w:cs="Arial"/>
          <w:bCs/>
          <w:iCs/>
        </w:rPr>
      </w:pPr>
      <w:r w:rsidRPr="00180C4B">
        <w:rPr>
          <w:rFonts w:cs="Arial"/>
          <w:bCs/>
          <w:iCs/>
        </w:rPr>
        <w:t>The review commenced in 2017 with consultation with</w:t>
      </w:r>
      <w:r w:rsidR="002822BF">
        <w:rPr>
          <w:rFonts w:cs="Arial"/>
          <w:bCs/>
          <w:iCs/>
        </w:rPr>
        <w:t xml:space="preserve"> all key stakeholder agencies. </w:t>
      </w:r>
      <w:r w:rsidRPr="00180C4B">
        <w:rPr>
          <w:rFonts w:cs="Arial"/>
          <w:bCs/>
          <w:iCs/>
        </w:rPr>
        <w:t>Overall, the re</w:t>
      </w:r>
      <w:r w:rsidR="00993078">
        <w:rPr>
          <w:rFonts w:cs="Arial"/>
          <w:bCs/>
          <w:iCs/>
        </w:rPr>
        <w:t>view</w:t>
      </w:r>
      <w:r w:rsidRPr="00180C4B">
        <w:rPr>
          <w:rFonts w:cs="Arial"/>
          <w:bCs/>
          <w:iCs/>
        </w:rPr>
        <w:t xml:space="preserve"> found multi-agency collaboration and coordination remains an important and effective component of a system to address child protection, but that agencies must adapt to change</w:t>
      </w:r>
      <w:r w:rsidR="001275F0">
        <w:rPr>
          <w:rFonts w:cs="Arial"/>
          <w:bCs/>
          <w:iCs/>
        </w:rPr>
        <w:t>s</w:t>
      </w:r>
      <w:r w:rsidRPr="00180C4B">
        <w:rPr>
          <w:rFonts w:cs="Arial"/>
          <w:bCs/>
          <w:iCs/>
        </w:rPr>
        <w:t xml:space="preserve"> in how we share information and work together in response to government reforms and changes in policy and programs.</w:t>
      </w:r>
    </w:p>
    <w:p w:rsidR="00180C4B" w:rsidRDefault="00180C4B" w:rsidP="00DD5024">
      <w:pPr>
        <w:autoSpaceDE w:val="0"/>
        <w:autoSpaceDN w:val="0"/>
        <w:adjustRightInd w:val="0"/>
        <w:spacing w:before="120" w:after="60"/>
        <w:jc w:val="both"/>
        <w:rPr>
          <w:rFonts w:cs="Arial"/>
          <w:bCs/>
          <w:iCs/>
        </w:rPr>
      </w:pPr>
      <w:r w:rsidRPr="00180C4B">
        <w:rPr>
          <w:rFonts w:cs="Arial"/>
          <w:bCs/>
          <w:iCs/>
        </w:rPr>
        <w:t xml:space="preserve">Consultation has begun internally with regions </w:t>
      </w:r>
      <w:r w:rsidR="00D97E00">
        <w:rPr>
          <w:rFonts w:cs="Arial"/>
          <w:bCs/>
          <w:iCs/>
        </w:rPr>
        <w:t>on</w:t>
      </w:r>
      <w:r w:rsidRPr="00180C4B">
        <w:rPr>
          <w:rFonts w:cs="Arial"/>
          <w:bCs/>
          <w:iCs/>
        </w:rPr>
        <w:t xml:space="preserve"> key aspects of </w:t>
      </w:r>
      <w:r w:rsidR="00D97E00">
        <w:rPr>
          <w:rFonts w:cs="Arial"/>
          <w:bCs/>
          <w:iCs/>
        </w:rPr>
        <w:t xml:space="preserve">the </w:t>
      </w:r>
      <w:r w:rsidRPr="00180C4B">
        <w:rPr>
          <w:rFonts w:cs="Arial"/>
          <w:bCs/>
          <w:iCs/>
        </w:rPr>
        <w:t xml:space="preserve">proposed models. This will inform a revised SCAN model based on a multi-agency collaborative approach at a local level that is also focused on service delivery operations with children and families. Core member agencies will also be consulted on the principles and </w:t>
      </w:r>
      <w:r w:rsidR="00D97E00">
        <w:rPr>
          <w:rFonts w:cs="Arial"/>
          <w:bCs/>
          <w:iCs/>
        </w:rPr>
        <w:t>the</w:t>
      </w:r>
      <w:r w:rsidRPr="00180C4B">
        <w:rPr>
          <w:rFonts w:cs="Arial"/>
          <w:bCs/>
          <w:iCs/>
        </w:rPr>
        <w:t xml:space="preserve"> proposed way forward </w:t>
      </w:r>
      <w:r w:rsidR="00993078">
        <w:rPr>
          <w:rFonts w:cs="Arial"/>
          <w:bCs/>
          <w:iCs/>
        </w:rPr>
        <w:t>for</w:t>
      </w:r>
      <w:r w:rsidRPr="00180C4B">
        <w:rPr>
          <w:rFonts w:cs="Arial"/>
          <w:bCs/>
          <w:iCs/>
        </w:rPr>
        <w:t xml:space="preserve"> a revised SCAN Team model.</w:t>
      </w:r>
    </w:p>
    <w:p w:rsidR="003E0ECE" w:rsidRPr="001133D1" w:rsidRDefault="000F1FF5" w:rsidP="00DD5024">
      <w:pPr>
        <w:pStyle w:val="Heading2"/>
        <w:spacing w:before="240"/>
        <w:jc w:val="both"/>
        <w:rPr>
          <w:sz w:val="28"/>
        </w:rPr>
      </w:pPr>
      <w:bookmarkStart w:id="95" w:name="_Toc524517389"/>
      <w:r w:rsidRPr="000F1FF5">
        <w:rPr>
          <w:sz w:val="28"/>
        </w:rPr>
        <w:t>National Disability Insurance Scheme</w:t>
      </w:r>
      <w:bookmarkEnd w:id="95"/>
    </w:p>
    <w:p w:rsidR="000F1FF5" w:rsidRPr="000F1FF5" w:rsidRDefault="000F1FF5" w:rsidP="00DD5024">
      <w:pPr>
        <w:autoSpaceDE w:val="0"/>
        <w:autoSpaceDN w:val="0"/>
        <w:adjustRightInd w:val="0"/>
        <w:jc w:val="both"/>
        <w:rPr>
          <w:rFonts w:cs="Arial"/>
          <w:bCs/>
          <w:iCs/>
        </w:rPr>
      </w:pPr>
      <w:r w:rsidRPr="000F1FF5">
        <w:rPr>
          <w:rFonts w:cs="Arial"/>
          <w:bCs/>
          <w:iCs/>
        </w:rPr>
        <w:t>The department has led a range of National Disability Insurance Scheme (NDIS) readiness activities as the NDIS continues to roll out in each location across Queensland, these include:</w:t>
      </w:r>
    </w:p>
    <w:p w:rsidR="000F1FF5" w:rsidRDefault="000F1FF5" w:rsidP="00DD5024">
      <w:pPr>
        <w:numPr>
          <w:ilvl w:val="0"/>
          <w:numId w:val="2"/>
        </w:numPr>
        <w:jc w:val="both"/>
      </w:pPr>
      <w:r w:rsidRPr="000F1FF5">
        <w:t>information sessions for child safety staff, families, carers, and providers</w:t>
      </w:r>
    </w:p>
    <w:p w:rsidR="00993078" w:rsidRPr="000F1FF5" w:rsidRDefault="00993078" w:rsidP="00DD5024">
      <w:pPr>
        <w:numPr>
          <w:ilvl w:val="0"/>
          <w:numId w:val="2"/>
        </w:numPr>
        <w:jc w:val="both"/>
      </w:pPr>
      <w:r>
        <w:t>support to Foster Care Queensland</w:t>
      </w:r>
      <w:r w:rsidR="00D97E00">
        <w:t xml:space="preserve"> to support carers</w:t>
      </w:r>
    </w:p>
    <w:p w:rsidR="000F1FF5" w:rsidRPr="000F1FF5" w:rsidRDefault="000F1FF5" w:rsidP="00DD5024">
      <w:pPr>
        <w:numPr>
          <w:ilvl w:val="0"/>
          <w:numId w:val="2"/>
        </w:numPr>
        <w:jc w:val="both"/>
      </w:pPr>
      <w:r w:rsidRPr="000F1FF5">
        <w:t xml:space="preserve">tools and resources for </w:t>
      </w:r>
      <w:r w:rsidR="00D97E00" w:rsidRPr="000F1FF5">
        <w:t xml:space="preserve">child safety </w:t>
      </w:r>
      <w:r w:rsidRPr="000F1FF5">
        <w:t>staff</w:t>
      </w:r>
    </w:p>
    <w:p w:rsidR="000F1FF5" w:rsidRPr="000F1FF5" w:rsidRDefault="00D97E00" w:rsidP="00D97E00">
      <w:pPr>
        <w:numPr>
          <w:ilvl w:val="0"/>
          <w:numId w:val="2"/>
        </w:numPr>
        <w:jc w:val="both"/>
      </w:pPr>
      <w:r>
        <w:t xml:space="preserve">information </w:t>
      </w:r>
      <w:r w:rsidR="000F1FF5" w:rsidRPr="000F1FF5">
        <w:t xml:space="preserve">updates </w:t>
      </w:r>
      <w:r>
        <w:t xml:space="preserve">made available via </w:t>
      </w:r>
      <w:hyperlink r:id="rId17" w:history="1">
        <w:r w:rsidR="003E7FD3" w:rsidRPr="00566258">
          <w:rPr>
            <w:rStyle w:val="Hyperlink"/>
          </w:rPr>
          <w:t>www.csyw.qld.gov.au/child-family/ndis-transition-implementation</w:t>
        </w:r>
      </w:hyperlink>
      <w:r>
        <w:t xml:space="preserve"> and</w:t>
      </w:r>
      <w:r w:rsidR="000F1FF5" w:rsidRPr="000F1FF5">
        <w:t xml:space="preserve"> </w:t>
      </w:r>
      <w:hyperlink r:id="rId18" w:history="1">
        <w:r w:rsidRPr="00A65155">
          <w:rPr>
            <w:rStyle w:val="Hyperlink"/>
          </w:rPr>
          <w:t>www.qld.gov.au/disability</w:t>
        </w:r>
      </w:hyperlink>
      <w:r>
        <w:t xml:space="preserve"> </w:t>
      </w:r>
    </w:p>
    <w:p w:rsidR="000F1FF5" w:rsidRPr="000F1FF5" w:rsidRDefault="000F1FF5" w:rsidP="00DD5024">
      <w:pPr>
        <w:numPr>
          <w:ilvl w:val="0"/>
          <w:numId w:val="2"/>
        </w:numPr>
        <w:jc w:val="both"/>
      </w:pPr>
      <w:r w:rsidRPr="000F1FF5">
        <w:t>SORTLI and kicbox apps for young people in care</w:t>
      </w:r>
      <w:r w:rsidR="00286C0D">
        <w:t xml:space="preserve"> which provide information about accessing disability support and the NDIS</w:t>
      </w:r>
    </w:p>
    <w:p w:rsidR="000F1FF5" w:rsidRPr="000F1FF5" w:rsidRDefault="000F1FF5" w:rsidP="00DD5024">
      <w:pPr>
        <w:numPr>
          <w:ilvl w:val="0"/>
          <w:numId w:val="2"/>
        </w:numPr>
        <w:jc w:val="both"/>
      </w:pPr>
      <w:r w:rsidRPr="000F1FF5">
        <w:t>communications materials and web content for carers and the wider sector.</w:t>
      </w:r>
    </w:p>
    <w:p w:rsidR="000F1FF5" w:rsidRPr="000F1FF5" w:rsidRDefault="000F1FF5" w:rsidP="00DD5024">
      <w:pPr>
        <w:autoSpaceDE w:val="0"/>
        <w:autoSpaceDN w:val="0"/>
        <w:adjustRightInd w:val="0"/>
        <w:jc w:val="both"/>
        <w:rPr>
          <w:rFonts w:cs="Arial"/>
          <w:bCs/>
          <w:iCs/>
        </w:rPr>
      </w:pPr>
      <w:r w:rsidRPr="000F1FF5">
        <w:rPr>
          <w:rFonts w:cs="Arial"/>
          <w:bCs/>
          <w:iCs/>
        </w:rPr>
        <w:t>Queensland’s NDIS transition period has concluded in North Queensland, Darling Downs and West Moreton. NDIS transition is nearing completion in most of Central Queensland. For Child Safety districts of Far North Queensland, Brisbane, Logan/Beaudesert, Gold Coast/Bayside and the remainder of Central Queensland NDIS transition commenced on 1 July 2018.</w:t>
      </w:r>
    </w:p>
    <w:p w:rsidR="000F1FF5" w:rsidRPr="000F1FF5" w:rsidRDefault="00DF11FA" w:rsidP="00DD5024">
      <w:pPr>
        <w:autoSpaceDE w:val="0"/>
        <w:autoSpaceDN w:val="0"/>
        <w:adjustRightInd w:val="0"/>
        <w:jc w:val="both"/>
        <w:rPr>
          <w:rFonts w:cs="Arial"/>
          <w:bCs/>
          <w:iCs/>
        </w:rPr>
      </w:pPr>
      <w:r>
        <w:rPr>
          <w:rFonts w:cs="Arial"/>
          <w:bCs/>
          <w:iCs/>
        </w:rPr>
        <w:t>As at 30 June 2018</w:t>
      </w:r>
      <w:r w:rsidR="000F1FF5" w:rsidRPr="000F1FF5">
        <w:rPr>
          <w:rFonts w:cs="Arial"/>
          <w:bCs/>
          <w:iCs/>
        </w:rPr>
        <w:t>, 1,</w:t>
      </w:r>
      <w:r>
        <w:rPr>
          <w:rFonts w:cs="Arial"/>
          <w:bCs/>
          <w:iCs/>
        </w:rPr>
        <w:t>724</w:t>
      </w:r>
      <w:r w:rsidR="000F1FF5" w:rsidRPr="000F1FF5">
        <w:rPr>
          <w:rFonts w:cs="Arial"/>
          <w:bCs/>
          <w:iCs/>
        </w:rPr>
        <w:t xml:space="preserve"> children and young people who </w:t>
      </w:r>
      <w:r>
        <w:rPr>
          <w:rFonts w:cs="Arial"/>
          <w:bCs/>
          <w:iCs/>
        </w:rPr>
        <w:t xml:space="preserve">were subject to ongoing child protection intervention </w:t>
      </w:r>
      <w:r w:rsidR="002650D7">
        <w:rPr>
          <w:rFonts w:cs="Arial"/>
          <w:bCs/>
          <w:iCs/>
        </w:rPr>
        <w:t>had</w:t>
      </w:r>
      <w:r w:rsidR="000F1FF5" w:rsidRPr="000F1FF5">
        <w:rPr>
          <w:rFonts w:cs="Arial"/>
          <w:bCs/>
          <w:iCs/>
        </w:rPr>
        <w:t xml:space="preserve"> been referred to the NDIS, including 6</w:t>
      </w:r>
      <w:r w:rsidR="002650D7">
        <w:rPr>
          <w:rFonts w:cs="Arial"/>
          <w:bCs/>
          <w:iCs/>
        </w:rPr>
        <w:t>99</w:t>
      </w:r>
      <w:r w:rsidR="000F1FF5" w:rsidRPr="000F1FF5">
        <w:rPr>
          <w:rFonts w:cs="Arial"/>
          <w:bCs/>
          <w:iCs/>
        </w:rPr>
        <w:t xml:space="preserve"> Aboriginal and Torres Strait Islander children and young people. Of these, </w:t>
      </w:r>
      <w:r w:rsidR="002650D7">
        <w:rPr>
          <w:rFonts w:cs="Arial"/>
          <w:bCs/>
          <w:iCs/>
        </w:rPr>
        <w:t>518</w:t>
      </w:r>
      <w:r w:rsidR="000F1FF5" w:rsidRPr="000F1FF5">
        <w:rPr>
          <w:rFonts w:cs="Arial"/>
          <w:bCs/>
          <w:iCs/>
        </w:rPr>
        <w:t xml:space="preserve"> children and young people </w:t>
      </w:r>
      <w:r w:rsidR="002650D7">
        <w:rPr>
          <w:rFonts w:cs="Arial"/>
          <w:bCs/>
          <w:iCs/>
        </w:rPr>
        <w:t>received approved NDIS plans</w:t>
      </w:r>
      <w:r w:rsidR="000F1FF5" w:rsidRPr="000F1FF5">
        <w:rPr>
          <w:rFonts w:cs="Arial"/>
          <w:bCs/>
          <w:iCs/>
        </w:rPr>
        <w:t>, including 2</w:t>
      </w:r>
      <w:r w:rsidR="002650D7">
        <w:rPr>
          <w:rFonts w:cs="Arial"/>
          <w:bCs/>
          <w:iCs/>
        </w:rPr>
        <w:t>26</w:t>
      </w:r>
      <w:r w:rsidR="000F1FF5" w:rsidRPr="000F1FF5">
        <w:rPr>
          <w:rFonts w:cs="Arial"/>
          <w:bCs/>
          <w:iCs/>
        </w:rPr>
        <w:t xml:space="preserve"> Aboriginal and Torres Strait Islander children and young people.</w:t>
      </w:r>
    </w:p>
    <w:p w:rsidR="000F1FF5" w:rsidRPr="000F1FF5" w:rsidRDefault="000F1FF5" w:rsidP="00DD5024">
      <w:pPr>
        <w:autoSpaceDE w:val="0"/>
        <w:autoSpaceDN w:val="0"/>
        <w:adjustRightInd w:val="0"/>
        <w:jc w:val="both"/>
        <w:rPr>
          <w:rFonts w:cs="Arial"/>
          <w:bCs/>
          <w:iCs/>
        </w:rPr>
      </w:pPr>
      <w:r w:rsidRPr="000F1FF5">
        <w:rPr>
          <w:rFonts w:cs="Arial"/>
          <w:bCs/>
          <w:iCs/>
        </w:rPr>
        <w:t>Like other mainstream service agencies, the department is working hard with the NDIA, and through the Queensland Government NDIS Transition Program Management Office within the Department of Communities, Disability Services and Seniors (DCDSS) to establish a smooth and well-functioning interface between the two agencies. Work in this area includes:</w:t>
      </w:r>
    </w:p>
    <w:p w:rsidR="000F1FF5" w:rsidRPr="000F1FF5" w:rsidRDefault="000F1FF5" w:rsidP="00DD5024">
      <w:pPr>
        <w:numPr>
          <w:ilvl w:val="0"/>
          <w:numId w:val="2"/>
        </w:numPr>
        <w:jc w:val="both"/>
      </w:pPr>
      <w:r w:rsidRPr="000F1FF5">
        <w:t>development of information sharing processes</w:t>
      </w:r>
    </w:p>
    <w:p w:rsidR="000F1FF5" w:rsidRPr="000F1FF5" w:rsidRDefault="000F1FF5" w:rsidP="00DD5024">
      <w:pPr>
        <w:numPr>
          <w:ilvl w:val="0"/>
          <w:numId w:val="2"/>
        </w:numPr>
        <w:jc w:val="both"/>
      </w:pPr>
      <w:r w:rsidRPr="000F1FF5">
        <w:t>emergency and crisis management processes</w:t>
      </w:r>
    </w:p>
    <w:p w:rsidR="000F1FF5" w:rsidRPr="000F1FF5" w:rsidRDefault="002650D7" w:rsidP="00DD5024">
      <w:pPr>
        <w:numPr>
          <w:ilvl w:val="0"/>
          <w:numId w:val="2"/>
        </w:numPr>
        <w:jc w:val="both"/>
      </w:pPr>
      <w:r>
        <w:lastRenderedPageBreak/>
        <w:t>Information and Communications Technology (</w:t>
      </w:r>
      <w:r w:rsidR="000F1FF5" w:rsidRPr="000F1FF5">
        <w:t>ICT</w:t>
      </w:r>
      <w:r>
        <w:t>)</w:t>
      </w:r>
      <w:r w:rsidR="000F1FF5" w:rsidRPr="000F1FF5">
        <w:t xml:space="preserve"> solutions.</w:t>
      </w:r>
    </w:p>
    <w:p w:rsidR="000F1FF5" w:rsidRPr="000F1FF5" w:rsidRDefault="000F1FF5" w:rsidP="00DD5024">
      <w:pPr>
        <w:autoSpaceDE w:val="0"/>
        <w:autoSpaceDN w:val="0"/>
        <w:adjustRightInd w:val="0"/>
        <w:jc w:val="both"/>
        <w:rPr>
          <w:rFonts w:cs="Arial"/>
          <w:bCs/>
          <w:iCs/>
        </w:rPr>
      </w:pPr>
      <w:r w:rsidRPr="000F1FF5">
        <w:rPr>
          <w:rFonts w:cs="Arial"/>
          <w:bCs/>
          <w:iCs/>
        </w:rPr>
        <w:t>Child Safety is also working with the D</w:t>
      </w:r>
      <w:r w:rsidR="003254D0">
        <w:rPr>
          <w:rFonts w:cs="Arial"/>
          <w:bCs/>
          <w:iCs/>
        </w:rPr>
        <w:t xml:space="preserve">epartment of </w:t>
      </w:r>
      <w:r w:rsidRPr="000F1FF5">
        <w:rPr>
          <w:rFonts w:cs="Arial"/>
          <w:bCs/>
          <w:iCs/>
        </w:rPr>
        <w:t>C</w:t>
      </w:r>
      <w:r w:rsidR="003254D0">
        <w:rPr>
          <w:rFonts w:cs="Arial"/>
          <w:bCs/>
          <w:iCs/>
        </w:rPr>
        <w:t xml:space="preserve">ommunities, </w:t>
      </w:r>
      <w:r w:rsidRPr="000F1FF5">
        <w:rPr>
          <w:rFonts w:cs="Arial"/>
          <w:bCs/>
          <w:iCs/>
        </w:rPr>
        <w:t>D</w:t>
      </w:r>
      <w:r w:rsidR="003254D0">
        <w:rPr>
          <w:rFonts w:cs="Arial"/>
          <w:bCs/>
          <w:iCs/>
        </w:rPr>
        <w:t xml:space="preserve">isability </w:t>
      </w:r>
      <w:r w:rsidRPr="000F1FF5">
        <w:rPr>
          <w:rFonts w:cs="Arial"/>
          <w:bCs/>
          <w:iCs/>
        </w:rPr>
        <w:t>S</w:t>
      </w:r>
      <w:r w:rsidR="003254D0">
        <w:rPr>
          <w:rFonts w:cs="Arial"/>
          <w:bCs/>
          <w:iCs/>
        </w:rPr>
        <w:t xml:space="preserve">ervices and </w:t>
      </w:r>
      <w:r w:rsidRPr="000F1FF5">
        <w:rPr>
          <w:rFonts w:cs="Arial"/>
          <w:bCs/>
          <w:iCs/>
        </w:rPr>
        <w:t>S</w:t>
      </w:r>
      <w:r w:rsidR="003254D0">
        <w:rPr>
          <w:rFonts w:cs="Arial"/>
          <w:bCs/>
          <w:iCs/>
        </w:rPr>
        <w:t>eniors</w:t>
      </w:r>
      <w:r w:rsidRPr="000F1FF5">
        <w:rPr>
          <w:rFonts w:cs="Arial"/>
          <w:bCs/>
          <w:iCs/>
        </w:rPr>
        <w:t xml:space="preserve"> on transition arrangements for children and young people currently living in voluntary out-of-home care due to their high and complex disability support needs. The government will continue to provide the accommodation support for these children following NDIS transition. The NDIS will be responsible for the disability supports for these children and young people following NDIS transition, through their NDIS plans. </w:t>
      </w:r>
    </w:p>
    <w:p w:rsidR="00286C0D" w:rsidRPr="00286C0D" w:rsidRDefault="00286C0D" w:rsidP="00DD5024">
      <w:pPr>
        <w:autoSpaceDE w:val="0"/>
        <w:autoSpaceDN w:val="0"/>
        <w:adjustRightInd w:val="0"/>
        <w:jc w:val="both"/>
        <w:rPr>
          <w:rFonts w:cs="Arial"/>
          <w:bCs/>
          <w:iCs/>
        </w:rPr>
      </w:pPr>
      <w:r>
        <w:rPr>
          <w:rFonts w:cs="Arial"/>
          <w:bCs/>
          <w:iCs/>
        </w:rPr>
        <w:t>In addition, a Specialist Services Team</w:t>
      </w:r>
      <w:r w:rsidR="00993078">
        <w:rPr>
          <w:rFonts w:cs="Arial"/>
          <w:bCs/>
          <w:iCs/>
        </w:rPr>
        <w:t xml:space="preserve"> is being established</w:t>
      </w:r>
      <w:r w:rsidR="004548A1">
        <w:rPr>
          <w:rFonts w:cs="Arial"/>
          <w:bCs/>
          <w:iCs/>
        </w:rPr>
        <w:t xml:space="preserve"> in the department</w:t>
      </w:r>
      <w:r w:rsidR="00C37D9F">
        <w:rPr>
          <w:rFonts w:cs="Arial"/>
          <w:bCs/>
          <w:iCs/>
        </w:rPr>
        <w:t xml:space="preserve"> </w:t>
      </w:r>
      <w:r w:rsidR="00993078">
        <w:rPr>
          <w:rFonts w:cs="Arial"/>
          <w:bCs/>
          <w:iCs/>
        </w:rPr>
        <w:t>to</w:t>
      </w:r>
      <w:r>
        <w:rPr>
          <w:rFonts w:cs="Arial"/>
          <w:bCs/>
          <w:iCs/>
        </w:rPr>
        <w:t xml:space="preserve"> provide integrated and coordinated services </w:t>
      </w:r>
      <w:r w:rsidRPr="00286C0D">
        <w:rPr>
          <w:rFonts w:cs="Arial"/>
          <w:bCs/>
          <w:iCs/>
        </w:rPr>
        <w:t>in collaboration with government and non-government partners</w:t>
      </w:r>
      <w:r w:rsidR="00D97E00">
        <w:rPr>
          <w:rFonts w:cs="Arial"/>
          <w:bCs/>
          <w:iCs/>
        </w:rPr>
        <w:t>. These specialist roles</w:t>
      </w:r>
      <w:r w:rsidRPr="00286C0D">
        <w:rPr>
          <w:rFonts w:cs="Arial"/>
          <w:bCs/>
          <w:iCs/>
        </w:rPr>
        <w:t xml:space="preserve"> </w:t>
      </w:r>
      <w:r w:rsidR="00D97E00">
        <w:rPr>
          <w:rFonts w:cs="Arial"/>
          <w:bCs/>
          <w:iCs/>
        </w:rPr>
        <w:t>will</w:t>
      </w:r>
      <w:r w:rsidRPr="00286C0D">
        <w:rPr>
          <w:rFonts w:cs="Arial"/>
          <w:bCs/>
          <w:iCs/>
        </w:rPr>
        <w:t xml:space="preserve"> address the complex and high risk behavioural, emotional, psychological, disability and mental health needs of children and young people</w:t>
      </w:r>
      <w:r w:rsidR="00D97E00">
        <w:rPr>
          <w:rFonts w:cs="Arial"/>
          <w:bCs/>
          <w:iCs/>
        </w:rPr>
        <w:t xml:space="preserve"> </w:t>
      </w:r>
      <w:r w:rsidR="00D97E00" w:rsidRPr="00286C0D">
        <w:rPr>
          <w:rFonts w:cs="Arial"/>
          <w:bCs/>
          <w:iCs/>
        </w:rPr>
        <w:t>at risk of entering</w:t>
      </w:r>
      <w:r w:rsidR="00D97E00">
        <w:rPr>
          <w:rFonts w:cs="Arial"/>
          <w:bCs/>
          <w:iCs/>
        </w:rPr>
        <w:t xml:space="preserve"> or</w:t>
      </w:r>
      <w:r w:rsidRPr="00286C0D">
        <w:rPr>
          <w:rFonts w:cs="Arial"/>
          <w:bCs/>
          <w:iCs/>
        </w:rPr>
        <w:t xml:space="preserve"> in the tertiary child protection </w:t>
      </w:r>
      <w:r w:rsidR="00D97E00">
        <w:rPr>
          <w:rFonts w:cs="Arial"/>
          <w:bCs/>
          <w:iCs/>
        </w:rPr>
        <w:t xml:space="preserve">and youth justice </w:t>
      </w:r>
      <w:r w:rsidRPr="00286C0D">
        <w:rPr>
          <w:rFonts w:cs="Arial"/>
          <w:bCs/>
          <w:iCs/>
        </w:rPr>
        <w:t>system</w:t>
      </w:r>
      <w:r w:rsidR="00D97E00">
        <w:rPr>
          <w:rFonts w:cs="Arial"/>
          <w:bCs/>
          <w:iCs/>
        </w:rPr>
        <w:t>s</w:t>
      </w:r>
      <w:r w:rsidRPr="00286C0D">
        <w:rPr>
          <w:rFonts w:cs="Arial"/>
          <w:bCs/>
          <w:iCs/>
        </w:rPr>
        <w:t>.</w:t>
      </w:r>
    </w:p>
    <w:p w:rsidR="00286C0D" w:rsidRPr="00286C0D" w:rsidRDefault="00286C0D" w:rsidP="00DD5024">
      <w:pPr>
        <w:autoSpaceDE w:val="0"/>
        <w:autoSpaceDN w:val="0"/>
        <w:adjustRightInd w:val="0"/>
        <w:jc w:val="both"/>
        <w:rPr>
          <w:rFonts w:cs="Arial"/>
          <w:bCs/>
          <w:iCs/>
        </w:rPr>
      </w:pPr>
      <w:r w:rsidRPr="00286C0D">
        <w:rPr>
          <w:rFonts w:cs="Arial"/>
          <w:bCs/>
          <w:iCs/>
        </w:rPr>
        <w:t>Priorities for the Specialist Service Team include:</w:t>
      </w:r>
    </w:p>
    <w:p w:rsidR="00286C0D" w:rsidRPr="00286C0D" w:rsidRDefault="00286C0D" w:rsidP="00DD5024">
      <w:pPr>
        <w:pStyle w:val="ListParagraph"/>
        <w:numPr>
          <w:ilvl w:val="0"/>
          <w:numId w:val="15"/>
        </w:numPr>
        <w:autoSpaceDE w:val="0"/>
        <w:autoSpaceDN w:val="0"/>
        <w:adjustRightInd w:val="0"/>
        <w:jc w:val="both"/>
        <w:rPr>
          <w:rFonts w:ascii="Arial" w:hAnsi="Arial" w:cs="Arial"/>
          <w:bCs/>
          <w:iCs/>
        </w:rPr>
      </w:pPr>
      <w:r w:rsidRPr="00286C0D">
        <w:rPr>
          <w:rFonts w:ascii="Arial" w:hAnsi="Arial" w:cs="Arial"/>
          <w:bCs/>
          <w:iCs/>
        </w:rPr>
        <w:t>children and young people currently subject to Voluntary Out-of-Home Care (through Disability Services), or at risk of entering the tertiary child protection system due to their disability</w:t>
      </w:r>
    </w:p>
    <w:p w:rsidR="00286C0D" w:rsidRPr="00286C0D" w:rsidRDefault="00286C0D" w:rsidP="00DD5024">
      <w:pPr>
        <w:pStyle w:val="ListParagraph"/>
        <w:numPr>
          <w:ilvl w:val="0"/>
          <w:numId w:val="15"/>
        </w:numPr>
        <w:autoSpaceDE w:val="0"/>
        <w:autoSpaceDN w:val="0"/>
        <w:adjustRightInd w:val="0"/>
        <w:jc w:val="both"/>
        <w:rPr>
          <w:rFonts w:ascii="Arial" w:hAnsi="Arial" w:cs="Arial"/>
          <w:bCs/>
          <w:iCs/>
        </w:rPr>
      </w:pPr>
      <w:r w:rsidRPr="00286C0D">
        <w:rPr>
          <w:rFonts w:ascii="Arial" w:hAnsi="Arial" w:cs="Arial"/>
          <w:bCs/>
          <w:iCs/>
        </w:rPr>
        <w:t>young people remanded in youth detention centres who may have an undiagnosed disability, or who require additional support due to their disability</w:t>
      </w:r>
    </w:p>
    <w:p w:rsidR="00286C0D" w:rsidRPr="00286C0D" w:rsidRDefault="00286C0D" w:rsidP="00DD5024">
      <w:pPr>
        <w:pStyle w:val="ListParagraph"/>
        <w:numPr>
          <w:ilvl w:val="0"/>
          <w:numId w:val="15"/>
        </w:numPr>
        <w:autoSpaceDE w:val="0"/>
        <w:autoSpaceDN w:val="0"/>
        <w:adjustRightInd w:val="0"/>
        <w:jc w:val="both"/>
        <w:rPr>
          <w:rFonts w:cs="Arial"/>
          <w:bCs/>
          <w:iCs/>
        </w:rPr>
      </w:pPr>
      <w:r w:rsidRPr="00286C0D">
        <w:rPr>
          <w:rFonts w:ascii="Arial" w:hAnsi="Arial" w:cs="Arial"/>
          <w:bCs/>
          <w:iCs/>
        </w:rPr>
        <w:t>the most vulnerable children and young people in care with significant and complex needs, with a particular focus on Aboriginal and Torres Strait Islander children and young people.</w:t>
      </w:r>
    </w:p>
    <w:p w:rsidR="00286C0D" w:rsidRDefault="00286C0D" w:rsidP="00DD5024">
      <w:pPr>
        <w:autoSpaceDE w:val="0"/>
        <w:autoSpaceDN w:val="0"/>
        <w:adjustRightInd w:val="0"/>
        <w:jc w:val="both"/>
        <w:rPr>
          <w:rFonts w:cs="Arial"/>
          <w:bCs/>
          <w:iCs/>
        </w:rPr>
      </w:pPr>
      <w:r w:rsidRPr="00286C0D">
        <w:rPr>
          <w:rFonts w:cs="Arial"/>
          <w:bCs/>
          <w:iCs/>
        </w:rPr>
        <w:t>The Specialist Services Team will also oversight the work of Transition and Post Care Support officers based in regions who will work directly with young people in care that are most at risk of homelessness as they transition to adulthood.</w:t>
      </w:r>
    </w:p>
    <w:p w:rsidR="001510BD" w:rsidRDefault="001510BD" w:rsidP="00DD5024">
      <w:pPr>
        <w:pStyle w:val="Heading2"/>
        <w:spacing w:before="240"/>
        <w:jc w:val="both"/>
        <w:rPr>
          <w:sz w:val="28"/>
        </w:rPr>
      </w:pPr>
      <w:bookmarkStart w:id="96" w:name="_Toc524517390"/>
      <w:r w:rsidRPr="00694A4C">
        <w:rPr>
          <w:sz w:val="28"/>
        </w:rPr>
        <w:t>Palliative care and end-of-life decision making</w:t>
      </w:r>
      <w:bookmarkEnd w:id="96"/>
    </w:p>
    <w:p w:rsidR="00734FF6" w:rsidRPr="00AC2466" w:rsidRDefault="00734FF6" w:rsidP="00DD5024">
      <w:pPr>
        <w:autoSpaceDE w:val="0"/>
        <w:autoSpaceDN w:val="0"/>
        <w:adjustRightInd w:val="0"/>
        <w:jc w:val="both"/>
        <w:rPr>
          <w:rFonts w:cs="Arial"/>
          <w:bCs/>
          <w:iCs/>
        </w:rPr>
      </w:pPr>
      <w:r w:rsidRPr="00AC2466">
        <w:rPr>
          <w:rFonts w:cs="Arial"/>
          <w:bCs/>
          <w:iCs/>
        </w:rPr>
        <w:t>A new e-Learning course has been developed</w:t>
      </w:r>
      <w:r w:rsidR="004548A1">
        <w:rPr>
          <w:rFonts w:cs="Arial"/>
          <w:bCs/>
          <w:iCs/>
        </w:rPr>
        <w:t xml:space="preserve"> </w:t>
      </w:r>
      <w:r w:rsidR="007C17C0">
        <w:rPr>
          <w:rFonts w:cs="Arial"/>
          <w:bCs/>
          <w:iCs/>
        </w:rPr>
        <w:t xml:space="preserve">as a direct result of learnings from Child Death Case Review Panel deliberations </w:t>
      </w:r>
      <w:r w:rsidR="00BD25A2">
        <w:rPr>
          <w:rFonts w:cs="Arial"/>
          <w:bCs/>
          <w:iCs/>
        </w:rPr>
        <w:t>a</w:t>
      </w:r>
      <w:r w:rsidR="004548A1">
        <w:rPr>
          <w:rFonts w:cs="Arial"/>
          <w:bCs/>
          <w:iCs/>
        </w:rPr>
        <w:t>nd ma</w:t>
      </w:r>
      <w:r w:rsidR="00153173">
        <w:rPr>
          <w:rFonts w:cs="Arial"/>
          <w:bCs/>
          <w:iCs/>
        </w:rPr>
        <w:t>d</w:t>
      </w:r>
      <w:r w:rsidR="004548A1">
        <w:rPr>
          <w:rFonts w:cs="Arial"/>
          <w:bCs/>
          <w:iCs/>
        </w:rPr>
        <w:t>e available</w:t>
      </w:r>
      <w:r w:rsidRPr="00AC2466">
        <w:rPr>
          <w:rFonts w:cs="Arial"/>
          <w:bCs/>
          <w:iCs/>
        </w:rPr>
        <w:t xml:space="preserve"> to provide child safety staff with a foundational understanding on the sensitive area of palliative care for children and young people. In this course staff explore the palliative care journey from defining what is palliative care and its impact on the individual child, young person, their families and carers, through to understanding practice implications and case management strategies. By the end of this course staff are able to:</w:t>
      </w:r>
    </w:p>
    <w:p w:rsidR="00734FF6" w:rsidRPr="00AC2466" w:rsidRDefault="00734FF6" w:rsidP="00DD5024">
      <w:pPr>
        <w:pStyle w:val="ListParagraph"/>
        <w:numPr>
          <w:ilvl w:val="0"/>
          <w:numId w:val="15"/>
        </w:numPr>
        <w:autoSpaceDE w:val="0"/>
        <w:autoSpaceDN w:val="0"/>
        <w:adjustRightInd w:val="0"/>
        <w:jc w:val="both"/>
        <w:rPr>
          <w:rFonts w:ascii="Arial" w:hAnsi="Arial" w:cs="Arial"/>
          <w:bCs/>
          <w:iCs/>
        </w:rPr>
      </w:pPr>
      <w:r w:rsidRPr="00AC2466">
        <w:rPr>
          <w:rFonts w:ascii="Arial" w:hAnsi="Arial" w:cs="Arial"/>
          <w:bCs/>
          <w:iCs/>
        </w:rPr>
        <w:t>articulate a foundation understanding of palliative care for children</w:t>
      </w:r>
    </w:p>
    <w:p w:rsidR="00734FF6" w:rsidRPr="00AC2466" w:rsidRDefault="00734FF6" w:rsidP="00DD5024">
      <w:pPr>
        <w:pStyle w:val="ListParagraph"/>
        <w:numPr>
          <w:ilvl w:val="0"/>
          <w:numId w:val="15"/>
        </w:numPr>
        <w:autoSpaceDE w:val="0"/>
        <w:autoSpaceDN w:val="0"/>
        <w:adjustRightInd w:val="0"/>
        <w:ind w:left="714" w:hanging="357"/>
        <w:jc w:val="both"/>
        <w:rPr>
          <w:rFonts w:ascii="Arial" w:hAnsi="Arial" w:cs="Arial"/>
          <w:bCs/>
          <w:iCs/>
        </w:rPr>
      </w:pPr>
      <w:r w:rsidRPr="00AC2466">
        <w:rPr>
          <w:rFonts w:ascii="Arial" w:hAnsi="Arial" w:cs="Arial"/>
          <w:bCs/>
          <w:iCs/>
        </w:rPr>
        <w:t>recognise an Aboriginal and Torres Strait Islander perspective on palliative care for children with life-limiting conditions</w:t>
      </w:r>
    </w:p>
    <w:p w:rsidR="00734FF6" w:rsidRPr="00AC2466" w:rsidRDefault="00734FF6" w:rsidP="00DD5024">
      <w:pPr>
        <w:pStyle w:val="ListParagraph"/>
        <w:numPr>
          <w:ilvl w:val="0"/>
          <w:numId w:val="15"/>
        </w:numPr>
        <w:autoSpaceDE w:val="0"/>
        <w:autoSpaceDN w:val="0"/>
        <w:adjustRightInd w:val="0"/>
        <w:jc w:val="both"/>
        <w:rPr>
          <w:rFonts w:ascii="Arial" w:hAnsi="Arial" w:cs="Arial"/>
          <w:bCs/>
          <w:iCs/>
        </w:rPr>
      </w:pPr>
      <w:r w:rsidRPr="00AC2466">
        <w:rPr>
          <w:rFonts w:ascii="Arial" w:hAnsi="Arial" w:cs="Arial"/>
          <w:bCs/>
          <w:iCs/>
        </w:rPr>
        <w:t>identify:</w:t>
      </w:r>
    </w:p>
    <w:p w:rsidR="00734FF6" w:rsidRPr="00AC2466" w:rsidRDefault="00734FF6" w:rsidP="003E7FD3">
      <w:pPr>
        <w:pStyle w:val="ListParagraph"/>
        <w:numPr>
          <w:ilvl w:val="1"/>
          <w:numId w:val="15"/>
        </w:numPr>
        <w:autoSpaceDE w:val="0"/>
        <w:autoSpaceDN w:val="0"/>
        <w:adjustRightInd w:val="0"/>
        <w:ind w:left="1134"/>
        <w:jc w:val="both"/>
        <w:rPr>
          <w:rFonts w:ascii="Arial" w:hAnsi="Arial" w:cs="Arial"/>
          <w:bCs/>
          <w:iCs/>
        </w:rPr>
      </w:pPr>
      <w:r w:rsidRPr="00AC2466">
        <w:rPr>
          <w:rFonts w:ascii="Arial" w:hAnsi="Arial" w:cs="Arial"/>
          <w:bCs/>
          <w:iCs/>
        </w:rPr>
        <w:t>pain and symptom management</w:t>
      </w:r>
    </w:p>
    <w:p w:rsidR="00734FF6" w:rsidRPr="00AC2466" w:rsidRDefault="00734FF6" w:rsidP="003E7FD3">
      <w:pPr>
        <w:pStyle w:val="ListParagraph"/>
        <w:numPr>
          <w:ilvl w:val="1"/>
          <w:numId w:val="15"/>
        </w:numPr>
        <w:autoSpaceDE w:val="0"/>
        <w:autoSpaceDN w:val="0"/>
        <w:adjustRightInd w:val="0"/>
        <w:ind w:left="1134"/>
        <w:jc w:val="both"/>
        <w:rPr>
          <w:rFonts w:ascii="Arial" w:hAnsi="Arial" w:cs="Arial"/>
          <w:bCs/>
          <w:iCs/>
        </w:rPr>
      </w:pPr>
      <w:r w:rsidRPr="00AC2466">
        <w:rPr>
          <w:rFonts w:ascii="Arial" w:hAnsi="Arial" w:cs="Arial"/>
          <w:bCs/>
          <w:iCs/>
        </w:rPr>
        <w:t>effective communication with children, their families and/or carers</w:t>
      </w:r>
    </w:p>
    <w:p w:rsidR="00734FF6" w:rsidRPr="00AC2466" w:rsidRDefault="00734FF6" w:rsidP="003E7FD3">
      <w:pPr>
        <w:pStyle w:val="ListParagraph"/>
        <w:numPr>
          <w:ilvl w:val="1"/>
          <w:numId w:val="15"/>
        </w:numPr>
        <w:autoSpaceDE w:val="0"/>
        <w:autoSpaceDN w:val="0"/>
        <w:adjustRightInd w:val="0"/>
        <w:ind w:left="1134"/>
        <w:jc w:val="both"/>
        <w:rPr>
          <w:rFonts w:ascii="Arial" w:hAnsi="Arial" w:cs="Arial"/>
          <w:bCs/>
          <w:iCs/>
        </w:rPr>
      </w:pPr>
      <w:r w:rsidRPr="00AC2466">
        <w:rPr>
          <w:rFonts w:ascii="Arial" w:hAnsi="Arial" w:cs="Arial"/>
          <w:bCs/>
          <w:iCs/>
        </w:rPr>
        <w:t>how to manage end of life care and decision-making for children</w:t>
      </w:r>
    </w:p>
    <w:p w:rsidR="00734FF6" w:rsidRPr="00AC2466" w:rsidRDefault="00734FF6" w:rsidP="003E7FD3">
      <w:pPr>
        <w:pStyle w:val="ListParagraph"/>
        <w:numPr>
          <w:ilvl w:val="1"/>
          <w:numId w:val="15"/>
        </w:numPr>
        <w:autoSpaceDE w:val="0"/>
        <w:autoSpaceDN w:val="0"/>
        <w:adjustRightInd w:val="0"/>
        <w:ind w:left="1134"/>
        <w:jc w:val="both"/>
        <w:rPr>
          <w:rFonts w:ascii="Arial" w:hAnsi="Arial" w:cs="Arial"/>
          <w:bCs/>
          <w:iCs/>
        </w:rPr>
      </w:pPr>
      <w:r w:rsidRPr="00AC2466">
        <w:rPr>
          <w:rFonts w:ascii="Arial" w:hAnsi="Arial" w:cs="Arial"/>
          <w:bCs/>
          <w:iCs/>
        </w:rPr>
        <w:t>strategies to acknowledge and address loss, grief and bereavement</w:t>
      </w:r>
    </w:p>
    <w:p w:rsidR="00734FF6" w:rsidRPr="00AC2466" w:rsidRDefault="00734FF6" w:rsidP="003E7FD3">
      <w:pPr>
        <w:pStyle w:val="ListParagraph"/>
        <w:numPr>
          <w:ilvl w:val="1"/>
          <w:numId w:val="15"/>
        </w:numPr>
        <w:autoSpaceDE w:val="0"/>
        <w:autoSpaceDN w:val="0"/>
        <w:adjustRightInd w:val="0"/>
        <w:ind w:left="1134"/>
        <w:jc w:val="both"/>
        <w:rPr>
          <w:rFonts w:ascii="Arial" w:hAnsi="Arial" w:cs="Arial"/>
          <w:bCs/>
          <w:iCs/>
        </w:rPr>
      </w:pPr>
      <w:r w:rsidRPr="00AC2466">
        <w:rPr>
          <w:rFonts w:ascii="Arial" w:hAnsi="Arial" w:cs="Arial"/>
          <w:bCs/>
          <w:iCs/>
        </w:rPr>
        <w:t>the potential legal and ethical issues associated with the end of life</w:t>
      </w:r>
    </w:p>
    <w:p w:rsidR="00734FF6" w:rsidRPr="00AC2466" w:rsidRDefault="00734FF6" w:rsidP="003E7FD3">
      <w:pPr>
        <w:pStyle w:val="ListParagraph"/>
        <w:numPr>
          <w:ilvl w:val="1"/>
          <w:numId w:val="15"/>
        </w:numPr>
        <w:autoSpaceDE w:val="0"/>
        <w:autoSpaceDN w:val="0"/>
        <w:adjustRightInd w:val="0"/>
        <w:ind w:left="1134"/>
        <w:jc w:val="both"/>
        <w:rPr>
          <w:rFonts w:ascii="Arial" w:hAnsi="Arial" w:cs="Arial"/>
          <w:bCs/>
          <w:iCs/>
        </w:rPr>
      </w:pPr>
      <w:r w:rsidRPr="00AC2466">
        <w:rPr>
          <w:rFonts w:ascii="Arial" w:hAnsi="Arial" w:cs="Arial"/>
          <w:bCs/>
          <w:iCs/>
        </w:rPr>
        <w:t>support strategies for children, their families, and carers through the palliative care journey and beyond.</w:t>
      </w:r>
    </w:p>
    <w:p w:rsidR="00A84261" w:rsidRPr="00734FF6" w:rsidRDefault="00734FF6" w:rsidP="00DD5024">
      <w:pPr>
        <w:autoSpaceDE w:val="0"/>
        <w:autoSpaceDN w:val="0"/>
        <w:adjustRightInd w:val="0"/>
        <w:jc w:val="both"/>
        <w:rPr>
          <w:rFonts w:cs="Arial"/>
          <w:bCs/>
          <w:iCs/>
        </w:rPr>
      </w:pPr>
      <w:r w:rsidRPr="00AC2466">
        <w:rPr>
          <w:rFonts w:cs="Arial"/>
          <w:bCs/>
          <w:iCs/>
        </w:rPr>
        <w:lastRenderedPageBreak/>
        <w:t xml:space="preserve">The implementation of the Regional Aboriginal and Torres Strait Islander Practice Leaders </w:t>
      </w:r>
      <w:r w:rsidR="00F56C5E">
        <w:rPr>
          <w:rFonts w:cs="Arial"/>
          <w:bCs/>
          <w:iCs/>
        </w:rPr>
        <w:t xml:space="preserve">and additional Cultural Practice Advisor roles </w:t>
      </w:r>
      <w:r w:rsidRPr="00AC2466">
        <w:rPr>
          <w:rFonts w:cs="Arial"/>
          <w:bCs/>
          <w:iCs/>
        </w:rPr>
        <w:t xml:space="preserve">in each region has encouraged stronger collaborative relationships with </w:t>
      </w:r>
      <w:r>
        <w:rPr>
          <w:rFonts w:cs="Arial"/>
          <w:bCs/>
          <w:iCs/>
        </w:rPr>
        <w:t>culturally-</w:t>
      </w:r>
      <w:r w:rsidRPr="00AC2466">
        <w:rPr>
          <w:rFonts w:cs="Arial"/>
          <w:bCs/>
          <w:iCs/>
        </w:rPr>
        <w:t xml:space="preserve">appropriate health services and assisted to build stronger communities.  These roles have also had a significant impact on enhancing staff competency when engaging with Aboriginal and Torres Strait Islander families, and </w:t>
      </w:r>
      <w:r w:rsidR="00ED72F4">
        <w:rPr>
          <w:rFonts w:cs="Arial"/>
          <w:bCs/>
          <w:iCs/>
        </w:rPr>
        <w:t>in</w:t>
      </w:r>
      <w:r w:rsidRPr="00AC2466">
        <w:rPr>
          <w:rFonts w:cs="Arial"/>
          <w:bCs/>
          <w:iCs/>
        </w:rPr>
        <w:t xml:space="preserve"> providing support for making end-of-life decisions.</w:t>
      </w:r>
    </w:p>
    <w:p w:rsidR="001C127C" w:rsidRPr="001C127C" w:rsidRDefault="001C127C" w:rsidP="00DD5024">
      <w:pPr>
        <w:pStyle w:val="Heading2"/>
        <w:spacing w:before="240"/>
        <w:jc w:val="both"/>
        <w:rPr>
          <w:sz w:val="28"/>
        </w:rPr>
      </w:pPr>
      <w:bookmarkStart w:id="97" w:name="_Toc524517391"/>
      <w:r w:rsidRPr="001C127C">
        <w:rPr>
          <w:sz w:val="28"/>
        </w:rPr>
        <w:t>Accident and injury prevention</w:t>
      </w:r>
      <w:bookmarkEnd w:id="97"/>
    </w:p>
    <w:p w:rsidR="00AF1157" w:rsidRDefault="002822BF" w:rsidP="00DD5024">
      <w:pPr>
        <w:jc w:val="both"/>
        <w:rPr>
          <w:rFonts w:cs="Arial"/>
        </w:rPr>
      </w:pPr>
      <w:r>
        <w:rPr>
          <w:rFonts w:cs="Arial"/>
        </w:rPr>
        <w:t>The department has</w:t>
      </w:r>
      <w:r w:rsidR="00F61F1C">
        <w:rPr>
          <w:rFonts w:cs="Arial"/>
        </w:rPr>
        <w:t xml:space="preserve"> taken action to</w:t>
      </w:r>
      <w:r>
        <w:rPr>
          <w:rFonts w:cs="Arial"/>
        </w:rPr>
        <w:t xml:space="preserve"> improve staff k</w:t>
      </w:r>
      <w:r w:rsidR="001C127C" w:rsidRPr="009B2F12">
        <w:rPr>
          <w:rFonts w:cs="Arial"/>
        </w:rPr>
        <w:t>nowledge about child accidental death and child injury prevention</w:t>
      </w:r>
      <w:r w:rsidR="00F61F1C">
        <w:rPr>
          <w:rFonts w:cs="Arial"/>
        </w:rPr>
        <w:t xml:space="preserve"> in response to the recommendations and findings of the Panels</w:t>
      </w:r>
      <w:r w:rsidR="001C127C">
        <w:rPr>
          <w:rFonts w:cs="Arial"/>
        </w:rPr>
        <w:t xml:space="preserve">. </w:t>
      </w:r>
    </w:p>
    <w:p w:rsidR="00AF1157" w:rsidRPr="00AF1157" w:rsidRDefault="00AF1157" w:rsidP="00DD5024">
      <w:pPr>
        <w:spacing w:before="240"/>
        <w:jc w:val="both"/>
        <w:rPr>
          <w:rFonts w:cs="Arial"/>
          <w:b/>
        </w:rPr>
      </w:pPr>
      <w:r w:rsidRPr="00AF1157">
        <w:rPr>
          <w:rFonts w:cs="Arial"/>
          <w:b/>
        </w:rPr>
        <w:t xml:space="preserve">Risk </w:t>
      </w:r>
      <w:r>
        <w:rPr>
          <w:rFonts w:cs="Arial"/>
          <w:b/>
        </w:rPr>
        <w:t>Evaluation</w:t>
      </w:r>
    </w:p>
    <w:p w:rsidR="00F570D3" w:rsidRPr="00F570D3" w:rsidRDefault="00F570D3" w:rsidP="00DD5024">
      <w:pPr>
        <w:jc w:val="both"/>
        <w:rPr>
          <w:rFonts w:cs="Arial"/>
        </w:rPr>
      </w:pPr>
      <w:r w:rsidRPr="00F570D3">
        <w:rPr>
          <w:rFonts w:cs="Arial"/>
        </w:rPr>
        <w:t>Significant research has identified certain features, or risk factors, that are found more often in families where harm has occurred than in the general population. These risk factors may indicate a heightened likelihood that a child may be harmed in the future, however, their presence needs to be considered against whether the factor can also be found in the general population and, if so, to what extent.</w:t>
      </w:r>
    </w:p>
    <w:p w:rsidR="00F570D3" w:rsidRPr="00F570D3" w:rsidRDefault="00F570D3" w:rsidP="00DD5024">
      <w:pPr>
        <w:jc w:val="both"/>
        <w:rPr>
          <w:rFonts w:cs="Arial"/>
        </w:rPr>
      </w:pPr>
      <w:r w:rsidRPr="00F570D3">
        <w:rPr>
          <w:rFonts w:cs="Arial"/>
        </w:rPr>
        <w:t>As predictors of harm, risk factors should be considered cautiously on their own. Critical analysis of all information gathered needs to occur, to determine each factor’s significance for the ongoing safety of the child. While acknowledging it is not possible to predict future behaviour of a person with any certainty, risk factors can be viewed as markers which require further consideration and analysis, using professional knowledge and judgement. It is the interaction between factors that may combine to increase the probability of harm occurring.</w:t>
      </w:r>
    </w:p>
    <w:p w:rsidR="002822BF" w:rsidRPr="00F570D3" w:rsidRDefault="002822BF" w:rsidP="00DD5024">
      <w:pPr>
        <w:jc w:val="both"/>
        <w:rPr>
          <w:rFonts w:cs="Arial"/>
        </w:rPr>
      </w:pPr>
      <w:r w:rsidRPr="00F570D3">
        <w:rPr>
          <w:rFonts w:cs="Arial"/>
        </w:rPr>
        <w:t>The mandatory Family Risk Evaluation (FRE) tool outlines 13 risk indicators for neglect, and 12 risk indicators for abuse, and the Family Risk Re Evaluation tool outlines specifically 10 risk indicators to consider when reviewing a case.</w:t>
      </w:r>
    </w:p>
    <w:p w:rsidR="00F570D3" w:rsidRDefault="00F570D3" w:rsidP="00DD5024">
      <w:pPr>
        <w:jc w:val="both"/>
        <w:rPr>
          <w:rFonts w:cs="Arial"/>
        </w:rPr>
      </w:pPr>
      <w:r w:rsidRPr="00F570D3">
        <w:rPr>
          <w:rFonts w:cs="Arial"/>
        </w:rPr>
        <w:t>In terms of clear visual depictions, these are provided to staff in the document: Risk factors relating to harm; the child; the parent; the family context; and the environment. As all types of harm have a detrimental effect on the child, these risk factors are generic, however may carry different weight within an assessment due to the interplay between factors – for example, being a young parent is not a risk factor in itself, but combined with substance misuse and housing instability, the risk of harm to the child increases.</w:t>
      </w:r>
    </w:p>
    <w:p w:rsidR="00AF1157" w:rsidRPr="00AF1157" w:rsidRDefault="00AF1157" w:rsidP="00DD5024">
      <w:pPr>
        <w:keepNext/>
        <w:spacing w:before="240"/>
        <w:jc w:val="both"/>
        <w:rPr>
          <w:rFonts w:cs="Arial"/>
          <w:b/>
        </w:rPr>
      </w:pPr>
      <w:r w:rsidRPr="00AF1157">
        <w:rPr>
          <w:rFonts w:cs="Arial"/>
          <w:b/>
        </w:rPr>
        <w:t>Training</w:t>
      </w:r>
    </w:p>
    <w:p w:rsidR="007C17C0" w:rsidRDefault="00F570D3" w:rsidP="00DD5024">
      <w:pPr>
        <w:keepNext/>
        <w:jc w:val="both"/>
        <w:rPr>
          <w:rFonts w:cs="Arial"/>
        </w:rPr>
      </w:pPr>
      <w:r w:rsidRPr="00A7395C">
        <w:rPr>
          <w:rFonts w:cs="Arial"/>
        </w:rPr>
        <w:t xml:space="preserve">Child Safety Training material includes a number of modules which assist staff to consider </w:t>
      </w:r>
      <w:r w:rsidRPr="00970BA9">
        <w:rPr>
          <w:rFonts w:cs="Arial"/>
        </w:rPr>
        <w:t>aspects</w:t>
      </w:r>
      <w:r>
        <w:rPr>
          <w:rFonts w:cs="Arial"/>
        </w:rPr>
        <w:t xml:space="preserve"> of </w:t>
      </w:r>
      <w:r w:rsidRPr="009B2F12">
        <w:rPr>
          <w:rFonts w:cs="Arial"/>
        </w:rPr>
        <w:t>child injury prevention</w:t>
      </w:r>
      <w:r w:rsidRPr="00970BA9">
        <w:rPr>
          <w:rFonts w:cs="Arial"/>
        </w:rPr>
        <w:t>.</w:t>
      </w:r>
      <w:r w:rsidR="00153173">
        <w:rPr>
          <w:rFonts w:cs="Arial"/>
        </w:rPr>
        <w:t xml:space="preserve"> Learnings </w:t>
      </w:r>
      <w:r w:rsidR="007B3D65">
        <w:rPr>
          <w:rFonts w:cs="Arial"/>
        </w:rPr>
        <w:t xml:space="preserve">and feedback from panel reports are directly utilised in the development of and </w:t>
      </w:r>
      <w:r w:rsidR="00F56C5E">
        <w:rPr>
          <w:rFonts w:cs="Arial"/>
        </w:rPr>
        <w:t>updating</w:t>
      </w:r>
      <w:r w:rsidR="007B3D65">
        <w:rPr>
          <w:rFonts w:cs="Arial"/>
        </w:rPr>
        <w:t xml:space="preserve"> of </w:t>
      </w:r>
      <w:r w:rsidR="008F42FE">
        <w:rPr>
          <w:rFonts w:cs="Arial"/>
        </w:rPr>
        <w:t>training and practice</w:t>
      </w:r>
      <w:r w:rsidR="007B3D65">
        <w:rPr>
          <w:rFonts w:cs="Arial"/>
        </w:rPr>
        <w:t xml:space="preserve"> resources and material.</w:t>
      </w:r>
      <w:r>
        <w:rPr>
          <w:rFonts w:cs="Arial"/>
        </w:rPr>
        <w:t xml:space="preserve"> </w:t>
      </w:r>
    </w:p>
    <w:p w:rsidR="001C127C" w:rsidRDefault="001C127C" w:rsidP="00DD5024">
      <w:pPr>
        <w:keepNext/>
        <w:jc w:val="both"/>
        <w:rPr>
          <w:rFonts w:cs="Arial"/>
        </w:rPr>
      </w:pPr>
      <w:r w:rsidRPr="009B2F12">
        <w:rPr>
          <w:rFonts w:cs="Arial"/>
        </w:rPr>
        <w:t xml:space="preserve">Child </w:t>
      </w:r>
      <w:r>
        <w:rPr>
          <w:rFonts w:cs="Arial"/>
        </w:rPr>
        <w:t>S</w:t>
      </w:r>
      <w:r w:rsidRPr="009B2F12">
        <w:rPr>
          <w:rFonts w:cs="Arial"/>
        </w:rPr>
        <w:t>a</w:t>
      </w:r>
      <w:r>
        <w:rPr>
          <w:rFonts w:cs="Arial"/>
        </w:rPr>
        <w:t>fety staff have access to a six-</w:t>
      </w:r>
      <w:r w:rsidRPr="009B2F12">
        <w:rPr>
          <w:rFonts w:cs="Arial"/>
        </w:rPr>
        <w:t>hour workshop on Cumulative Harm, a five module eLearning series on Domestic and Family Violence, an eLearning module on Crystal Methamphetamine, two eLearning modules on the topics of Parental Mental Health and Alcohol and Other Drug Use and Structure</w:t>
      </w:r>
      <w:r>
        <w:rPr>
          <w:rFonts w:cs="Arial"/>
        </w:rPr>
        <w:t>d</w:t>
      </w:r>
      <w:r w:rsidRPr="009B2F12">
        <w:rPr>
          <w:rFonts w:cs="Arial"/>
        </w:rPr>
        <w:t xml:space="preserve"> Decision Making traini</w:t>
      </w:r>
      <w:r>
        <w:rPr>
          <w:rFonts w:cs="Arial"/>
        </w:rPr>
        <w:t xml:space="preserve">ng.  </w:t>
      </w:r>
      <w:r w:rsidR="00993078">
        <w:rPr>
          <w:rFonts w:cs="Arial"/>
        </w:rPr>
        <w:t>M</w:t>
      </w:r>
      <w:r>
        <w:rPr>
          <w:rFonts w:cs="Arial"/>
        </w:rPr>
        <w:t>andatory Child S</w:t>
      </w:r>
      <w:r w:rsidRPr="009B2F12">
        <w:rPr>
          <w:rFonts w:cs="Arial"/>
        </w:rPr>
        <w:t>afety face-to-face training i</w:t>
      </w:r>
      <w:r w:rsidR="00993078">
        <w:rPr>
          <w:rFonts w:cs="Arial"/>
        </w:rPr>
        <w:t>ncludes</w:t>
      </w:r>
      <w:r>
        <w:rPr>
          <w:rFonts w:cs="Arial"/>
        </w:rPr>
        <w:t xml:space="preserve"> a one and a half-</w:t>
      </w:r>
      <w:r w:rsidRPr="009B2F12">
        <w:rPr>
          <w:rFonts w:cs="Arial"/>
        </w:rPr>
        <w:t>day workshop on Risk Assessment and Decision Making.  Th</w:t>
      </w:r>
      <w:r w:rsidR="00993078">
        <w:rPr>
          <w:rFonts w:cs="Arial"/>
        </w:rPr>
        <w:t>is</w:t>
      </w:r>
      <w:r w:rsidRPr="009B2F12">
        <w:rPr>
          <w:rFonts w:cs="Arial"/>
        </w:rPr>
        <w:t xml:space="preserve"> training, along with other ongoing practice development resources</w:t>
      </w:r>
      <w:r>
        <w:rPr>
          <w:rFonts w:cs="Arial"/>
        </w:rPr>
        <w:t>,</w:t>
      </w:r>
      <w:r w:rsidRPr="009B2F12">
        <w:rPr>
          <w:rFonts w:cs="Arial"/>
        </w:rPr>
        <w:t xml:space="preserve"> </w:t>
      </w:r>
      <w:r>
        <w:rPr>
          <w:rFonts w:cs="Arial"/>
        </w:rPr>
        <w:t xml:space="preserve">support </w:t>
      </w:r>
      <w:r w:rsidRPr="009B2F12">
        <w:rPr>
          <w:rFonts w:cs="Arial"/>
        </w:rPr>
        <w:t>staff in the use of their professional judgement and in determining the possible risk associated with supervisory neglect, for example, accidental injury. </w:t>
      </w:r>
    </w:p>
    <w:p w:rsidR="00AF1157" w:rsidRDefault="007C17C0" w:rsidP="00DD5024">
      <w:pPr>
        <w:jc w:val="both"/>
        <w:rPr>
          <w:rFonts w:cs="Arial"/>
        </w:rPr>
      </w:pPr>
      <w:r>
        <w:rPr>
          <w:rFonts w:cs="Arial"/>
        </w:rPr>
        <w:t xml:space="preserve">There is </w:t>
      </w:r>
      <w:r w:rsidR="00F56C5E">
        <w:rPr>
          <w:rFonts w:cs="Arial"/>
        </w:rPr>
        <w:t xml:space="preserve">now </w:t>
      </w:r>
      <w:r>
        <w:rPr>
          <w:rFonts w:cs="Arial"/>
        </w:rPr>
        <w:t>a</w:t>
      </w:r>
      <w:r w:rsidR="00AF1157" w:rsidRPr="001D4E2E">
        <w:rPr>
          <w:rFonts w:cs="Arial"/>
        </w:rPr>
        <w:t xml:space="preserve"> staff training module on water safety (compulsory for C</w:t>
      </w:r>
      <w:r w:rsidR="00F61F1C">
        <w:rPr>
          <w:rFonts w:cs="Arial"/>
        </w:rPr>
        <w:t xml:space="preserve">hild </w:t>
      </w:r>
      <w:r w:rsidR="00AF1157" w:rsidRPr="001D4E2E">
        <w:rPr>
          <w:rFonts w:cs="Arial"/>
        </w:rPr>
        <w:t>S</w:t>
      </w:r>
      <w:r w:rsidR="00F61F1C">
        <w:rPr>
          <w:rFonts w:cs="Arial"/>
        </w:rPr>
        <w:t xml:space="preserve">afety </w:t>
      </w:r>
      <w:r w:rsidR="00AF1157" w:rsidRPr="001D4E2E">
        <w:rPr>
          <w:rFonts w:cs="Arial"/>
        </w:rPr>
        <w:t>O</w:t>
      </w:r>
      <w:r w:rsidR="00F61F1C">
        <w:rPr>
          <w:rFonts w:cs="Arial"/>
        </w:rPr>
        <w:t>fficer</w:t>
      </w:r>
      <w:r w:rsidR="00AF1157" w:rsidRPr="001D4E2E">
        <w:rPr>
          <w:rFonts w:cs="Arial"/>
        </w:rPr>
        <w:t>s, C</w:t>
      </w:r>
      <w:r w:rsidR="00F61F1C">
        <w:rPr>
          <w:rFonts w:cs="Arial"/>
        </w:rPr>
        <w:t xml:space="preserve">hild </w:t>
      </w:r>
      <w:r w:rsidR="00AF1157" w:rsidRPr="001D4E2E">
        <w:rPr>
          <w:rFonts w:cs="Arial"/>
        </w:rPr>
        <w:t>S</w:t>
      </w:r>
      <w:r w:rsidR="00F61F1C">
        <w:rPr>
          <w:rFonts w:cs="Arial"/>
        </w:rPr>
        <w:t xml:space="preserve">afety </w:t>
      </w:r>
      <w:r w:rsidR="00AF1157" w:rsidRPr="001D4E2E">
        <w:rPr>
          <w:rFonts w:cs="Arial"/>
        </w:rPr>
        <w:t>S</w:t>
      </w:r>
      <w:r w:rsidR="00F61F1C">
        <w:rPr>
          <w:rFonts w:cs="Arial"/>
        </w:rPr>
        <w:t xml:space="preserve">upport </w:t>
      </w:r>
      <w:r w:rsidR="00AF1157" w:rsidRPr="001D4E2E">
        <w:rPr>
          <w:rFonts w:cs="Arial"/>
        </w:rPr>
        <w:t>O</w:t>
      </w:r>
      <w:r w:rsidR="00F61F1C">
        <w:rPr>
          <w:rFonts w:cs="Arial"/>
        </w:rPr>
        <w:t>fficer</w:t>
      </w:r>
      <w:r w:rsidR="00AF1157" w:rsidRPr="001D4E2E">
        <w:rPr>
          <w:rFonts w:cs="Arial"/>
        </w:rPr>
        <w:t>s, Senior Te</w:t>
      </w:r>
      <w:r w:rsidR="00AF1157">
        <w:rPr>
          <w:rFonts w:cs="Arial"/>
        </w:rPr>
        <w:t>am Leaders and all P</w:t>
      </w:r>
      <w:r w:rsidR="00F61F1C">
        <w:rPr>
          <w:rFonts w:cs="Arial"/>
        </w:rPr>
        <w:t xml:space="preserve">lacement </w:t>
      </w:r>
      <w:r w:rsidR="00AF1157">
        <w:rPr>
          <w:rFonts w:cs="Arial"/>
        </w:rPr>
        <w:t>S</w:t>
      </w:r>
      <w:r w:rsidR="00F61F1C">
        <w:rPr>
          <w:rFonts w:cs="Arial"/>
        </w:rPr>
        <w:t xml:space="preserve">upport </w:t>
      </w:r>
      <w:r w:rsidR="00AF1157">
        <w:rPr>
          <w:rFonts w:cs="Arial"/>
        </w:rPr>
        <w:t>U</w:t>
      </w:r>
      <w:r w:rsidR="00F61F1C">
        <w:rPr>
          <w:rFonts w:cs="Arial"/>
        </w:rPr>
        <w:t>nit</w:t>
      </w:r>
      <w:r w:rsidR="00AF1157">
        <w:rPr>
          <w:rFonts w:cs="Arial"/>
        </w:rPr>
        <w:t xml:space="preserve"> staff). </w:t>
      </w:r>
      <w:r w:rsidR="00AF1157" w:rsidRPr="001D4E2E">
        <w:rPr>
          <w:rFonts w:cs="Arial"/>
        </w:rPr>
        <w:t xml:space="preserve">The </w:t>
      </w:r>
      <w:r w:rsidR="00AF1157" w:rsidRPr="001D4E2E">
        <w:rPr>
          <w:rFonts w:cs="Arial"/>
        </w:rPr>
        <w:lastRenderedPageBreak/>
        <w:t>water safety training is an ongoing practice development course which is part of GRO</w:t>
      </w:r>
      <w:r w:rsidR="002650D7">
        <w:rPr>
          <w:rStyle w:val="FootnoteReference"/>
          <w:rFonts w:cs="Arial"/>
        </w:rPr>
        <w:footnoteReference w:id="8"/>
      </w:r>
      <w:r w:rsidR="00AF1157" w:rsidRPr="001D4E2E">
        <w:rPr>
          <w:rFonts w:cs="Arial"/>
        </w:rPr>
        <w:t xml:space="preserve"> (the Department of C</w:t>
      </w:r>
      <w:r w:rsidR="00F61F1C">
        <w:rPr>
          <w:rFonts w:cs="Arial"/>
        </w:rPr>
        <w:t>hild</w:t>
      </w:r>
      <w:r w:rsidR="00AF1157" w:rsidRPr="001D4E2E">
        <w:rPr>
          <w:rFonts w:cs="Arial"/>
        </w:rPr>
        <w:t xml:space="preserve"> Safety</w:t>
      </w:r>
      <w:r w:rsidR="00F61F1C">
        <w:rPr>
          <w:rFonts w:cs="Arial"/>
        </w:rPr>
        <w:t>, Youth and Women’s</w:t>
      </w:r>
      <w:r w:rsidR="00AF1157" w:rsidRPr="001D4E2E">
        <w:rPr>
          <w:rFonts w:cs="Arial"/>
        </w:rPr>
        <w:t xml:space="preserve"> learning and development program, for child safety officers). </w:t>
      </w:r>
    </w:p>
    <w:p w:rsidR="001C127C" w:rsidRPr="001D4E2E" w:rsidRDefault="00DE11BD" w:rsidP="00DD5024">
      <w:pPr>
        <w:jc w:val="both"/>
        <w:rPr>
          <w:rFonts w:cs="Arial"/>
        </w:rPr>
      </w:pPr>
      <w:r>
        <w:rPr>
          <w:rFonts w:cs="Arial"/>
        </w:rPr>
        <w:t xml:space="preserve">In 2017-18 </w:t>
      </w:r>
      <w:r w:rsidR="001C127C" w:rsidRPr="001D4E2E">
        <w:rPr>
          <w:rFonts w:cs="Arial"/>
        </w:rPr>
        <w:t xml:space="preserve">Child Safety Training partnered with Kidsafe, who also consulted with Royal Life Saving Australia in the development of the </w:t>
      </w:r>
      <w:r w:rsidR="00A66B66">
        <w:rPr>
          <w:rFonts w:cs="Arial"/>
        </w:rPr>
        <w:t xml:space="preserve">water safety </w:t>
      </w:r>
      <w:r w:rsidR="001C127C" w:rsidRPr="001D4E2E">
        <w:rPr>
          <w:rFonts w:cs="Arial"/>
        </w:rPr>
        <w:t>training.</w:t>
      </w:r>
      <w:r w:rsidR="001C127C">
        <w:rPr>
          <w:rFonts w:cs="Arial"/>
        </w:rPr>
        <w:t xml:space="preserve"> </w:t>
      </w:r>
      <w:r w:rsidR="001C127C" w:rsidRPr="001D4E2E">
        <w:rPr>
          <w:rFonts w:cs="Arial"/>
        </w:rPr>
        <w:t>The learning objectives are for staff to be able to:</w:t>
      </w:r>
    </w:p>
    <w:p w:rsidR="001C127C" w:rsidRPr="00815C66" w:rsidRDefault="001C127C" w:rsidP="00DD5024">
      <w:pPr>
        <w:pStyle w:val="ListParagraph"/>
        <w:numPr>
          <w:ilvl w:val="0"/>
          <w:numId w:val="5"/>
        </w:numPr>
        <w:spacing w:after="120" w:line="240" w:lineRule="auto"/>
        <w:contextualSpacing w:val="0"/>
        <w:jc w:val="both"/>
        <w:rPr>
          <w:rFonts w:ascii="Arial" w:eastAsia="Times New Roman" w:hAnsi="Arial" w:cs="Arial"/>
          <w:szCs w:val="24"/>
          <w:lang w:eastAsia="en-AU"/>
        </w:rPr>
      </w:pPr>
      <w:r w:rsidRPr="00815C66">
        <w:rPr>
          <w:rFonts w:ascii="Arial" w:eastAsia="Times New Roman" w:hAnsi="Arial" w:cs="Arial"/>
          <w:szCs w:val="24"/>
          <w:lang w:eastAsia="en-AU"/>
        </w:rPr>
        <w:t>explain the basics of water safety and why it is important</w:t>
      </w:r>
    </w:p>
    <w:p w:rsidR="001C127C" w:rsidRPr="00815C66" w:rsidRDefault="001C127C" w:rsidP="00DD5024">
      <w:pPr>
        <w:pStyle w:val="ListParagraph"/>
        <w:numPr>
          <w:ilvl w:val="0"/>
          <w:numId w:val="5"/>
        </w:numPr>
        <w:spacing w:after="120" w:line="240" w:lineRule="auto"/>
        <w:contextualSpacing w:val="0"/>
        <w:jc w:val="both"/>
        <w:rPr>
          <w:rFonts w:ascii="Arial" w:eastAsia="Times New Roman" w:hAnsi="Arial" w:cs="Arial"/>
          <w:szCs w:val="24"/>
          <w:lang w:eastAsia="en-AU"/>
        </w:rPr>
      </w:pPr>
      <w:r w:rsidRPr="00815C66">
        <w:rPr>
          <w:rFonts w:ascii="Arial" w:eastAsia="Times New Roman" w:hAnsi="Arial" w:cs="Arial"/>
          <w:szCs w:val="24"/>
          <w:lang w:eastAsia="en-AU"/>
        </w:rPr>
        <w:t>identify different types of water injury</w:t>
      </w:r>
    </w:p>
    <w:p w:rsidR="001C127C" w:rsidRPr="00815C66" w:rsidRDefault="001C127C" w:rsidP="00DD5024">
      <w:pPr>
        <w:pStyle w:val="ListParagraph"/>
        <w:numPr>
          <w:ilvl w:val="0"/>
          <w:numId w:val="5"/>
        </w:numPr>
        <w:spacing w:after="120" w:line="240" w:lineRule="auto"/>
        <w:contextualSpacing w:val="0"/>
        <w:jc w:val="both"/>
        <w:rPr>
          <w:rFonts w:ascii="Arial" w:eastAsia="Times New Roman" w:hAnsi="Arial" w:cs="Arial"/>
          <w:szCs w:val="24"/>
          <w:lang w:eastAsia="en-AU"/>
        </w:rPr>
      </w:pPr>
      <w:r w:rsidRPr="00815C66">
        <w:rPr>
          <w:rFonts w:ascii="Arial" w:eastAsia="Times New Roman" w:hAnsi="Arial" w:cs="Arial"/>
          <w:szCs w:val="24"/>
          <w:lang w:eastAsia="en-AU"/>
        </w:rPr>
        <w:t>identify risk factors for water injury for different age brackets</w:t>
      </w:r>
    </w:p>
    <w:p w:rsidR="001C127C" w:rsidRPr="00815C66" w:rsidRDefault="001C127C" w:rsidP="00DD5024">
      <w:pPr>
        <w:pStyle w:val="ListParagraph"/>
        <w:numPr>
          <w:ilvl w:val="0"/>
          <w:numId w:val="5"/>
        </w:numPr>
        <w:spacing w:after="120" w:line="240" w:lineRule="auto"/>
        <w:contextualSpacing w:val="0"/>
        <w:jc w:val="both"/>
        <w:rPr>
          <w:rFonts w:ascii="Arial" w:eastAsia="Times New Roman" w:hAnsi="Arial" w:cs="Arial"/>
          <w:szCs w:val="24"/>
          <w:lang w:eastAsia="en-AU"/>
        </w:rPr>
      </w:pPr>
      <w:r w:rsidRPr="00815C66">
        <w:rPr>
          <w:rFonts w:ascii="Arial" w:eastAsia="Times New Roman" w:hAnsi="Arial" w:cs="Arial"/>
          <w:szCs w:val="24"/>
          <w:lang w:eastAsia="en-AU"/>
        </w:rPr>
        <w:t>identify the factors that influence the occurrence of water related injury</w:t>
      </w:r>
    </w:p>
    <w:p w:rsidR="001C127C" w:rsidRPr="00815C66" w:rsidRDefault="001C127C" w:rsidP="00DD5024">
      <w:pPr>
        <w:pStyle w:val="ListParagraph"/>
        <w:numPr>
          <w:ilvl w:val="0"/>
          <w:numId w:val="5"/>
        </w:numPr>
        <w:spacing w:after="120" w:line="240" w:lineRule="auto"/>
        <w:contextualSpacing w:val="0"/>
        <w:jc w:val="both"/>
        <w:rPr>
          <w:rFonts w:ascii="Arial" w:eastAsia="Times New Roman" w:hAnsi="Arial" w:cs="Arial"/>
          <w:szCs w:val="24"/>
          <w:lang w:eastAsia="en-AU"/>
        </w:rPr>
      </w:pPr>
      <w:r w:rsidRPr="00815C66">
        <w:rPr>
          <w:rFonts w:ascii="Arial" w:eastAsia="Times New Roman" w:hAnsi="Arial" w:cs="Arial"/>
          <w:szCs w:val="24"/>
          <w:lang w:eastAsia="en-AU"/>
        </w:rPr>
        <w:t>identify water hazards</w:t>
      </w:r>
    </w:p>
    <w:p w:rsidR="001C127C" w:rsidRDefault="001C127C" w:rsidP="00DD5024">
      <w:pPr>
        <w:pStyle w:val="ListParagraph"/>
        <w:numPr>
          <w:ilvl w:val="0"/>
          <w:numId w:val="5"/>
        </w:numPr>
        <w:spacing w:after="120" w:line="240" w:lineRule="auto"/>
        <w:contextualSpacing w:val="0"/>
        <w:jc w:val="both"/>
        <w:rPr>
          <w:rFonts w:cs="Arial"/>
        </w:rPr>
      </w:pPr>
      <w:r w:rsidRPr="00815C66">
        <w:rPr>
          <w:rFonts w:ascii="Arial" w:eastAsia="Times New Roman" w:hAnsi="Arial" w:cs="Arial"/>
          <w:szCs w:val="24"/>
          <w:lang w:eastAsia="en-AU"/>
        </w:rPr>
        <w:t>locate different resources available to increase your personal understanding of water safety awareness.</w:t>
      </w:r>
    </w:p>
    <w:p w:rsidR="001C127C" w:rsidRDefault="001C127C" w:rsidP="00DD5024">
      <w:pPr>
        <w:jc w:val="both"/>
        <w:rPr>
          <w:rFonts w:cs="Arial"/>
        </w:rPr>
      </w:pPr>
      <w:r w:rsidRPr="00815C66">
        <w:rPr>
          <w:rFonts w:cs="Arial"/>
        </w:rPr>
        <w:t>The Q</w:t>
      </w:r>
      <w:r w:rsidR="00A66B66">
        <w:rPr>
          <w:rFonts w:cs="Arial"/>
        </w:rPr>
        <w:t xml:space="preserve">ueensland </w:t>
      </w:r>
      <w:r w:rsidRPr="00815C66">
        <w:rPr>
          <w:rFonts w:cs="Arial"/>
        </w:rPr>
        <w:t>F</w:t>
      </w:r>
      <w:r w:rsidR="00A66B66">
        <w:rPr>
          <w:rFonts w:cs="Arial"/>
        </w:rPr>
        <w:t xml:space="preserve">amily and </w:t>
      </w:r>
      <w:r w:rsidRPr="00815C66">
        <w:rPr>
          <w:rFonts w:cs="Arial"/>
        </w:rPr>
        <w:t>C</w:t>
      </w:r>
      <w:r w:rsidR="00A66B66">
        <w:rPr>
          <w:rFonts w:cs="Arial"/>
        </w:rPr>
        <w:t xml:space="preserve">hild </w:t>
      </w:r>
      <w:r w:rsidRPr="00815C66">
        <w:rPr>
          <w:rFonts w:cs="Arial"/>
        </w:rPr>
        <w:t>C</w:t>
      </w:r>
      <w:r w:rsidR="00A66B66">
        <w:rPr>
          <w:rFonts w:cs="Arial"/>
        </w:rPr>
        <w:t>ommission</w:t>
      </w:r>
      <w:r w:rsidRPr="00815C66">
        <w:rPr>
          <w:rFonts w:cs="Arial"/>
        </w:rPr>
        <w:t xml:space="preserve"> video</w:t>
      </w:r>
      <w:r w:rsidR="00DE11BD">
        <w:rPr>
          <w:rFonts w:cs="Arial"/>
        </w:rPr>
        <w:t xml:space="preserve"> and information</w:t>
      </w:r>
      <w:r>
        <w:rPr>
          <w:rFonts w:cs="Arial"/>
        </w:rPr>
        <w:t xml:space="preserve"> from the </w:t>
      </w:r>
      <w:r w:rsidRPr="00815C66">
        <w:rPr>
          <w:rFonts w:cs="Arial"/>
          <w:i/>
        </w:rPr>
        <w:t>Seconds Count</w:t>
      </w:r>
      <w:r w:rsidRPr="001D4E2E">
        <w:rPr>
          <w:rFonts w:cs="Arial"/>
        </w:rPr>
        <w:t xml:space="preserve"> campaign</w:t>
      </w:r>
      <w:r>
        <w:rPr>
          <w:rFonts w:cs="Arial"/>
        </w:rPr>
        <w:t xml:space="preserve"> has been distributed to all staff for their ongoing awareness about the importance of </w:t>
      </w:r>
      <w:r w:rsidRPr="00E20B18">
        <w:rPr>
          <w:rFonts w:cs="Arial"/>
        </w:rPr>
        <w:t>spread</w:t>
      </w:r>
      <w:r>
        <w:rPr>
          <w:rFonts w:cs="Arial"/>
        </w:rPr>
        <w:t>ing</w:t>
      </w:r>
      <w:r w:rsidRPr="00E20B18">
        <w:rPr>
          <w:rFonts w:cs="Arial"/>
        </w:rPr>
        <w:t xml:space="preserve"> </w:t>
      </w:r>
      <w:r>
        <w:rPr>
          <w:rFonts w:cs="Arial"/>
        </w:rPr>
        <w:t>the</w:t>
      </w:r>
      <w:r w:rsidRPr="00E20B18">
        <w:rPr>
          <w:rFonts w:cs="Arial"/>
        </w:rPr>
        <w:t xml:space="preserve"> water safety message</w:t>
      </w:r>
      <w:r>
        <w:rPr>
          <w:rFonts w:cs="Arial"/>
        </w:rPr>
        <w:t>.</w:t>
      </w:r>
    </w:p>
    <w:p w:rsidR="00A757E1" w:rsidRDefault="00DE11BD" w:rsidP="00DD5024">
      <w:pPr>
        <w:jc w:val="both"/>
        <w:rPr>
          <w:rFonts w:cs="Arial"/>
        </w:rPr>
      </w:pPr>
      <w:r w:rsidRPr="00A757E1">
        <w:rPr>
          <w:rFonts w:cs="Arial"/>
        </w:rPr>
        <w:t xml:space="preserve">In 2018 the department participated as a member of the Ministerial </w:t>
      </w:r>
      <w:r w:rsidR="00F42DD3" w:rsidRPr="00A757E1">
        <w:rPr>
          <w:rFonts w:cs="Arial"/>
        </w:rPr>
        <w:t>Water Safety Roundtable hosted by Minister Gra</w:t>
      </w:r>
      <w:r w:rsidR="00A757E1" w:rsidRPr="00A757E1">
        <w:rPr>
          <w:rFonts w:cs="Arial"/>
        </w:rPr>
        <w:t>ce Grace, Minister for Education and Minister for Industrial Relations</w:t>
      </w:r>
      <w:r w:rsidRPr="00A757E1">
        <w:rPr>
          <w:rFonts w:cs="Arial"/>
        </w:rPr>
        <w:t>.</w:t>
      </w:r>
      <w:r w:rsidR="00A757E1">
        <w:rPr>
          <w:rFonts w:cs="Arial"/>
        </w:rPr>
        <w:t xml:space="preserve"> Other key stakeholders included Surf Lifesaving Queensland, Royal Lifesaving, AUSTSWIM, Queensland Council of Parents and Citizens’ Association and government representatives. Key outcomes of the Roundtable will include:</w:t>
      </w:r>
    </w:p>
    <w:p w:rsidR="00A757E1" w:rsidRPr="00A757E1" w:rsidRDefault="00A757E1" w:rsidP="00A757E1">
      <w:pPr>
        <w:numPr>
          <w:ilvl w:val="0"/>
          <w:numId w:val="25"/>
        </w:numPr>
        <w:jc w:val="both"/>
        <w:rPr>
          <w:rFonts w:cs="Arial"/>
        </w:rPr>
      </w:pPr>
      <w:r w:rsidRPr="00A757E1">
        <w:rPr>
          <w:rFonts w:cs="Arial"/>
        </w:rPr>
        <w:t xml:space="preserve">improving the funding available for state schools </w:t>
      </w:r>
    </w:p>
    <w:p w:rsidR="00A757E1" w:rsidRPr="00A757E1" w:rsidRDefault="00A757E1" w:rsidP="00A757E1">
      <w:pPr>
        <w:numPr>
          <w:ilvl w:val="0"/>
          <w:numId w:val="25"/>
        </w:numPr>
        <w:jc w:val="both"/>
        <w:rPr>
          <w:rFonts w:cs="Arial"/>
        </w:rPr>
      </w:pPr>
      <w:r w:rsidRPr="00A757E1">
        <w:rPr>
          <w:rFonts w:cs="Arial"/>
        </w:rPr>
        <w:t>release of the Queensland water safety action statement</w:t>
      </w:r>
    </w:p>
    <w:p w:rsidR="00A757E1" w:rsidRPr="00A757E1" w:rsidRDefault="00A757E1" w:rsidP="00A757E1">
      <w:pPr>
        <w:numPr>
          <w:ilvl w:val="0"/>
          <w:numId w:val="25"/>
        </w:numPr>
        <w:jc w:val="both"/>
        <w:rPr>
          <w:rFonts w:cs="Arial"/>
        </w:rPr>
      </w:pPr>
      <w:r w:rsidRPr="00A757E1">
        <w:rPr>
          <w:rFonts w:cs="Arial"/>
        </w:rPr>
        <w:t>publishing a water safety and swimming education program for Prep to Year 10</w:t>
      </w:r>
    </w:p>
    <w:p w:rsidR="00A757E1" w:rsidRPr="00A757E1" w:rsidRDefault="00A757E1" w:rsidP="00A757E1">
      <w:pPr>
        <w:numPr>
          <w:ilvl w:val="0"/>
          <w:numId w:val="25"/>
        </w:numPr>
        <w:jc w:val="both"/>
        <w:rPr>
          <w:rFonts w:cs="Arial"/>
        </w:rPr>
      </w:pPr>
      <w:r w:rsidRPr="00A757E1">
        <w:rPr>
          <w:rFonts w:cs="Arial"/>
        </w:rPr>
        <w:t>releasing a statement of expectations</w:t>
      </w:r>
    </w:p>
    <w:p w:rsidR="00A757E1" w:rsidRPr="00A757E1" w:rsidRDefault="00A757E1" w:rsidP="00A757E1">
      <w:pPr>
        <w:numPr>
          <w:ilvl w:val="0"/>
          <w:numId w:val="25"/>
        </w:numPr>
        <w:jc w:val="both"/>
        <w:rPr>
          <w:rFonts w:cs="Arial"/>
        </w:rPr>
      </w:pPr>
      <w:r w:rsidRPr="00A757E1">
        <w:rPr>
          <w:rFonts w:cs="Arial"/>
        </w:rPr>
        <w:t>a pledge of commitment to water safety (</w:t>
      </w:r>
      <w:r w:rsidR="00F56C5E">
        <w:rPr>
          <w:rFonts w:cs="Arial"/>
        </w:rPr>
        <w:t xml:space="preserve">to be </w:t>
      </w:r>
      <w:r w:rsidRPr="00A757E1">
        <w:rPr>
          <w:rFonts w:cs="Arial"/>
        </w:rPr>
        <w:t>signed by all key stakeholders)</w:t>
      </w:r>
    </w:p>
    <w:p w:rsidR="00264DBC" w:rsidRPr="00264DBC" w:rsidRDefault="00264DBC" w:rsidP="00DD5024">
      <w:pPr>
        <w:pStyle w:val="Heading2"/>
        <w:spacing w:before="240"/>
        <w:jc w:val="both"/>
        <w:rPr>
          <w:sz w:val="28"/>
        </w:rPr>
      </w:pPr>
      <w:bookmarkStart w:id="98" w:name="_Toc524517392"/>
      <w:r w:rsidRPr="00264DBC">
        <w:rPr>
          <w:sz w:val="28"/>
        </w:rPr>
        <w:t>Early childhood development</w:t>
      </w:r>
      <w:bookmarkEnd w:id="98"/>
    </w:p>
    <w:p w:rsidR="00264DBC" w:rsidRPr="00264DBC" w:rsidRDefault="00264DBC" w:rsidP="00DD5024">
      <w:pPr>
        <w:autoSpaceDE w:val="0"/>
        <w:autoSpaceDN w:val="0"/>
        <w:adjustRightInd w:val="0"/>
        <w:jc w:val="both"/>
        <w:rPr>
          <w:rFonts w:cs="Arial"/>
          <w:bCs/>
          <w:iCs/>
        </w:rPr>
      </w:pPr>
      <w:r w:rsidRPr="00264DBC">
        <w:rPr>
          <w:rFonts w:cs="Arial"/>
          <w:bCs/>
          <w:iCs/>
        </w:rPr>
        <w:t xml:space="preserve">The quality of the attachment relationship between the child and their caregiver is central to decision-making across the child protection continuum, from intake to assessment of safety and risk, through permanency planning, including reunification and long-term alternative care options. Transition planning incorporates consideration of relationships established in alternative care environments. </w:t>
      </w:r>
    </w:p>
    <w:p w:rsidR="00264DBC" w:rsidRPr="00264DBC" w:rsidRDefault="00264DBC" w:rsidP="00DD5024">
      <w:pPr>
        <w:autoSpaceDE w:val="0"/>
        <w:autoSpaceDN w:val="0"/>
        <w:adjustRightInd w:val="0"/>
        <w:jc w:val="both"/>
        <w:rPr>
          <w:rFonts w:cs="Arial"/>
          <w:bCs/>
          <w:iCs/>
        </w:rPr>
      </w:pPr>
      <w:r w:rsidRPr="00264DBC">
        <w:rPr>
          <w:rFonts w:cs="Arial"/>
          <w:bCs/>
          <w:iCs/>
        </w:rPr>
        <w:t xml:space="preserve">During intervention with parental agreement work and post reunification, the department aims to educate parents on the importance of attachment relationships for children. In addition to the development of the child’s internal working model, those close to the child may be able to provide support to the parents through their informal safety and support network. </w:t>
      </w:r>
    </w:p>
    <w:p w:rsidR="00264DBC" w:rsidRPr="00264DBC" w:rsidRDefault="00264DBC" w:rsidP="00DD5024">
      <w:pPr>
        <w:autoSpaceDE w:val="0"/>
        <w:autoSpaceDN w:val="0"/>
        <w:adjustRightInd w:val="0"/>
        <w:jc w:val="both"/>
        <w:rPr>
          <w:rFonts w:cs="Arial"/>
          <w:bCs/>
          <w:iCs/>
        </w:rPr>
      </w:pPr>
      <w:r w:rsidRPr="00264DBC">
        <w:rPr>
          <w:rFonts w:cs="Arial"/>
          <w:bCs/>
          <w:iCs/>
        </w:rPr>
        <w:t xml:space="preserve">The department provides specific practice guidance in the ‘child protection intervention with high-risk infants’ practice resource regarding the life-long importance of the </w:t>
      </w:r>
      <w:r w:rsidRPr="00264DBC">
        <w:rPr>
          <w:rFonts w:cs="Arial"/>
          <w:bCs/>
          <w:iCs/>
        </w:rPr>
        <w:br/>
        <w:t>early-establishment of a healthy attachment with a consistent caregiver.</w:t>
      </w:r>
      <w:r w:rsidR="0055322E">
        <w:rPr>
          <w:rFonts w:cs="Arial"/>
          <w:bCs/>
          <w:iCs/>
        </w:rPr>
        <w:t xml:space="preserve"> </w:t>
      </w:r>
      <w:r w:rsidRPr="00264DBC">
        <w:rPr>
          <w:rFonts w:cs="Arial"/>
          <w:bCs/>
          <w:iCs/>
        </w:rPr>
        <w:t xml:space="preserve">Child Safety Officer </w:t>
      </w:r>
      <w:r w:rsidRPr="00264DBC">
        <w:rPr>
          <w:rFonts w:cs="Arial"/>
          <w:bCs/>
          <w:iCs/>
        </w:rPr>
        <w:lastRenderedPageBreak/>
        <w:t>training</w:t>
      </w:r>
      <w:r w:rsidR="00DE11BD">
        <w:rPr>
          <w:rFonts w:cs="Arial"/>
          <w:bCs/>
          <w:iCs/>
        </w:rPr>
        <w:t xml:space="preserve"> materials </w:t>
      </w:r>
      <w:r w:rsidR="0055322E">
        <w:rPr>
          <w:rFonts w:cs="Arial"/>
          <w:bCs/>
          <w:iCs/>
        </w:rPr>
        <w:t xml:space="preserve">also </w:t>
      </w:r>
      <w:r w:rsidR="00DE11BD">
        <w:rPr>
          <w:rFonts w:cs="Arial"/>
          <w:bCs/>
          <w:iCs/>
        </w:rPr>
        <w:t xml:space="preserve">include </w:t>
      </w:r>
      <w:r w:rsidRPr="00264DBC">
        <w:rPr>
          <w:rFonts w:cs="Arial"/>
          <w:bCs/>
          <w:iCs/>
        </w:rPr>
        <w:t xml:space="preserve">the </w:t>
      </w:r>
      <w:r w:rsidR="00DE11BD">
        <w:rPr>
          <w:rFonts w:cs="Arial"/>
          <w:bCs/>
          <w:iCs/>
        </w:rPr>
        <w:t>P</w:t>
      </w:r>
      <w:r w:rsidRPr="00264DBC">
        <w:rPr>
          <w:rFonts w:cs="Arial"/>
          <w:bCs/>
          <w:iCs/>
        </w:rPr>
        <w:t>ractice Guide on Assessing Harm and Risk of Harm; and the Child Development Trauma guide – 0 to 18 years.</w:t>
      </w:r>
    </w:p>
    <w:p w:rsidR="00264DBC" w:rsidRPr="00264DBC" w:rsidRDefault="00DE11BD" w:rsidP="00DD5024">
      <w:pPr>
        <w:autoSpaceDE w:val="0"/>
        <w:autoSpaceDN w:val="0"/>
        <w:adjustRightInd w:val="0"/>
        <w:jc w:val="both"/>
        <w:rPr>
          <w:rFonts w:cs="Arial"/>
          <w:bCs/>
          <w:iCs/>
        </w:rPr>
      </w:pPr>
      <w:r>
        <w:rPr>
          <w:rFonts w:cs="Arial"/>
          <w:bCs/>
          <w:iCs/>
        </w:rPr>
        <w:t>T</w:t>
      </w:r>
      <w:r w:rsidR="00264DBC" w:rsidRPr="00264DBC">
        <w:rPr>
          <w:rFonts w:cs="Arial"/>
          <w:bCs/>
          <w:iCs/>
        </w:rPr>
        <w:t>he Safety Assessment and Immediate Safety Planning course materials, and the ongoing workshop GRO-O Working with High Risk Infants and Unborn Children</w:t>
      </w:r>
      <w:r>
        <w:rPr>
          <w:rFonts w:cs="Arial"/>
          <w:bCs/>
          <w:iCs/>
        </w:rPr>
        <w:t xml:space="preserve">, </w:t>
      </w:r>
      <w:r w:rsidR="00264DBC">
        <w:rPr>
          <w:rFonts w:cs="Arial"/>
          <w:bCs/>
          <w:iCs/>
        </w:rPr>
        <w:t>have been reviewed to contemporise</w:t>
      </w:r>
      <w:r w:rsidR="00264DBC" w:rsidRPr="00264DBC">
        <w:rPr>
          <w:rFonts w:cs="Arial"/>
          <w:bCs/>
          <w:iCs/>
        </w:rPr>
        <w:t xml:space="preserve"> content relating to trauma and attachment, with an intersectional perspective.</w:t>
      </w:r>
    </w:p>
    <w:p w:rsidR="00264DBC" w:rsidRPr="00264DBC" w:rsidRDefault="00264DBC" w:rsidP="00DD5024">
      <w:pPr>
        <w:autoSpaceDE w:val="0"/>
        <w:autoSpaceDN w:val="0"/>
        <w:adjustRightInd w:val="0"/>
        <w:jc w:val="both"/>
        <w:rPr>
          <w:rFonts w:cs="Arial"/>
          <w:bCs/>
          <w:iCs/>
        </w:rPr>
      </w:pPr>
      <w:r w:rsidRPr="00264DBC">
        <w:rPr>
          <w:rFonts w:cs="Arial"/>
          <w:bCs/>
          <w:iCs/>
        </w:rPr>
        <w:t>Additionally, as part of Child Safety Training’s ongoing review of content, the existing suite of learning assets</w:t>
      </w:r>
      <w:r w:rsidR="00DE11BD">
        <w:rPr>
          <w:rFonts w:cs="Arial"/>
          <w:bCs/>
          <w:iCs/>
        </w:rPr>
        <w:t xml:space="preserve"> now</w:t>
      </w:r>
      <w:r w:rsidRPr="00264DBC">
        <w:rPr>
          <w:rFonts w:cs="Arial"/>
          <w:bCs/>
          <w:iCs/>
        </w:rPr>
        <w:t xml:space="preserve"> contains a multitude of contemporary resources in which the complexities of attachment and development are considered. The relevant modules </w:t>
      </w:r>
      <w:r w:rsidR="00DE11BD">
        <w:rPr>
          <w:rFonts w:cs="Arial"/>
          <w:bCs/>
          <w:iCs/>
        </w:rPr>
        <w:t>include</w:t>
      </w:r>
      <w:r w:rsidRPr="00264DBC">
        <w:rPr>
          <w:rFonts w:cs="Arial"/>
          <w:bCs/>
          <w:iCs/>
        </w:rPr>
        <w:t xml:space="preserve">: </w:t>
      </w:r>
    </w:p>
    <w:p w:rsidR="00264DBC" w:rsidRPr="00264DBC" w:rsidRDefault="00264DBC" w:rsidP="00DD5024">
      <w:pPr>
        <w:numPr>
          <w:ilvl w:val="0"/>
          <w:numId w:val="6"/>
        </w:numPr>
        <w:autoSpaceDE w:val="0"/>
        <w:autoSpaceDN w:val="0"/>
        <w:adjustRightInd w:val="0"/>
        <w:jc w:val="both"/>
        <w:rPr>
          <w:rFonts w:cs="Arial"/>
          <w:bCs/>
          <w:i/>
          <w:iCs/>
        </w:rPr>
      </w:pPr>
      <w:r w:rsidRPr="00264DBC">
        <w:rPr>
          <w:rFonts w:cs="Arial"/>
          <w:bCs/>
          <w:i/>
          <w:iCs/>
        </w:rPr>
        <w:t>GRO-O: Maintaining family connection through family contact incorporates content in relation to:</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defining family connection and its purpose in a child protection context through the lens of culture and trauma</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basing meaningful family contact on legislation, strengths based practice and the principles of attachment and belonging</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planning, supporting, reviewing and recording family connection in the context of reunification and out of home care</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respectfully engaging with parents, children, foster and kinship carers and network members in facilitating family connection for children</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describing the risk factors which lead to the development of postnatal depression.</w:t>
      </w:r>
    </w:p>
    <w:p w:rsidR="00264DBC" w:rsidRPr="00264DBC" w:rsidRDefault="00264DBC" w:rsidP="00DD5024">
      <w:pPr>
        <w:numPr>
          <w:ilvl w:val="0"/>
          <w:numId w:val="6"/>
        </w:numPr>
        <w:autoSpaceDE w:val="0"/>
        <w:autoSpaceDN w:val="0"/>
        <w:adjustRightInd w:val="0"/>
        <w:jc w:val="both"/>
        <w:rPr>
          <w:rFonts w:cs="Arial"/>
          <w:bCs/>
          <w:i/>
          <w:iCs/>
        </w:rPr>
      </w:pPr>
      <w:r w:rsidRPr="00264DBC">
        <w:rPr>
          <w:rFonts w:cs="Arial"/>
          <w:bCs/>
          <w:i/>
          <w:iCs/>
        </w:rPr>
        <w:t xml:space="preserve">GRO-O: Family Reunification includes information and learning opportunities relating to: </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strengthening the use of the Structured Decision Making® (SDM) reunification assessment</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increasing collaborative family decision-making following on from collaborative family decision-making reforms</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increasing awareness of the impact of trauma on reunification work</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increasing understanding of the capacity to change, the importance of motivation and the change process.</w:t>
      </w:r>
    </w:p>
    <w:p w:rsidR="00264DBC" w:rsidRPr="00264DBC" w:rsidRDefault="00264DBC" w:rsidP="00DD5024">
      <w:pPr>
        <w:numPr>
          <w:ilvl w:val="0"/>
          <w:numId w:val="6"/>
        </w:numPr>
        <w:autoSpaceDE w:val="0"/>
        <w:autoSpaceDN w:val="0"/>
        <w:adjustRightInd w:val="0"/>
        <w:jc w:val="both"/>
        <w:rPr>
          <w:rFonts w:cs="Arial"/>
          <w:bCs/>
          <w:i/>
          <w:iCs/>
        </w:rPr>
      </w:pPr>
      <w:r w:rsidRPr="00264DBC">
        <w:rPr>
          <w:rFonts w:cs="Arial"/>
          <w:bCs/>
          <w:i/>
          <w:iCs/>
        </w:rPr>
        <w:t>GRO-O: Parenting and Attachment in Child Protection i</w:t>
      </w:r>
      <w:r w:rsidR="00F3188A">
        <w:rPr>
          <w:rFonts w:cs="Arial"/>
          <w:bCs/>
          <w:i/>
          <w:iCs/>
        </w:rPr>
        <w:t>s a course is divided into four e</w:t>
      </w:r>
      <w:r w:rsidR="00F3188A">
        <w:rPr>
          <w:rFonts w:cs="Arial"/>
          <w:bCs/>
          <w:i/>
          <w:iCs/>
        </w:rPr>
        <w:noBreakHyphen/>
      </w:r>
      <w:r w:rsidRPr="00264DBC">
        <w:rPr>
          <w:rFonts w:cs="Arial"/>
          <w:bCs/>
          <w:i/>
          <w:iCs/>
        </w:rPr>
        <w:t xml:space="preserve">learning modules with an accompanying workbook in which staff apply their learnings to a case study. The core content of this course includes: </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parenting styles and behaviours</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impact of culture on parenting behaviours</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children’s responses to parenting</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rigorous and balanced assessments and parenting interventions.</w:t>
      </w:r>
    </w:p>
    <w:p w:rsidR="00264DBC" w:rsidRPr="00264DBC" w:rsidRDefault="00264DBC" w:rsidP="00DD5024">
      <w:pPr>
        <w:numPr>
          <w:ilvl w:val="0"/>
          <w:numId w:val="6"/>
        </w:numPr>
        <w:autoSpaceDE w:val="0"/>
        <w:autoSpaceDN w:val="0"/>
        <w:adjustRightInd w:val="0"/>
        <w:jc w:val="both"/>
        <w:rPr>
          <w:rFonts w:cs="Arial"/>
          <w:bCs/>
          <w:iCs/>
        </w:rPr>
      </w:pPr>
      <w:r w:rsidRPr="00264DBC">
        <w:rPr>
          <w:rFonts w:cs="Arial"/>
          <w:bCs/>
          <w:iCs/>
        </w:rPr>
        <w:t xml:space="preserve">The learning program on Working With Young People (high risk adolescents), contains a foundational module </w:t>
      </w:r>
      <w:r w:rsidRPr="00264DBC">
        <w:rPr>
          <w:rFonts w:cs="Arial"/>
          <w:bCs/>
          <w:i/>
          <w:iCs/>
        </w:rPr>
        <w:t>GRO-O: Working with Adolescents – development, attachment and trauma</w:t>
      </w:r>
      <w:r w:rsidRPr="00264DBC">
        <w:rPr>
          <w:rFonts w:cs="Arial"/>
          <w:bCs/>
          <w:iCs/>
        </w:rPr>
        <w:t xml:space="preserve"> which focuses on:</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basics of adolescent development and attachment</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trauma and its impact on adolescent development and attachment</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agencies and other resources that offer further information on these themes.</w:t>
      </w:r>
    </w:p>
    <w:p w:rsidR="00264DBC" w:rsidRPr="00264DBC" w:rsidRDefault="00264DBC" w:rsidP="00DD5024">
      <w:pPr>
        <w:numPr>
          <w:ilvl w:val="0"/>
          <w:numId w:val="6"/>
        </w:numPr>
        <w:autoSpaceDE w:val="0"/>
        <w:autoSpaceDN w:val="0"/>
        <w:adjustRightInd w:val="0"/>
        <w:jc w:val="both"/>
        <w:rPr>
          <w:rFonts w:cs="Arial"/>
          <w:bCs/>
          <w:i/>
          <w:iCs/>
        </w:rPr>
      </w:pPr>
      <w:r w:rsidRPr="00264DBC">
        <w:rPr>
          <w:rFonts w:cs="Arial"/>
          <w:bCs/>
          <w:i/>
          <w:iCs/>
        </w:rPr>
        <w:lastRenderedPageBreak/>
        <w:t xml:space="preserve">GRO-O: Child Development in Child Protection is a suite of modules exploring: </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identifying the major theorists in child development</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articulating the theoretical contributions</w:t>
      </w:r>
    </w:p>
    <w:p w:rsidR="00264DBC" w:rsidRPr="00264DBC" w:rsidRDefault="00264DBC" w:rsidP="00DD5024">
      <w:pPr>
        <w:numPr>
          <w:ilvl w:val="1"/>
          <w:numId w:val="7"/>
        </w:numPr>
        <w:autoSpaceDE w:val="0"/>
        <w:autoSpaceDN w:val="0"/>
        <w:adjustRightInd w:val="0"/>
        <w:jc w:val="both"/>
        <w:rPr>
          <w:rFonts w:cs="Arial"/>
          <w:bCs/>
          <w:iCs/>
        </w:rPr>
      </w:pPr>
      <w:r w:rsidRPr="00264DBC">
        <w:rPr>
          <w:rFonts w:cs="Arial"/>
          <w:bCs/>
          <w:iCs/>
        </w:rPr>
        <w:t xml:space="preserve">understanding of the developmental stages of childhood. </w:t>
      </w:r>
    </w:p>
    <w:p w:rsidR="001C127C" w:rsidRPr="00F3188A" w:rsidRDefault="00F3188A" w:rsidP="00DD5024">
      <w:pPr>
        <w:pStyle w:val="Heading2"/>
        <w:spacing w:before="240"/>
        <w:jc w:val="both"/>
        <w:rPr>
          <w:sz w:val="28"/>
        </w:rPr>
      </w:pPr>
      <w:bookmarkStart w:id="99" w:name="_Toc524517393"/>
      <w:r w:rsidRPr="00F3188A">
        <w:rPr>
          <w:sz w:val="28"/>
        </w:rPr>
        <w:t>High Risk Adolescents</w:t>
      </w:r>
      <w:bookmarkEnd w:id="99"/>
    </w:p>
    <w:p w:rsidR="00F3188A" w:rsidRDefault="002C5D03" w:rsidP="00DD5024">
      <w:pPr>
        <w:autoSpaceDE w:val="0"/>
        <w:autoSpaceDN w:val="0"/>
        <w:adjustRightInd w:val="0"/>
        <w:jc w:val="both"/>
        <w:rPr>
          <w:rFonts w:cs="Arial"/>
          <w:bCs/>
          <w:iCs/>
        </w:rPr>
      </w:pPr>
      <w:r>
        <w:rPr>
          <w:rFonts w:cs="Arial"/>
          <w:bCs/>
          <w:iCs/>
        </w:rPr>
        <w:t>Responding effectively to h</w:t>
      </w:r>
      <w:r w:rsidR="00EF3647">
        <w:rPr>
          <w:rFonts w:cs="Arial"/>
          <w:bCs/>
          <w:iCs/>
        </w:rPr>
        <w:t xml:space="preserve">igh risk adolescents is a complex issue faced </w:t>
      </w:r>
      <w:r>
        <w:rPr>
          <w:rFonts w:cs="Arial"/>
          <w:bCs/>
          <w:iCs/>
        </w:rPr>
        <w:t>by the</w:t>
      </w:r>
      <w:r w:rsidR="007C17C0">
        <w:rPr>
          <w:rFonts w:cs="Arial"/>
          <w:bCs/>
          <w:iCs/>
        </w:rPr>
        <w:t xml:space="preserve"> Queensland</w:t>
      </w:r>
      <w:r>
        <w:rPr>
          <w:rFonts w:cs="Arial"/>
          <w:bCs/>
          <w:iCs/>
        </w:rPr>
        <w:t xml:space="preserve"> community generally and is </w:t>
      </w:r>
      <w:r w:rsidR="007C17C0">
        <w:rPr>
          <w:rFonts w:cs="Arial"/>
          <w:bCs/>
          <w:iCs/>
        </w:rPr>
        <w:t>an area of focus for n</w:t>
      </w:r>
      <w:r>
        <w:rPr>
          <w:rFonts w:cs="Arial"/>
          <w:bCs/>
          <w:iCs/>
        </w:rPr>
        <w:t>umber of government departments.</w:t>
      </w:r>
      <w:r w:rsidR="002650D7">
        <w:rPr>
          <w:rFonts w:cs="Arial"/>
          <w:bCs/>
          <w:iCs/>
        </w:rPr>
        <w:t xml:space="preserve"> T</w:t>
      </w:r>
      <w:r w:rsidR="00F3188A" w:rsidRPr="00F3188A">
        <w:rPr>
          <w:rFonts w:cs="Arial"/>
          <w:bCs/>
          <w:iCs/>
        </w:rPr>
        <w:t xml:space="preserve">here are many initiatives </w:t>
      </w:r>
      <w:r w:rsidR="00EF3647">
        <w:rPr>
          <w:rFonts w:cs="Arial"/>
          <w:bCs/>
          <w:iCs/>
        </w:rPr>
        <w:t xml:space="preserve">occurring </w:t>
      </w:r>
      <w:r w:rsidR="007C17C0">
        <w:rPr>
          <w:rFonts w:cs="Arial"/>
          <w:bCs/>
          <w:iCs/>
        </w:rPr>
        <w:t>in partnership w</w:t>
      </w:r>
      <w:r w:rsidR="00F3188A" w:rsidRPr="00F3188A">
        <w:rPr>
          <w:rFonts w:cs="Arial"/>
          <w:bCs/>
          <w:iCs/>
        </w:rPr>
        <w:t xml:space="preserve">ith the sector that </w:t>
      </w:r>
      <w:r>
        <w:rPr>
          <w:rFonts w:cs="Arial"/>
          <w:bCs/>
          <w:iCs/>
        </w:rPr>
        <w:t>seek to strengthen system responses to these young people.</w:t>
      </w:r>
    </w:p>
    <w:p w:rsidR="00AF1157" w:rsidRPr="00AF1157" w:rsidRDefault="00AF1157" w:rsidP="00DD5024">
      <w:pPr>
        <w:spacing w:before="240"/>
        <w:jc w:val="both"/>
        <w:rPr>
          <w:rFonts w:cs="Arial"/>
          <w:b/>
        </w:rPr>
      </w:pPr>
      <w:r w:rsidRPr="00AF1157">
        <w:rPr>
          <w:rFonts w:cs="Arial"/>
          <w:b/>
        </w:rPr>
        <w:t>Practice leaders</w:t>
      </w:r>
    </w:p>
    <w:p w:rsidR="00F3188A" w:rsidRPr="00F3188A" w:rsidRDefault="00F3188A" w:rsidP="00DD5024">
      <w:pPr>
        <w:autoSpaceDE w:val="0"/>
        <w:autoSpaceDN w:val="0"/>
        <w:adjustRightInd w:val="0"/>
        <w:jc w:val="both"/>
        <w:rPr>
          <w:rFonts w:cs="Arial"/>
          <w:bCs/>
          <w:iCs/>
        </w:rPr>
      </w:pPr>
      <w:r w:rsidRPr="00F3188A">
        <w:rPr>
          <w:rFonts w:cs="Arial"/>
          <w:bCs/>
          <w:iCs/>
        </w:rPr>
        <w:t xml:space="preserve">As part of the 2017-18 Budget, funding was received for the recruitment of a Practice Leader (Mental Health) to strengthen departmental skills, resources and knowledge in the assessment and ongoing work with children and families with mental health issues. The Practice Leader (Mental Health) is based within Practice Connect and provides leadership and expertise </w:t>
      </w:r>
      <w:r w:rsidR="003D35CF">
        <w:rPr>
          <w:rFonts w:cs="Arial"/>
          <w:bCs/>
          <w:iCs/>
        </w:rPr>
        <w:t>with regard to</w:t>
      </w:r>
      <w:r w:rsidRPr="00F3188A">
        <w:rPr>
          <w:rFonts w:cs="Arial"/>
          <w:bCs/>
          <w:iCs/>
        </w:rPr>
        <w:t xml:space="preserve"> mental health issues to strengthen practice and improved outcomes for children, young people, their families and communities impacted by mental illness.</w:t>
      </w:r>
    </w:p>
    <w:p w:rsidR="00F3188A" w:rsidRDefault="00F3188A" w:rsidP="00DD5024">
      <w:pPr>
        <w:autoSpaceDE w:val="0"/>
        <w:autoSpaceDN w:val="0"/>
        <w:adjustRightInd w:val="0"/>
        <w:jc w:val="both"/>
        <w:rPr>
          <w:rFonts w:cs="Arial"/>
          <w:bCs/>
          <w:iCs/>
        </w:rPr>
      </w:pPr>
      <w:r w:rsidRPr="00F3188A">
        <w:rPr>
          <w:rFonts w:cs="Arial"/>
          <w:bCs/>
          <w:iCs/>
        </w:rPr>
        <w:t>The Practice Leader (Mental Health) provides state</w:t>
      </w:r>
      <w:r w:rsidR="00BD25A2">
        <w:rPr>
          <w:rFonts w:cs="Arial"/>
          <w:bCs/>
          <w:iCs/>
        </w:rPr>
        <w:t>-</w:t>
      </w:r>
      <w:r w:rsidRPr="00F3188A">
        <w:rPr>
          <w:rFonts w:cs="Arial"/>
          <w:bCs/>
          <w:iCs/>
        </w:rPr>
        <w:t>wide consultation, mentoring, expert advice and training/education services about the impacts and interface of mental illness and complex child protection matters, to departmental staff and key partners working with children and families. The role operates as part of a state</w:t>
      </w:r>
      <w:r w:rsidR="00BD25A2">
        <w:rPr>
          <w:rFonts w:cs="Arial"/>
          <w:bCs/>
          <w:iCs/>
        </w:rPr>
        <w:t>-</w:t>
      </w:r>
      <w:r w:rsidRPr="00F3188A">
        <w:rPr>
          <w:rFonts w:cs="Arial"/>
          <w:bCs/>
          <w:iCs/>
        </w:rPr>
        <w:t>wide network of practice leaders.</w:t>
      </w:r>
    </w:p>
    <w:p w:rsidR="00AF1157" w:rsidRPr="00AF1157" w:rsidRDefault="00AF1157" w:rsidP="00DD5024">
      <w:pPr>
        <w:spacing w:before="240"/>
        <w:jc w:val="both"/>
        <w:rPr>
          <w:rFonts w:cs="Arial"/>
          <w:b/>
        </w:rPr>
      </w:pPr>
      <w:r w:rsidRPr="00AF1157">
        <w:rPr>
          <w:rFonts w:cs="Arial"/>
          <w:b/>
        </w:rPr>
        <w:t>Trials</w:t>
      </w:r>
    </w:p>
    <w:p w:rsidR="00F3188A" w:rsidRPr="00F3188A" w:rsidRDefault="00F3188A" w:rsidP="00DD5024">
      <w:pPr>
        <w:autoSpaceDE w:val="0"/>
        <w:autoSpaceDN w:val="0"/>
        <w:adjustRightInd w:val="0"/>
        <w:jc w:val="both"/>
        <w:rPr>
          <w:rFonts w:cs="Arial"/>
          <w:bCs/>
          <w:iCs/>
        </w:rPr>
      </w:pPr>
      <w:r w:rsidRPr="00F3188A">
        <w:rPr>
          <w:rFonts w:cs="Arial"/>
          <w:bCs/>
          <w:iCs/>
        </w:rPr>
        <w:t xml:space="preserve">In the </w:t>
      </w:r>
      <w:r w:rsidR="003D35CF">
        <w:rPr>
          <w:rFonts w:cs="Arial"/>
          <w:bCs/>
          <w:iCs/>
        </w:rPr>
        <w:t>Moreton</w:t>
      </w:r>
      <w:r w:rsidRPr="00F3188A">
        <w:rPr>
          <w:rFonts w:cs="Arial"/>
          <w:bCs/>
          <w:iCs/>
        </w:rPr>
        <w:t xml:space="preserve"> Region the department is establishin</w:t>
      </w:r>
      <w:r w:rsidR="002822BF">
        <w:rPr>
          <w:rFonts w:cs="Arial"/>
          <w:bCs/>
          <w:iCs/>
        </w:rPr>
        <w:t>g an accommodation and recovery</w:t>
      </w:r>
      <w:r w:rsidR="002822BF">
        <w:rPr>
          <w:rFonts w:cs="Arial"/>
          <w:bCs/>
          <w:iCs/>
        </w:rPr>
        <w:noBreakHyphen/>
      </w:r>
      <w:r w:rsidRPr="00F3188A">
        <w:rPr>
          <w:rFonts w:cs="Arial"/>
          <w:bCs/>
          <w:iCs/>
        </w:rPr>
        <w:t>oriented support</w:t>
      </w:r>
      <w:r w:rsidR="003D35CF">
        <w:rPr>
          <w:rFonts w:cs="Arial"/>
          <w:bCs/>
          <w:iCs/>
        </w:rPr>
        <w:t xml:space="preserve"> service</w:t>
      </w:r>
      <w:r w:rsidRPr="00F3188A">
        <w:rPr>
          <w:rFonts w:cs="Arial"/>
          <w:bCs/>
          <w:iCs/>
        </w:rPr>
        <w:t xml:space="preserve"> for children and young people, who are experiencing complex mental health issues often accompanied by substance misuse</w:t>
      </w:r>
      <w:r w:rsidR="003D35CF">
        <w:rPr>
          <w:rFonts w:cs="Arial"/>
          <w:bCs/>
          <w:iCs/>
        </w:rPr>
        <w:t>. This is occurring</w:t>
      </w:r>
      <w:r w:rsidRPr="00F3188A">
        <w:rPr>
          <w:rFonts w:cs="Arial"/>
          <w:bCs/>
          <w:iCs/>
        </w:rPr>
        <w:t xml:space="preserve"> in collaboration with specialist mental health services provided by Queensland Health.</w:t>
      </w:r>
    </w:p>
    <w:p w:rsidR="00F3188A" w:rsidRPr="00F3188A" w:rsidRDefault="00F3188A" w:rsidP="00DD5024">
      <w:pPr>
        <w:autoSpaceDE w:val="0"/>
        <w:autoSpaceDN w:val="0"/>
        <w:adjustRightInd w:val="0"/>
        <w:jc w:val="both"/>
        <w:rPr>
          <w:rFonts w:cs="Arial"/>
          <w:bCs/>
          <w:iCs/>
        </w:rPr>
      </w:pPr>
      <w:r w:rsidRPr="00F3188A">
        <w:rPr>
          <w:rFonts w:cs="Arial"/>
          <w:bCs/>
          <w:iCs/>
        </w:rPr>
        <w:t>Children and young people referred to this service will present with a range of severe and complex mental health difficulties and will require specialised and skilled service responses. Many young people will also present with peer, family and social functioning problems and behaviours which can exacerbate mental health problems and disorders and contribute to substance misuse.</w:t>
      </w:r>
    </w:p>
    <w:p w:rsidR="00AF1157" w:rsidRPr="00AF1157" w:rsidRDefault="00AF1157" w:rsidP="00DD5024">
      <w:pPr>
        <w:tabs>
          <w:tab w:val="left" w:pos="6993"/>
        </w:tabs>
        <w:spacing w:before="240"/>
        <w:jc w:val="both"/>
        <w:rPr>
          <w:rFonts w:cs="Arial"/>
          <w:b/>
        </w:rPr>
      </w:pPr>
      <w:r w:rsidRPr="00AF1157">
        <w:rPr>
          <w:rFonts w:cs="Arial"/>
          <w:b/>
        </w:rPr>
        <w:t xml:space="preserve">Our </w:t>
      </w:r>
      <w:r>
        <w:rPr>
          <w:rFonts w:cs="Arial"/>
          <w:b/>
        </w:rPr>
        <w:t>C</w:t>
      </w:r>
      <w:r w:rsidRPr="00AF1157">
        <w:rPr>
          <w:rFonts w:cs="Arial"/>
          <w:b/>
        </w:rPr>
        <w:t>hild</w:t>
      </w:r>
      <w:r w:rsidR="000D480B">
        <w:rPr>
          <w:rFonts w:cs="Arial"/>
          <w:b/>
        </w:rPr>
        <w:tab/>
      </w:r>
    </w:p>
    <w:p w:rsidR="00F3188A" w:rsidRPr="00F3188A" w:rsidRDefault="00F3188A" w:rsidP="00DD5024">
      <w:pPr>
        <w:autoSpaceDE w:val="0"/>
        <w:autoSpaceDN w:val="0"/>
        <w:adjustRightInd w:val="0"/>
        <w:jc w:val="both"/>
        <w:rPr>
          <w:rFonts w:cs="Arial"/>
          <w:bCs/>
          <w:iCs/>
        </w:rPr>
      </w:pPr>
      <w:r w:rsidRPr="00F3188A">
        <w:rPr>
          <w:rFonts w:cs="Arial"/>
          <w:bCs/>
          <w:iCs/>
        </w:rPr>
        <w:t xml:space="preserve">An investment of $7.2 million has </w:t>
      </w:r>
      <w:r w:rsidR="003D35CF">
        <w:rPr>
          <w:rFonts w:cs="Arial"/>
          <w:bCs/>
          <w:iCs/>
        </w:rPr>
        <w:t>committed</w:t>
      </w:r>
      <w:r w:rsidRPr="00F3188A">
        <w:rPr>
          <w:rFonts w:cs="Arial"/>
          <w:bCs/>
          <w:iCs/>
        </w:rPr>
        <w:t xml:space="preserve"> to upgrad</w:t>
      </w:r>
      <w:r w:rsidR="003D35CF">
        <w:rPr>
          <w:rFonts w:cs="Arial"/>
          <w:bCs/>
          <w:iCs/>
        </w:rPr>
        <w:t>ing</w:t>
      </w:r>
      <w:r w:rsidRPr="00F3188A">
        <w:rPr>
          <w:rFonts w:cs="Arial"/>
          <w:bCs/>
          <w:iCs/>
        </w:rPr>
        <w:t xml:space="preserve"> I</w:t>
      </w:r>
      <w:r w:rsidR="002C5D03">
        <w:rPr>
          <w:rFonts w:cs="Arial"/>
          <w:bCs/>
          <w:iCs/>
        </w:rPr>
        <w:t>nformation T</w:t>
      </w:r>
      <w:r w:rsidR="002650D7">
        <w:rPr>
          <w:rFonts w:cs="Arial"/>
          <w:bCs/>
          <w:iCs/>
        </w:rPr>
        <w:t>e</w:t>
      </w:r>
      <w:r w:rsidR="002C5D03">
        <w:rPr>
          <w:rFonts w:cs="Arial"/>
          <w:bCs/>
          <w:iCs/>
        </w:rPr>
        <w:t>chnology</w:t>
      </w:r>
      <w:r w:rsidRPr="00F3188A">
        <w:rPr>
          <w:rFonts w:cs="Arial"/>
          <w:bCs/>
          <w:iCs/>
        </w:rPr>
        <w:t xml:space="preserve"> systems to allow for faster information sharing between Q</w:t>
      </w:r>
      <w:r w:rsidR="002C5D03">
        <w:rPr>
          <w:rFonts w:cs="Arial"/>
          <w:bCs/>
          <w:iCs/>
        </w:rPr>
        <w:t>ueensland Police Service</w:t>
      </w:r>
      <w:r w:rsidRPr="00F3188A">
        <w:rPr>
          <w:rFonts w:cs="Arial"/>
          <w:bCs/>
          <w:iCs/>
        </w:rPr>
        <w:t>, Department of Education and Child Safety for responding to children and young people</w:t>
      </w:r>
      <w:r w:rsidR="00DE11BD">
        <w:rPr>
          <w:rFonts w:cs="Arial"/>
          <w:bCs/>
          <w:iCs/>
        </w:rPr>
        <w:t xml:space="preserve"> in care who are missing</w:t>
      </w:r>
      <w:r w:rsidRPr="00F3188A">
        <w:rPr>
          <w:rFonts w:cs="Arial"/>
          <w:bCs/>
          <w:iCs/>
        </w:rPr>
        <w:t>.</w:t>
      </w:r>
      <w:r w:rsidR="00E7168F">
        <w:rPr>
          <w:rFonts w:cs="Arial"/>
          <w:bCs/>
          <w:iCs/>
        </w:rPr>
        <w:t xml:space="preserve"> </w:t>
      </w:r>
      <w:r w:rsidR="00E7168F" w:rsidRPr="00CC46C0">
        <w:rPr>
          <w:rFonts w:cs="Arial"/>
        </w:rPr>
        <w:t xml:space="preserve">Our Child is a data system that </w:t>
      </w:r>
      <w:r w:rsidR="00E7168F">
        <w:rPr>
          <w:rFonts w:cs="Arial"/>
        </w:rPr>
        <w:t>was launched on 29 </w:t>
      </w:r>
      <w:r w:rsidR="00E7168F" w:rsidRPr="00CC46C0">
        <w:rPr>
          <w:rFonts w:cs="Arial"/>
        </w:rPr>
        <w:t>March 2018 and allows Police to access</w:t>
      </w:r>
      <w:r w:rsidR="002650D7">
        <w:rPr>
          <w:rFonts w:cs="Arial"/>
        </w:rPr>
        <w:t xml:space="preserve"> the department’s Integrated Client Management System</w:t>
      </w:r>
      <w:r w:rsidR="00E7168F" w:rsidRPr="00CC46C0">
        <w:rPr>
          <w:rFonts w:cs="Arial"/>
        </w:rPr>
        <w:t xml:space="preserve"> </w:t>
      </w:r>
      <w:r w:rsidR="002650D7">
        <w:rPr>
          <w:rFonts w:cs="Arial"/>
        </w:rPr>
        <w:t>(</w:t>
      </w:r>
      <w:r w:rsidR="00E7168F" w:rsidRPr="00CC46C0">
        <w:rPr>
          <w:rFonts w:cs="Arial"/>
        </w:rPr>
        <w:t>ICMS</w:t>
      </w:r>
      <w:r w:rsidR="002650D7">
        <w:rPr>
          <w:rFonts w:cs="Arial"/>
        </w:rPr>
        <w:t>)</w:t>
      </w:r>
      <w:r w:rsidR="00E7168F" w:rsidRPr="00CC46C0">
        <w:rPr>
          <w:rFonts w:cs="Arial"/>
        </w:rPr>
        <w:t xml:space="preserve"> and One School </w:t>
      </w:r>
      <w:r w:rsidR="00E7168F">
        <w:rPr>
          <w:rFonts w:cs="Arial"/>
        </w:rPr>
        <w:t>i</w:t>
      </w:r>
      <w:r w:rsidR="00E7168F" w:rsidRPr="00CC46C0">
        <w:rPr>
          <w:rFonts w:cs="Arial"/>
        </w:rPr>
        <w:t xml:space="preserve">nformation when a child is reported missing. </w:t>
      </w:r>
      <w:r w:rsidR="00E7168F">
        <w:rPr>
          <w:rFonts w:cs="Arial"/>
        </w:rPr>
        <w:t xml:space="preserve">This is the first time that police have direct access themselves </w:t>
      </w:r>
      <w:r w:rsidR="003D35CF">
        <w:rPr>
          <w:rFonts w:cs="Arial"/>
        </w:rPr>
        <w:t>t</w:t>
      </w:r>
      <w:r w:rsidR="00E7168F">
        <w:rPr>
          <w:rFonts w:cs="Arial"/>
        </w:rPr>
        <w:t xml:space="preserve">o key information. The learnings from </w:t>
      </w:r>
      <w:r w:rsidR="00E7168F" w:rsidRPr="00AF1157">
        <w:rPr>
          <w:rFonts w:cs="Arial"/>
          <w:i/>
        </w:rPr>
        <w:t>Our Child</w:t>
      </w:r>
      <w:r w:rsidR="00E7168F">
        <w:rPr>
          <w:rFonts w:cs="Arial"/>
        </w:rPr>
        <w:t xml:space="preserve"> will inform opportunities to broaden the direct information sharing</w:t>
      </w:r>
      <w:r w:rsidR="003D35CF">
        <w:rPr>
          <w:rFonts w:cs="Arial"/>
        </w:rPr>
        <w:t xml:space="preserve"> platform</w:t>
      </w:r>
      <w:r w:rsidR="00E7168F">
        <w:rPr>
          <w:rFonts w:cs="Arial"/>
        </w:rPr>
        <w:t>.</w:t>
      </w:r>
    </w:p>
    <w:p w:rsidR="00AF1157" w:rsidRPr="00AF1157" w:rsidRDefault="00AF1157" w:rsidP="00DD5024">
      <w:pPr>
        <w:spacing w:before="240"/>
        <w:jc w:val="both"/>
        <w:rPr>
          <w:rFonts w:cs="Arial"/>
          <w:b/>
        </w:rPr>
      </w:pPr>
      <w:r w:rsidRPr="00AF1157">
        <w:rPr>
          <w:rFonts w:cs="Arial"/>
          <w:b/>
        </w:rPr>
        <w:t>Youth Justice</w:t>
      </w:r>
    </w:p>
    <w:p w:rsidR="00F3188A" w:rsidRPr="00F3188A" w:rsidRDefault="00F3188A" w:rsidP="00DD5024">
      <w:pPr>
        <w:autoSpaceDE w:val="0"/>
        <w:autoSpaceDN w:val="0"/>
        <w:adjustRightInd w:val="0"/>
        <w:jc w:val="both"/>
        <w:rPr>
          <w:rFonts w:cs="Arial"/>
          <w:bCs/>
          <w:iCs/>
        </w:rPr>
      </w:pPr>
      <w:r w:rsidRPr="00F3188A">
        <w:rPr>
          <w:rFonts w:cs="Arial"/>
          <w:bCs/>
          <w:iCs/>
        </w:rPr>
        <w:t xml:space="preserve">Following machinery-of-government changes the department </w:t>
      </w:r>
      <w:r>
        <w:rPr>
          <w:rFonts w:cs="Arial"/>
          <w:bCs/>
          <w:iCs/>
        </w:rPr>
        <w:t>has combined</w:t>
      </w:r>
      <w:r w:rsidRPr="00F3188A">
        <w:rPr>
          <w:rFonts w:cs="Arial"/>
          <w:bCs/>
          <w:iCs/>
        </w:rPr>
        <w:t xml:space="preserve"> with youth justice and </w:t>
      </w:r>
      <w:r>
        <w:rPr>
          <w:rFonts w:cs="Arial"/>
          <w:bCs/>
          <w:iCs/>
        </w:rPr>
        <w:t>has moved</w:t>
      </w:r>
      <w:r w:rsidRPr="00F3188A">
        <w:rPr>
          <w:rFonts w:cs="Arial"/>
          <w:bCs/>
          <w:iCs/>
        </w:rPr>
        <w:t xml:space="preserve"> to a structure that will enable</w:t>
      </w:r>
      <w:r w:rsidR="003D35CF">
        <w:rPr>
          <w:rFonts w:cs="Arial"/>
          <w:bCs/>
          <w:iCs/>
        </w:rPr>
        <w:t xml:space="preserve"> service</w:t>
      </w:r>
      <w:r w:rsidRPr="00F3188A">
        <w:rPr>
          <w:rFonts w:cs="Arial"/>
          <w:bCs/>
          <w:iCs/>
        </w:rPr>
        <w:t xml:space="preserve"> deliver</w:t>
      </w:r>
      <w:r w:rsidR="003D35CF">
        <w:rPr>
          <w:rFonts w:cs="Arial"/>
          <w:bCs/>
          <w:iCs/>
        </w:rPr>
        <w:t>y with</w:t>
      </w:r>
      <w:r w:rsidRPr="00F3188A">
        <w:rPr>
          <w:rFonts w:cs="Arial"/>
          <w:bCs/>
          <w:iCs/>
        </w:rPr>
        <w:t xml:space="preserve"> greater holistic and integrated approaches to the complex and interrelated needs of </w:t>
      </w:r>
      <w:r w:rsidR="003D35CF">
        <w:rPr>
          <w:rFonts w:cs="Arial"/>
          <w:bCs/>
          <w:iCs/>
        </w:rPr>
        <w:t xml:space="preserve">shared </w:t>
      </w:r>
      <w:r w:rsidRPr="00F3188A">
        <w:rPr>
          <w:rFonts w:cs="Arial"/>
          <w:bCs/>
          <w:iCs/>
        </w:rPr>
        <w:t xml:space="preserve">clients and </w:t>
      </w:r>
      <w:r w:rsidRPr="00F3188A">
        <w:rPr>
          <w:rFonts w:cs="Arial"/>
          <w:bCs/>
          <w:iCs/>
        </w:rPr>
        <w:lastRenderedPageBreak/>
        <w:t xml:space="preserve">communities. The structure will enable ‘like’ functions </w:t>
      </w:r>
      <w:r w:rsidR="003D35CF">
        <w:rPr>
          <w:rFonts w:cs="Arial"/>
          <w:bCs/>
          <w:iCs/>
        </w:rPr>
        <w:t xml:space="preserve">to be </w:t>
      </w:r>
      <w:r w:rsidR="00A82624">
        <w:rPr>
          <w:rFonts w:cs="Arial"/>
          <w:bCs/>
          <w:iCs/>
        </w:rPr>
        <w:t>operate</w:t>
      </w:r>
      <w:r w:rsidR="003D35CF">
        <w:rPr>
          <w:rFonts w:cs="Arial"/>
          <w:bCs/>
          <w:iCs/>
        </w:rPr>
        <w:t xml:space="preserve"> </w:t>
      </w:r>
      <w:r w:rsidRPr="00F3188A">
        <w:rPr>
          <w:rFonts w:cs="Arial"/>
          <w:bCs/>
          <w:iCs/>
        </w:rPr>
        <w:t xml:space="preserve">together to strengthen capacity and flexibility; and continue to give effect to </w:t>
      </w:r>
      <w:r w:rsidR="00A82624">
        <w:rPr>
          <w:rFonts w:cs="Arial"/>
          <w:bCs/>
          <w:iCs/>
        </w:rPr>
        <w:t xml:space="preserve">broader departmental </w:t>
      </w:r>
      <w:r w:rsidRPr="00F3188A">
        <w:rPr>
          <w:rFonts w:cs="Arial"/>
          <w:bCs/>
          <w:iCs/>
        </w:rPr>
        <w:t>statutory and systems responsibilities.</w:t>
      </w:r>
    </w:p>
    <w:p w:rsidR="00CB1B92" w:rsidRPr="00CB1B92" w:rsidRDefault="00CB1B92" w:rsidP="00CB1B92">
      <w:pPr>
        <w:autoSpaceDE w:val="0"/>
        <w:autoSpaceDN w:val="0"/>
        <w:adjustRightInd w:val="0"/>
        <w:jc w:val="both"/>
        <w:rPr>
          <w:rFonts w:cs="Arial"/>
          <w:bCs/>
          <w:iCs/>
        </w:rPr>
      </w:pPr>
      <w:r w:rsidRPr="00CB1B92">
        <w:rPr>
          <w:rFonts w:cs="Arial"/>
          <w:bCs/>
          <w:iCs/>
        </w:rPr>
        <w:t>Currently, approximately 83% of young offenders are known to Child Safety, and 15% of young people in youth detention are also on child protection orders.</w:t>
      </w:r>
    </w:p>
    <w:p w:rsidR="00CB1B92" w:rsidRPr="00CB1B92" w:rsidRDefault="00CB1B92" w:rsidP="00CB1B92">
      <w:pPr>
        <w:autoSpaceDE w:val="0"/>
        <w:autoSpaceDN w:val="0"/>
        <w:adjustRightInd w:val="0"/>
        <w:jc w:val="both"/>
        <w:rPr>
          <w:rFonts w:cs="Arial"/>
          <w:bCs/>
          <w:iCs/>
        </w:rPr>
      </w:pPr>
      <w:r w:rsidRPr="00CB1B92">
        <w:rPr>
          <w:rFonts w:cs="Arial"/>
          <w:bCs/>
          <w:iCs/>
        </w:rPr>
        <w:t xml:space="preserve">In February 2018, the department </w:t>
      </w:r>
      <w:r w:rsidR="00DE11BD">
        <w:rPr>
          <w:rFonts w:cs="Arial"/>
          <w:bCs/>
          <w:iCs/>
        </w:rPr>
        <w:t>established</w:t>
      </w:r>
      <w:r w:rsidRPr="00CB1B92">
        <w:rPr>
          <w:rFonts w:cs="Arial"/>
          <w:bCs/>
          <w:iCs/>
        </w:rPr>
        <w:t xml:space="preserve"> the Senior Child Safety Officer positions for the Cleveland and Brisbane Youth Detention Centres.  These positions are responsible for ensuring the safety, belonging and wellbeing of all children and young people subject to Child Safety and Youth Justice Intervention, through the coordination of statutory child protection services, in conjunction with the Child Safety Service Centre that has case management responsibility, to young people entering, within and/or exiting the youth detention centres.</w:t>
      </w:r>
    </w:p>
    <w:p w:rsidR="00CB1B92" w:rsidRPr="00CB1B92" w:rsidRDefault="00CB1B92" w:rsidP="00CB1B92">
      <w:pPr>
        <w:autoSpaceDE w:val="0"/>
        <w:autoSpaceDN w:val="0"/>
        <w:adjustRightInd w:val="0"/>
        <w:jc w:val="both"/>
        <w:rPr>
          <w:rFonts w:cs="Arial"/>
          <w:bCs/>
          <w:iCs/>
        </w:rPr>
      </w:pPr>
      <w:r w:rsidRPr="00CB1B92">
        <w:rPr>
          <w:rFonts w:cs="Arial"/>
          <w:bCs/>
          <w:iCs/>
        </w:rPr>
        <w:t>Priority focus of the</w:t>
      </w:r>
      <w:r>
        <w:rPr>
          <w:rFonts w:cs="Arial"/>
          <w:bCs/>
          <w:iCs/>
        </w:rPr>
        <w:t>se</w:t>
      </w:r>
      <w:r w:rsidRPr="00CB1B92">
        <w:rPr>
          <w:rFonts w:cs="Arial"/>
          <w:bCs/>
          <w:iCs/>
        </w:rPr>
        <w:t xml:space="preserve"> positions include</w:t>
      </w:r>
      <w:r>
        <w:rPr>
          <w:rFonts w:cs="Arial"/>
          <w:bCs/>
          <w:iCs/>
        </w:rPr>
        <w:t>s</w:t>
      </w:r>
      <w:r w:rsidRPr="00CB1B92">
        <w:rPr>
          <w:rFonts w:cs="Arial"/>
          <w:bCs/>
          <w:iCs/>
        </w:rPr>
        <w:t>:</w:t>
      </w:r>
    </w:p>
    <w:p w:rsidR="00CB1B92" w:rsidRPr="00CB1B92" w:rsidRDefault="00CB1B92" w:rsidP="00CB1B92">
      <w:pPr>
        <w:numPr>
          <w:ilvl w:val="0"/>
          <w:numId w:val="21"/>
        </w:numPr>
        <w:autoSpaceDE w:val="0"/>
        <w:autoSpaceDN w:val="0"/>
        <w:adjustRightInd w:val="0"/>
        <w:jc w:val="both"/>
        <w:rPr>
          <w:rFonts w:cs="Arial"/>
          <w:bCs/>
          <w:iCs/>
        </w:rPr>
      </w:pPr>
      <w:r w:rsidRPr="00CB1B92">
        <w:rPr>
          <w:rFonts w:cs="Arial"/>
          <w:bCs/>
          <w:iCs/>
        </w:rPr>
        <w:t>developing strategies for early engagement with young people in detention centres to identify multi-agency and culturally appropriate responses and supports required to access and utilise bail support services and other accommodation support options to reduce the time spent in custody.</w:t>
      </w:r>
    </w:p>
    <w:p w:rsidR="00CB1B92" w:rsidRPr="00CB1B92" w:rsidRDefault="00CB1B92" w:rsidP="00CB1B92">
      <w:pPr>
        <w:numPr>
          <w:ilvl w:val="0"/>
          <w:numId w:val="21"/>
        </w:numPr>
        <w:autoSpaceDE w:val="0"/>
        <w:autoSpaceDN w:val="0"/>
        <w:adjustRightInd w:val="0"/>
        <w:jc w:val="both"/>
        <w:rPr>
          <w:rFonts w:cs="Arial"/>
          <w:bCs/>
          <w:iCs/>
        </w:rPr>
      </w:pPr>
      <w:r w:rsidRPr="00CB1B92">
        <w:rPr>
          <w:rFonts w:cs="Arial"/>
          <w:bCs/>
          <w:iCs/>
        </w:rPr>
        <w:t>leading the coordination of access to relevant assessment of needs to inform the most appropriate interventions to keep children out of custody and transition to the community as quickly as possible.</w:t>
      </w:r>
    </w:p>
    <w:p w:rsidR="00CB1B92" w:rsidRPr="00CB1B92" w:rsidRDefault="00CB1B92" w:rsidP="00CB1B92">
      <w:pPr>
        <w:numPr>
          <w:ilvl w:val="0"/>
          <w:numId w:val="21"/>
        </w:numPr>
        <w:autoSpaceDE w:val="0"/>
        <w:autoSpaceDN w:val="0"/>
        <w:adjustRightInd w:val="0"/>
        <w:jc w:val="both"/>
        <w:rPr>
          <w:rFonts w:cs="Arial"/>
          <w:bCs/>
          <w:iCs/>
        </w:rPr>
      </w:pPr>
      <w:r w:rsidRPr="00CB1B92">
        <w:rPr>
          <w:rFonts w:cs="Arial"/>
          <w:bCs/>
          <w:iCs/>
        </w:rPr>
        <w:t>strengthening case management processes to develop more integrated and consolidated case plans with shared goals to support young people and their families to address identified child protection and offending concerns</w:t>
      </w:r>
      <w:r w:rsidR="001A6415">
        <w:rPr>
          <w:rFonts w:cs="Arial"/>
          <w:bCs/>
          <w:iCs/>
        </w:rPr>
        <w:t>.</w:t>
      </w:r>
    </w:p>
    <w:p w:rsidR="00CB1B92" w:rsidRPr="00CB1B92" w:rsidRDefault="00CB1B92" w:rsidP="00CB1B92">
      <w:pPr>
        <w:numPr>
          <w:ilvl w:val="0"/>
          <w:numId w:val="21"/>
        </w:numPr>
        <w:autoSpaceDE w:val="0"/>
        <w:autoSpaceDN w:val="0"/>
        <w:adjustRightInd w:val="0"/>
        <w:jc w:val="both"/>
        <w:rPr>
          <w:rFonts w:cs="Arial"/>
          <w:bCs/>
          <w:iCs/>
        </w:rPr>
      </w:pPr>
      <w:r w:rsidRPr="00CB1B92">
        <w:rPr>
          <w:rFonts w:cs="Arial"/>
          <w:bCs/>
          <w:iCs/>
        </w:rPr>
        <w:t xml:space="preserve">facilitating service provision for young people in detention centres across the full range of required services and programs from whole of government and </w:t>
      </w:r>
      <w:r w:rsidR="001A6415">
        <w:rPr>
          <w:rFonts w:cs="Arial"/>
          <w:bCs/>
          <w:iCs/>
        </w:rPr>
        <w:t>NGO</w:t>
      </w:r>
      <w:r w:rsidRPr="00CB1B92">
        <w:rPr>
          <w:rFonts w:cs="Arial"/>
          <w:bCs/>
          <w:iCs/>
        </w:rPr>
        <w:t xml:space="preserve"> providers ensuring access to services and supports in the context of Child Safety and Youth Justice frameworks.  </w:t>
      </w:r>
    </w:p>
    <w:p w:rsidR="00CB1B92" w:rsidRPr="00CB1B92" w:rsidRDefault="00CB1B92" w:rsidP="00CB1B92">
      <w:pPr>
        <w:numPr>
          <w:ilvl w:val="0"/>
          <w:numId w:val="22"/>
        </w:numPr>
        <w:autoSpaceDE w:val="0"/>
        <w:autoSpaceDN w:val="0"/>
        <w:adjustRightInd w:val="0"/>
        <w:jc w:val="both"/>
        <w:rPr>
          <w:rFonts w:cs="Arial"/>
          <w:bCs/>
          <w:iCs/>
        </w:rPr>
      </w:pPr>
      <w:r w:rsidRPr="00CB1B92">
        <w:rPr>
          <w:rFonts w:cs="Arial"/>
          <w:bCs/>
          <w:iCs/>
        </w:rPr>
        <w:t>developing working relationships with partners from Government agencies such as Queensland Health and Department of Education, to ensure ongoing collaboration in addressing the needs of young people in detention centres and to plan for their transition back into the community.</w:t>
      </w:r>
    </w:p>
    <w:p w:rsidR="00CB1B92" w:rsidRPr="00CB1B92" w:rsidRDefault="00CB1B92" w:rsidP="00CB1B92">
      <w:pPr>
        <w:numPr>
          <w:ilvl w:val="0"/>
          <w:numId w:val="22"/>
        </w:numPr>
        <w:autoSpaceDE w:val="0"/>
        <w:autoSpaceDN w:val="0"/>
        <w:adjustRightInd w:val="0"/>
        <w:jc w:val="both"/>
        <w:rPr>
          <w:rFonts w:cs="Arial"/>
          <w:bCs/>
          <w:iCs/>
        </w:rPr>
      </w:pPr>
      <w:r w:rsidRPr="00CB1B92">
        <w:rPr>
          <w:rFonts w:cs="Arial"/>
          <w:bCs/>
          <w:iCs/>
        </w:rPr>
        <w:t>work</w:t>
      </w:r>
      <w:r w:rsidR="001A6415">
        <w:rPr>
          <w:rFonts w:cs="Arial"/>
          <w:bCs/>
          <w:iCs/>
        </w:rPr>
        <w:t>ing</w:t>
      </w:r>
      <w:r w:rsidRPr="00CB1B92">
        <w:rPr>
          <w:rFonts w:cs="Arial"/>
          <w:bCs/>
          <w:iCs/>
        </w:rPr>
        <w:t xml:space="preserve"> alongside Child Safety Officers, Youth Justice Officers and detention centre staff and their management to gain understanding, knowledge and skills regarding the Youth Justice Service system and management of detention centres to be able to assist and provide the highest possible services to children and young people at their most vulnerable time in detention centres and to facilitate their transition and re-engagement with their community and families.</w:t>
      </w:r>
    </w:p>
    <w:p w:rsidR="00CB1B92" w:rsidRPr="00CB1B92" w:rsidRDefault="00CB1B92" w:rsidP="00CB1B92">
      <w:pPr>
        <w:autoSpaceDE w:val="0"/>
        <w:autoSpaceDN w:val="0"/>
        <w:adjustRightInd w:val="0"/>
        <w:jc w:val="both"/>
        <w:rPr>
          <w:rFonts w:cs="Arial"/>
          <w:bCs/>
          <w:iCs/>
        </w:rPr>
      </w:pPr>
      <w:r w:rsidRPr="00CB1B92">
        <w:rPr>
          <w:rFonts w:cs="Arial"/>
          <w:bCs/>
          <w:iCs/>
        </w:rPr>
        <w:t>A</w:t>
      </w:r>
      <w:r>
        <w:rPr>
          <w:rFonts w:cs="Arial"/>
          <w:bCs/>
          <w:iCs/>
        </w:rPr>
        <w:t>dditionally, a</w:t>
      </w:r>
      <w:r w:rsidRPr="00CB1B92">
        <w:rPr>
          <w:rFonts w:cs="Arial"/>
          <w:bCs/>
          <w:iCs/>
        </w:rPr>
        <w:t xml:space="preserve"> Y</w:t>
      </w:r>
      <w:r>
        <w:rPr>
          <w:rFonts w:cs="Arial"/>
          <w:bCs/>
          <w:iCs/>
        </w:rPr>
        <w:t xml:space="preserve">outh </w:t>
      </w:r>
      <w:r w:rsidRPr="00CB1B92">
        <w:rPr>
          <w:rFonts w:cs="Arial"/>
          <w:bCs/>
          <w:iCs/>
        </w:rPr>
        <w:t>J</w:t>
      </w:r>
      <w:r>
        <w:rPr>
          <w:rFonts w:cs="Arial"/>
          <w:bCs/>
          <w:iCs/>
        </w:rPr>
        <w:t>ustice</w:t>
      </w:r>
      <w:r w:rsidRPr="00CB1B92">
        <w:rPr>
          <w:rFonts w:cs="Arial"/>
          <w:bCs/>
          <w:iCs/>
        </w:rPr>
        <w:t>/C</w:t>
      </w:r>
      <w:r>
        <w:rPr>
          <w:rFonts w:cs="Arial"/>
          <w:bCs/>
          <w:iCs/>
        </w:rPr>
        <w:t xml:space="preserve">hild </w:t>
      </w:r>
      <w:r w:rsidRPr="00CB1B92">
        <w:rPr>
          <w:rFonts w:cs="Arial"/>
          <w:bCs/>
          <w:iCs/>
        </w:rPr>
        <w:t>P</w:t>
      </w:r>
      <w:r>
        <w:rPr>
          <w:rFonts w:cs="Arial"/>
          <w:bCs/>
          <w:iCs/>
        </w:rPr>
        <w:t>rotection</w:t>
      </w:r>
      <w:r w:rsidRPr="00CB1B92">
        <w:rPr>
          <w:rFonts w:cs="Arial"/>
          <w:bCs/>
          <w:iCs/>
        </w:rPr>
        <w:t xml:space="preserve"> action plan has been develo</w:t>
      </w:r>
      <w:r>
        <w:rPr>
          <w:rFonts w:cs="Arial"/>
          <w:bCs/>
          <w:iCs/>
        </w:rPr>
        <w:t xml:space="preserve">ped. </w:t>
      </w:r>
      <w:r w:rsidR="00F56C5E">
        <w:rPr>
          <w:rFonts w:cs="Arial"/>
          <w:bCs/>
          <w:iCs/>
        </w:rPr>
        <w:t>This</w:t>
      </w:r>
      <w:r>
        <w:rPr>
          <w:rFonts w:cs="Arial"/>
          <w:bCs/>
          <w:iCs/>
        </w:rPr>
        <w:t xml:space="preserve"> outlines the</w:t>
      </w:r>
      <w:r w:rsidRPr="00CB1B92">
        <w:rPr>
          <w:rFonts w:cs="Arial"/>
          <w:bCs/>
          <w:iCs/>
        </w:rPr>
        <w:t> actions and strategies being implemented by different areas within the department to improve outcomes for young people in detention centres</w:t>
      </w:r>
      <w:r w:rsidR="008E2C8B">
        <w:rPr>
          <w:rFonts w:cs="Arial"/>
          <w:bCs/>
          <w:iCs/>
        </w:rPr>
        <w:t xml:space="preserve"> and to strengthen service responses to young people in contact with both systems</w:t>
      </w:r>
      <w:r w:rsidRPr="00CB1B92">
        <w:rPr>
          <w:rFonts w:cs="Arial"/>
          <w:bCs/>
          <w:iCs/>
        </w:rPr>
        <w:t>.</w:t>
      </w:r>
    </w:p>
    <w:p w:rsidR="00CB1B92" w:rsidRPr="00CB1B92" w:rsidRDefault="00CB1B92" w:rsidP="00CB1B92">
      <w:pPr>
        <w:autoSpaceDE w:val="0"/>
        <w:autoSpaceDN w:val="0"/>
        <w:adjustRightInd w:val="0"/>
        <w:jc w:val="both"/>
        <w:rPr>
          <w:rFonts w:cs="Arial"/>
          <w:bCs/>
          <w:iCs/>
        </w:rPr>
      </w:pPr>
      <w:r w:rsidRPr="00CB1B92">
        <w:rPr>
          <w:rFonts w:cs="Arial"/>
          <w:bCs/>
          <w:iCs/>
        </w:rPr>
        <w:t>The Action Plan identif</w:t>
      </w:r>
      <w:r w:rsidR="001A6415">
        <w:rPr>
          <w:rFonts w:cs="Arial"/>
          <w:bCs/>
          <w:iCs/>
        </w:rPr>
        <w:t>ies</w:t>
      </w:r>
      <w:r w:rsidRPr="00CB1B92">
        <w:rPr>
          <w:rFonts w:cs="Arial"/>
          <w:bCs/>
          <w:iCs/>
        </w:rPr>
        <w:t xml:space="preserve"> collaborative responses to the needs of young people requiring dual interventions through a review of policy, programs, systems and processes currently existing within the two areas. The Action plan is monitored regularly and helps department officers</w:t>
      </w:r>
      <w:r w:rsidR="001A6415">
        <w:rPr>
          <w:rFonts w:cs="Arial"/>
          <w:bCs/>
          <w:iCs/>
        </w:rPr>
        <w:t xml:space="preserve"> in</w:t>
      </w:r>
      <w:r w:rsidRPr="00CB1B92">
        <w:rPr>
          <w:rFonts w:cs="Arial"/>
          <w:bCs/>
          <w:iCs/>
        </w:rPr>
        <w:t xml:space="preserve"> problem solv</w:t>
      </w:r>
      <w:r w:rsidR="001A6415">
        <w:rPr>
          <w:rFonts w:cs="Arial"/>
          <w:bCs/>
          <w:iCs/>
        </w:rPr>
        <w:t>ing and</w:t>
      </w:r>
      <w:r w:rsidRPr="00CB1B92">
        <w:rPr>
          <w:rFonts w:cs="Arial"/>
          <w:bCs/>
          <w:iCs/>
        </w:rPr>
        <w:t xml:space="preserve"> address</w:t>
      </w:r>
      <w:r w:rsidR="001A6415">
        <w:rPr>
          <w:rFonts w:cs="Arial"/>
          <w:bCs/>
          <w:iCs/>
        </w:rPr>
        <w:t>ing</w:t>
      </w:r>
      <w:r w:rsidRPr="00CB1B92">
        <w:rPr>
          <w:rFonts w:cs="Arial"/>
          <w:bCs/>
          <w:iCs/>
        </w:rPr>
        <w:t xml:space="preserve"> operational challenges to service delivery to enable positive transition of young people requiring dual intervention to access the support to transition from the detention centres into the community.</w:t>
      </w:r>
    </w:p>
    <w:p w:rsidR="00CB1B92" w:rsidRDefault="00CB1B92" w:rsidP="00DD5024">
      <w:pPr>
        <w:autoSpaceDE w:val="0"/>
        <w:autoSpaceDN w:val="0"/>
        <w:adjustRightInd w:val="0"/>
        <w:jc w:val="both"/>
        <w:rPr>
          <w:rFonts w:cs="Arial"/>
          <w:bCs/>
          <w:iCs/>
        </w:rPr>
      </w:pPr>
      <w:r w:rsidRPr="00CB1B92">
        <w:rPr>
          <w:rFonts w:cs="Arial"/>
          <w:bCs/>
          <w:iCs/>
        </w:rPr>
        <w:lastRenderedPageBreak/>
        <w:t>With the creation of the Department of Child Safety, Youth and Women the investment and commissioning for all of the department has been streamlined with opportunities for the alignment between the commissioning of services for young people. Current work includes review of individualised placement and support, and improving referral pathways for at risk young people between the child safety, youth (including youth justice) and violence prevention service systems.</w:t>
      </w:r>
    </w:p>
    <w:p w:rsidR="00AF1157" w:rsidRPr="00AF1157" w:rsidRDefault="00AF1157" w:rsidP="00DD5024">
      <w:pPr>
        <w:keepNext/>
        <w:spacing w:before="240"/>
        <w:jc w:val="both"/>
        <w:rPr>
          <w:rFonts w:cs="Arial"/>
          <w:b/>
        </w:rPr>
      </w:pPr>
      <w:r w:rsidRPr="00AF1157">
        <w:rPr>
          <w:rFonts w:cs="Arial"/>
          <w:b/>
        </w:rPr>
        <w:t>Safety and Support Networks</w:t>
      </w:r>
    </w:p>
    <w:p w:rsidR="008E2C8B" w:rsidRDefault="00D52619" w:rsidP="00DD5024">
      <w:pPr>
        <w:keepNext/>
        <w:autoSpaceDE w:val="0"/>
        <w:autoSpaceDN w:val="0"/>
        <w:adjustRightInd w:val="0"/>
        <w:jc w:val="both"/>
        <w:rPr>
          <w:rFonts w:cs="Arial"/>
        </w:rPr>
      </w:pPr>
      <w:r>
        <w:rPr>
          <w:rFonts w:cs="Arial"/>
        </w:rPr>
        <w:t>The department has</w:t>
      </w:r>
      <w:r w:rsidRPr="00CC46C0">
        <w:rPr>
          <w:rFonts w:cs="Arial"/>
        </w:rPr>
        <w:t xml:space="preserve"> introduced Safety and Support Networks to support collaborative responses to high risk and complex children, young people and families. </w:t>
      </w:r>
      <w:r w:rsidR="00E847CE">
        <w:rPr>
          <w:rFonts w:cs="Arial"/>
        </w:rPr>
        <w:t xml:space="preserve">A core component of a strengths-based, safety-oriented practice approach is the development and strengthening of a child, young person or family’s Safety and Support Network. A Safety and Support Network is made up of a range of people, and could include family members, professionals, carers, and community members. These network members will support parents, children and young people to develop and maintain safety through case and safety planning. At time of crisis or high complexity, children, young people and their families may require a more intensive response to ensure their safety. </w:t>
      </w:r>
    </w:p>
    <w:p w:rsidR="00D52619" w:rsidRDefault="00E847CE" w:rsidP="00DD5024">
      <w:pPr>
        <w:keepNext/>
        <w:autoSpaceDE w:val="0"/>
        <w:autoSpaceDN w:val="0"/>
        <w:adjustRightInd w:val="0"/>
        <w:jc w:val="both"/>
        <w:rPr>
          <w:rFonts w:cs="Arial"/>
        </w:rPr>
      </w:pPr>
      <w:r>
        <w:rPr>
          <w:rFonts w:cs="Arial"/>
        </w:rPr>
        <w:t xml:space="preserve"> High Intensity Response by the Safety and Support Network is a particular way of coordinating, planning and working with the purpose of providing a very intensive, seamless, wraparound safety and support plan to identified children, young people or families for a time-limited period. </w:t>
      </w:r>
      <w:r w:rsidR="00D52619" w:rsidRPr="00CC46C0">
        <w:rPr>
          <w:rFonts w:cs="Arial"/>
        </w:rPr>
        <w:t>This includes the mapping of relevant information about a child or young person and ways to reduce risk</w:t>
      </w:r>
      <w:r w:rsidR="00D52619">
        <w:rPr>
          <w:rFonts w:cs="Arial"/>
        </w:rPr>
        <w:t xml:space="preserve">. </w:t>
      </w:r>
    </w:p>
    <w:p w:rsidR="00AF1157" w:rsidRPr="00AF1157" w:rsidRDefault="00AF1157" w:rsidP="00DD5024">
      <w:pPr>
        <w:spacing w:before="240"/>
        <w:jc w:val="both"/>
        <w:rPr>
          <w:rFonts w:cs="Arial"/>
          <w:b/>
        </w:rPr>
      </w:pPr>
      <w:r w:rsidRPr="00AF1157">
        <w:rPr>
          <w:rFonts w:cs="Arial"/>
          <w:b/>
        </w:rPr>
        <w:t>Training</w:t>
      </w:r>
    </w:p>
    <w:p w:rsidR="00A66AFB" w:rsidRDefault="00A66AFB" w:rsidP="00DD5024">
      <w:pPr>
        <w:autoSpaceDE w:val="0"/>
        <w:autoSpaceDN w:val="0"/>
        <w:adjustRightInd w:val="0"/>
        <w:jc w:val="both"/>
        <w:rPr>
          <w:rFonts w:cs="Arial"/>
          <w:bCs/>
          <w:iCs/>
          <w:highlight w:val="yellow"/>
        </w:rPr>
      </w:pPr>
      <w:r w:rsidRPr="00A66AFB">
        <w:rPr>
          <w:rFonts w:cs="Arial"/>
          <w:bCs/>
          <w:iCs/>
        </w:rPr>
        <w:t xml:space="preserve">Child Safety </w:t>
      </w:r>
      <w:r w:rsidR="00694A4C">
        <w:rPr>
          <w:rFonts w:cs="Arial"/>
          <w:bCs/>
          <w:iCs/>
        </w:rPr>
        <w:t>Capability Development</w:t>
      </w:r>
      <w:r w:rsidRPr="00A66AFB">
        <w:rPr>
          <w:rFonts w:cs="Arial"/>
          <w:bCs/>
          <w:iCs/>
        </w:rPr>
        <w:t xml:space="preserve"> are developing an ongoing series of training in partnership with </w:t>
      </w:r>
      <w:r w:rsidR="003B1F83">
        <w:rPr>
          <w:rFonts w:cs="Arial"/>
          <w:bCs/>
          <w:iCs/>
        </w:rPr>
        <w:t xml:space="preserve">an external </w:t>
      </w:r>
      <w:r w:rsidR="007E0531">
        <w:rPr>
          <w:rFonts w:cs="Arial"/>
          <w:bCs/>
          <w:iCs/>
        </w:rPr>
        <w:t xml:space="preserve">agency </w:t>
      </w:r>
      <w:r w:rsidRPr="007E0531">
        <w:rPr>
          <w:rFonts w:cs="Arial"/>
          <w:bCs/>
          <w:i/>
          <w:iCs/>
        </w:rPr>
        <w:t>Encompass</w:t>
      </w:r>
      <w:r w:rsidR="007E0531" w:rsidRPr="007E0531">
        <w:rPr>
          <w:rFonts w:cs="Arial"/>
          <w:bCs/>
          <w:i/>
          <w:iCs/>
        </w:rPr>
        <w:t xml:space="preserve"> family &amp; community</w:t>
      </w:r>
      <w:r w:rsidR="007E0531">
        <w:rPr>
          <w:rFonts w:cs="Arial"/>
          <w:bCs/>
          <w:iCs/>
        </w:rPr>
        <w:t>, consultants in child protection</w:t>
      </w:r>
      <w:r w:rsidRPr="00A66AFB">
        <w:rPr>
          <w:rFonts w:cs="Arial"/>
          <w:bCs/>
          <w:iCs/>
        </w:rPr>
        <w:t xml:space="preserve"> </w:t>
      </w:r>
      <w:r w:rsidR="007E0531">
        <w:rPr>
          <w:rFonts w:cs="Arial"/>
          <w:bCs/>
          <w:iCs/>
        </w:rPr>
        <w:t xml:space="preserve">and child and family welfare, in relation </w:t>
      </w:r>
      <w:r w:rsidRPr="00A66AFB">
        <w:rPr>
          <w:rFonts w:cs="Arial"/>
          <w:bCs/>
          <w:iCs/>
        </w:rPr>
        <w:t xml:space="preserve">to Working with Adolescents. Currently, staff have access to these resources within this learning pathway:  </w:t>
      </w:r>
      <w:r w:rsidRPr="00F56C5E">
        <w:rPr>
          <w:rFonts w:cs="Arial"/>
          <w:bCs/>
          <w:i/>
          <w:iCs/>
        </w:rPr>
        <w:t>Working with Adolescents</w:t>
      </w:r>
      <w:r w:rsidRPr="00A66AFB">
        <w:rPr>
          <w:rFonts w:cs="Arial"/>
          <w:bCs/>
          <w:iCs/>
        </w:rPr>
        <w:t xml:space="preserve"> – development, attachment and trauma, </w:t>
      </w:r>
      <w:r w:rsidRPr="00F56C5E">
        <w:rPr>
          <w:rFonts w:cs="Arial"/>
          <w:bCs/>
          <w:i/>
          <w:iCs/>
        </w:rPr>
        <w:t>Working with Young People in Statutory Child Protection</w:t>
      </w:r>
      <w:r w:rsidRPr="00A66AFB">
        <w:rPr>
          <w:rFonts w:cs="Arial"/>
          <w:bCs/>
          <w:iCs/>
        </w:rPr>
        <w:t xml:space="preserve">, and </w:t>
      </w:r>
      <w:r w:rsidRPr="00F56C5E">
        <w:rPr>
          <w:rFonts w:cs="Arial"/>
          <w:bCs/>
          <w:i/>
          <w:iCs/>
        </w:rPr>
        <w:t>Understanding Suicide</w:t>
      </w:r>
      <w:r w:rsidRPr="00A66AFB">
        <w:rPr>
          <w:rFonts w:cs="Arial"/>
          <w:bCs/>
          <w:iCs/>
        </w:rPr>
        <w:t>. Following on from these modules, there ha</w:t>
      </w:r>
      <w:r>
        <w:rPr>
          <w:rFonts w:cs="Arial"/>
          <w:bCs/>
          <w:iCs/>
        </w:rPr>
        <w:t>s</w:t>
      </w:r>
      <w:r w:rsidRPr="00A66AFB">
        <w:rPr>
          <w:rFonts w:cs="Arial"/>
          <w:bCs/>
          <w:iCs/>
        </w:rPr>
        <w:t xml:space="preserve"> been further advanced training on working within a multi</w:t>
      </w:r>
      <w:r>
        <w:rPr>
          <w:rFonts w:cs="Arial"/>
          <w:bCs/>
          <w:iCs/>
        </w:rPr>
        <w:t>-</w:t>
      </w:r>
      <w:r w:rsidRPr="00A66AFB">
        <w:rPr>
          <w:rFonts w:cs="Arial"/>
          <w:bCs/>
          <w:iCs/>
        </w:rPr>
        <w:t>agency and high intensity response context called “Managing the Challenges”</w:t>
      </w:r>
      <w:r w:rsidR="00DE11BD">
        <w:rPr>
          <w:rFonts w:cs="Arial"/>
          <w:bCs/>
          <w:iCs/>
        </w:rPr>
        <w:t xml:space="preserve">. This </w:t>
      </w:r>
      <w:r w:rsidRPr="00A66AFB">
        <w:rPr>
          <w:rFonts w:cs="Arial"/>
          <w:bCs/>
          <w:iCs/>
        </w:rPr>
        <w:t>will link to specific content on working with high risk adolescents in Family Based Placement, Residential Placements and Family Relationships respectively</w:t>
      </w:r>
      <w:r w:rsidR="00DE11BD">
        <w:rPr>
          <w:rFonts w:cs="Arial"/>
          <w:bCs/>
          <w:iCs/>
        </w:rPr>
        <w:t>, which</w:t>
      </w:r>
      <w:r w:rsidRPr="00A66AFB">
        <w:rPr>
          <w:rFonts w:cs="Arial"/>
          <w:bCs/>
          <w:iCs/>
        </w:rPr>
        <w:t xml:space="preserve"> will be piloted throughout late 2018, with a final version launched in </w:t>
      </w:r>
      <w:r>
        <w:rPr>
          <w:rFonts w:cs="Arial"/>
          <w:bCs/>
          <w:iCs/>
        </w:rPr>
        <w:t>e</w:t>
      </w:r>
      <w:r w:rsidRPr="00A66AFB">
        <w:rPr>
          <w:rFonts w:cs="Arial"/>
          <w:bCs/>
          <w:iCs/>
        </w:rPr>
        <w:t>arly 2019.</w:t>
      </w:r>
    </w:p>
    <w:p w:rsidR="00FC393A" w:rsidRPr="001133D1" w:rsidRDefault="00CC30AA" w:rsidP="00DD5024">
      <w:pPr>
        <w:pStyle w:val="Heading2"/>
        <w:spacing w:before="240"/>
        <w:jc w:val="both"/>
        <w:rPr>
          <w:sz w:val="28"/>
        </w:rPr>
      </w:pPr>
      <w:bookmarkStart w:id="100" w:name="_Toc524517394"/>
      <w:r w:rsidRPr="00CC30AA">
        <w:rPr>
          <w:sz w:val="28"/>
        </w:rPr>
        <w:t>Growing cultural capability and improving Aboriginal and Torres Strait Islander services</w:t>
      </w:r>
      <w:bookmarkEnd w:id="100"/>
      <w:r w:rsidRPr="00CC30AA">
        <w:rPr>
          <w:sz w:val="28"/>
        </w:rPr>
        <w:t xml:space="preserve"> </w:t>
      </w:r>
    </w:p>
    <w:p w:rsidR="00F56C5E" w:rsidRDefault="00984071" w:rsidP="00DD5024">
      <w:pPr>
        <w:autoSpaceDE w:val="0"/>
        <w:autoSpaceDN w:val="0"/>
        <w:adjustRightInd w:val="0"/>
        <w:jc w:val="both"/>
        <w:rPr>
          <w:rFonts w:cs="Arial"/>
          <w:bCs/>
          <w:iCs/>
        </w:rPr>
      </w:pPr>
      <w:r>
        <w:rPr>
          <w:rFonts w:cs="Arial"/>
          <w:bCs/>
          <w:iCs/>
        </w:rPr>
        <w:t>In 2017</w:t>
      </w:r>
      <w:r w:rsidR="001E71D5">
        <w:rPr>
          <w:rFonts w:cs="Arial"/>
          <w:bCs/>
          <w:iCs/>
        </w:rPr>
        <w:t>–</w:t>
      </w:r>
      <w:r>
        <w:rPr>
          <w:rFonts w:cs="Arial"/>
          <w:bCs/>
          <w:iCs/>
        </w:rPr>
        <w:t>18</w:t>
      </w:r>
      <w:r w:rsidR="001E71D5">
        <w:rPr>
          <w:rFonts w:cs="Arial"/>
          <w:bCs/>
          <w:iCs/>
        </w:rPr>
        <w:t>,</w:t>
      </w:r>
      <w:r w:rsidR="00FC393A">
        <w:rPr>
          <w:rFonts w:cs="Arial"/>
          <w:bCs/>
          <w:iCs/>
        </w:rPr>
        <w:t xml:space="preserve"> the department has </w:t>
      </w:r>
      <w:r w:rsidR="00FC393A" w:rsidRPr="007231D9">
        <w:rPr>
          <w:rFonts w:cs="Arial"/>
          <w:bCs/>
          <w:iCs/>
        </w:rPr>
        <w:t>undertaken a</w:t>
      </w:r>
      <w:r w:rsidR="001E71D5" w:rsidRPr="007231D9">
        <w:rPr>
          <w:rFonts w:cs="Arial"/>
          <w:bCs/>
          <w:iCs/>
        </w:rPr>
        <w:t xml:space="preserve"> </w:t>
      </w:r>
      <w:r w:rsidR="00FC393A" w:rsidRPr="007231D9">
        <w:rPr>
          <w:rFonts w:cs="Arial"/>
          <w:bCs/>
          <w:iCs/>
        </w:rPr>
        <w:t>range of</w:t>
      </w:r>
      <w:r w:rsidR="00FC393A">
        <w:rPr>
          <w:rFonts w:cs="Arial"/>
          <w:bCs/>
          <w:iCs/>
        </w:rPr>
        <w:t xml:space="preserve"> actions </w:t>
      </w:r>
      <w:r w:rsidR="000B6377">
        <w:rPr>
          <w:rFonts w:cs="Arial"/>
          <w:bCs/>
          <w:iCs/>
        </w:rPr>
        <w:t xml:space="preserve">to address the critical issue of over-representation of Aboriginal and Torres Strait Islander children in the child protection system with focus on responding differently and closing the gaps in life outcomes. </w:t>
      </w:r>
    </w:p>
    <w:p w:rsidR="00FB574D" w:rsidRDefault="000B6377" w:rsidP="00DD5024">
      <w:pPr>
        <w:autoSpaceDE w:val="0"/>
        <w:autoSpaceDN w:val="0"/>
        <w:adjustRightInd w:val="0"/>
        <w:jc w:val="both"/>
        <w:rPr>
          <w:rFonts w:cs="Arial"/>
          <w:bCs/>
          <w:iCs/>
        </w:rPr>
      </w:pPr>
      <w:r>
        <w:rPr>
          <w:rFonts w:cs="Arial"/>
          <w:bCs/>
          <w:iCs/>
        </w:rPr>
        <w:t xml:space="preserve">Key actions have focused on </w:t>
      </w:r>
      <w:r w:rsidR="00674492">
        <w:rPr>
          <w:rFonts w:cs="Arial"/>
          <w:bCs/>
          <w:iCs/>
        </w:rPr>
        <w:t>grow</w:t>
      </w:r>
      <w:r w:rsidR="00B9438D">
        <w:rPr>
          <w:rFonts w:cs="Arial"/>
          <w:bCs/>
          <w:iCs/>
        </w:rPr>
        <w:t>ing</w:t>
      </w:r>
      <w:r w:rsidR="00674492">
        <w:rPr>
          <w:rFonts w:cs="Arial"/>
          <w:bCs/>
          <w:iCs/>
        </w:rPr>
        <w:t xml:space="preserve"> </w:t>
      </w:r>
      <w:r w:rsidR="009E6530">
        <w:rPr>
          <w:rFonts w:cs="Arial"/>
          <w:bCs/>
          <w:iCs/>
        </w:rPr>
        <w:t xml:space="preserve">the </w:t>
      </w:r>
      <w:r w:rsidR="00674492">
        <w:rPr>
          <w:rFonts w:cs="Arial"/>
          <w:bCs/>
          <w:iCs/>
        </w:rPr>
        <w:t>cultural capability</w:t>
      </w:r>
      <w:r w:rsidR="009E6530">
        <w:rPr>
          <w:rFonts w:cs="Arial"/>
          <w:bCs/>
          <w:iCs/>
        </w:rPr>
        <w:t xml:space="preserve"> of staff</w:t>
      </w:r>
      <w:r w:rsidR="00674492">
        <w:rPr>
          <w:rFonts w:cs="Arial"/>
          <w:bCs/>
          <w:iCs/>
        </w:rPr>
        <w:t xml:space="preserve"> and improv</w:t>
      </w:r>
      <w:r w:rsidR="00B9438D">
        <w:rPr>
          <w:rFonts w:cs="Arial"/>
          <w:bCs/>
          <w:iCs/>
        </w:rPr>
        <w:t>ing</w:t>
      </w:r>
      <w:r w:rsidR="00674492">
        <w:rPr>
          <w:rFonts w:cs="Arial"/>
          <w:bCs/>
          <w:iCs/>
        </w:rPr>
        <w:t xml:space="preserve"> access to appropriate services.</w:t>
      </w:r>
    </w:p>
    <w:p w:rsidR="00F56C5E" w:rsidRDefault="00F56C5E" w:rsidP="00DD5024">
      <w:pPr>
        <w:autoSpaceDE w:val="0"/>
        <w:autoSpaceDN w:val="0"/>
        <w:adjustRightInd w:val="0"/>
        <w:jc w:val="both"/>
        <w:rPr>
          <w:rFonts w:cs="Arial"/>
          <w:bCs/>
          <w:iCs/>
        </w:rPr>
      </w:pPr>
    </w:p>
    <w:p w:rsidR="00674492" w:rsidRPr="00674492" w:rsidRDefault="00674492" w:rsidP="00DD5024">
      <w:pPr>
        <w:spacing w:before="240"/>
        <w:jc w:val="both"/>
        <w:rPr>
          <w:rFonts w:cs="Arial"/>
          <w:b/>
        </w:rPr>
      </w:pPr>
      <w:r w:rsidRPr="00674492">
        <w:rPr>
          <w:rFonts w:cs="Arial"/>
          <w:b/>
        </w:rPr>
        <w:t>Our Way</w:t>
      </w:r>
    </w:p>
    <w:p w:rsidR="00CC30AA" w:rsidRPr="00CC30AA" w:rsidRDefault="00CC30AA" w:rsidP="00DD5024">
      <w:pPr>
        <w:autoSpaceDE w:val="0"/>
        <w:autoSpaceDN w:val="0"/>
        <w:adjustRightInd w:val="0"/>
        <w:jc w:val="both"/>
        <w:rPr>
          <w:rFonts w:cs="Arial"/>
        </w:rPr>
      </w:pPr>
      <w:r w:rsidRPr="00CC30AA">
        <w:rPr>
          <w:rFonts w:cs="Arial"/>
        </w:rPr>
        <w:t xml:space="preserve">The </w:t>
      </w:r>
      <w:r w:rsidRPr="00CC30AA">
        <w:rPr>
          <w:rFonts w:cs="Arial"/>
          <w:i/>
        </w:rPr>
        <w:t>Our Way – A generational strategy for Aboriginal and Torres Strait Islander children and families 2017-2037</w:t>
      </w:r>
      <w:r w:rsidRPr="00CC30AA">
        <w:rPr>
          <w:rFonts w:cs="Arial"/>
        </w:rPr>
        <w:t xml:space="preserve"> (the strategy) is the Queensland Government’s </w:t>
      </w:r>
      <w:r w:rsidR="00F56C5E">
        <w:rPr>
          <w:rFonts w:cs="Arial"/>
        </w:rPr>
        <w:t>strategy</w:t>
      </w:r>
      <w:r w:rsidRPr="00CC30AA">
        <w:rPr>
          <w:rFonts w:cs="Arial"/>
        </w:rPr>
        <w:t xml:space="preserve"> to </w:t>
      </w:r>
      <w:r w:rsidR="00F56C5E">
        <w:rPr>
          <w:rFonts w:cs="Arial"/>
        </w:rPr>
        <w:t xml:space="preserve">contribute to </w:t>
      </w:r>
      <w:r w:rsidRPr="00CC30AA">
        <w:rPr>
          <w:rFonts w:cs="Arial"/>
        </w:rPr>
        <w:t>clos</w:t>
      </w:r>
      <w:r w:rsidR="00F56C5E">
        <w:rPr>
          <w:rFonts w:cs="Arial"/>
        </w:rPr>
        <w:t>ing</w:t>
      </w:r>
      <w:r w:rsidRPr="00CC30AA">
        <w:rPr>
          <w:rFonts w:cs="Arial"/>
        </w:rPr>
        <w:t xml:space="preserve"> the gap in life outcomes for Aboriginal and Torres Strait Islander children and families, </w:t>
      </w:r>
      <w:r w:rsidRPr="00CC30AA">
        <w:rPr>
          <w:rFonts w:cs="Arial"/>
        </w:rPr>
        <w:lastRenderedPageBreak/>
        <w:t>and eliminating the over-representation of Aboriginal and Torres Strait Islander children in the child protection system.</w:t>
      </w:r>
    </w:p>
    <w:p w:rsidR="00CC30AA" w:rsidRPr="00CC30AA" w:rsidRDefault="00CC30AA" w:rsidP="00DD5024">
      <w:pPr>
        <w:autoSpaceDE w:val="0"/>
        <w:autoSpaceDN w:val="0"/>
        <w:adjustRightInd w:val="0"/>
        <w:jc w:val="both"/>
        <w:rPr>
          <w:rFonts w:cs="Arial"/>
        </w:rPr>
      </w:pPr>
      <w:r w:rsidRPr="00CC30AA">
        <w:rPr>
          <w:rFonts w:cs="Arial"/>
        </w:rPr>
        <w:t xml:space="preserve">The strategy is a long-term generational commitment by the Queensland Government, Family Matters and Aboriginal and Torres Strait Islander </w:t>
      </w:r>
      <w:r w:rsidR="00F56C5E">
        <w:rPr>
          <w:rFonts w:cs="Arial"/>
        </w:rPr>
        <w:t xml:space="preserve">organisations and </w:t>
      </w:r>
      <w:r w:rsidRPr="00CC30AA">
        <w:rPr>
          <w:rFonts w:cs="Arial"/>
        </w:rPr>
        <w:t>communit</w:t>
      </w:r>
      <w:r w:rsidR="00F56C5E">
        <w:rPr>
          <w:rFonts w:cs="Arial"/>
        </w:rPr>
        <w:t>ies</w:t>
      </w:r>
      <w:r w:rsidRPr="00CC30AA">
        <w:rPr>
          <w:rFonts w:cs="Arial"/>
        </w:rPr>
        <w:t xml:space="preserve"> to work together to ensure Aboriginal and Torres Strait Islander children and young people in Queensland grow up safe and cared for in family, community and culture.</w:t>
      </w:r>
    </w:p>
    <w:p w:rsidR="00CC30AA" w:rsidRPr="00CC30AA" w:rsidRDefault="00CC30AA" w:rsidP="00DD5024">
      <w:pPr>
        <w:autoSpaceDE w:val="0"/>
        <w:autoSpaceDN w:val="0"/>
        <w:adjustRightInd w:val="0"/>
        <w:jc w:val="both"/>
        <w:rPr>
          <w:rFonts w:cs="Arial"/>
        </w:rPr>
      </w:pPr>
      <w:r w:rsidRPr="00CC30AA">
        <w:rPr>
          <w:rFonts w:cs="Arial"/>
        </w:rPr>
        <w:t xml:space="preserve">The strategy </w:t>
      </w:r>
      <w:r w:rsidR="00F56C5E">
        <w:rPr>
          <w:rFonts w:cs="Arial"/>
        </w:rPr>
        <w:t>commits to</w:t>
      </w:r>
      <w:r w:rsidRPr="00CC30AA">
        <w:rPr>
          <w:rFonts w:cs="Arial"/>
        </w:rPr>
        <w:t xml:space="preserve"> transformational change to be delivered over the next 20 years, recognising that meaningful and sustained change will take a generation to be realised. It will be delivered through a series of action plans aimed to empower families and communities to care safely for their children, solve problems and achieve their aspirations.</w:t>
      </w:r>
    </w:p>
    <w:p w:rsidR="00CC30AA" w:rsidRPr="00CC30AA" w:rsidRDefault="00CC30AA" w:rsidP="00DD5024">
      <w:pPr>
        <w:autoSpaceDE w:val="0"/>
        <w:autoSpaceDN w:val="0"/>
        <w:adjustRightInd w:val="0"/>
        <w:jc w:val="both"/>
        <w:rPr>
          <w:rFonts w:cs="Arial"/>
        </w:rPr>
      </w:pPr>
      <w:r w:rsidRPr="00CC30AA">
        <w:rPr>
          <w:rFonts w:cs="Arial"/>
        </w:rPr>
        <w:t>Over time, through successive action plans, the foundations will be built, changes</w:t>
      </w:r>
      <w:r w:rsidR="00674492">
        <w:rPr>
          <w:rFonts w:cs="Arial"/>
        </w:rPr>
        <w:t xml:space="preserve"> </w:t>
      </w:r>
      <w:r w:rsidRPr="00CC30AA">
        <w:rPr>
          <w:rFonts w:cs="Arial"/>
        </w:rPr>
        <w:t>implemented and actions consolidated to achieve positive outcomes for Aboriginal and Torres Strait Islander children and families. Each action plan will continue to build the evidence base to inform future directions.</w:t>
      </w:r>
    </w:p>
    <w:p w:rsidR="00CC30AA" w:rsidRPr="00CC30AA" w:rsidRDefault="00CC30AA" w:rsidP="00DD5024">
      <w:pPr>
        <w:autoSpaceDE w:val="0"/>
        <w:autoSpaceDN w:val="0"/>
        <w:adjustRightInd w:val="0"/>
        <w:jc w:val="both"/>
        <w:rPr>
          <w:rFonts w:cs="Arial"/>
        </w:rPr>
      </w:pPr>
      <w:r w:rsidRPr="00CC30AA">
        <w:rPr>
          <w:rFonts w:cs="Arial"/>
        </w:rPr>
        <w:t>As part of the strategy, the department has shifted and balanced investment to focus on prevention and early intervention services, recognising that the community-led and Aboriginal and Torres Strait Islander community controlled sector is best placed to design and deliver services for Aboriginal and Torres Strait Islander children, families and communities.</w:t>
      </w:r>
    </w:p>
    <w:p w:rsidR="00CC30AA" w:rsidRPr="00CC30AA" w:rsidRDefault="00CC30AA" w:rsidP="00DD5024">
      <w:pPr>
        <w:autoSpaceDE w:val="0"/>
        <w:autoSpaceDN w:val="0"/>
        <w:adjustRightInd w:val="0"/>
        <w:jc w:val="both"/>
        <w:rPr>
          <w:rFonts w:cs="Arial"/>
        </w:rPr>
      </w:pPr>
      <w:r w:rsidRPr="00CC30AA">
        <w:rPr>
          <w:rFonts w:cs="Arial"/>
        </w:rPr>
        <w:t>Through the strategy and action plan, the department is working closely with key agencies to ensure:</w:t>
      </w:r>
    </w:p>
    <w:p w:rsidR="000A4A97" w:rsidRPr="00CC30AA" w:rsidRDefault="000A4A97" w:rsidP="00DD5024">
      <w:pPr>
        <w:numPr>
          <w:ilvl w:val="0"/>
          <w:numId w:val="10"/>
        </w:numPr>
        <w:autoSpaceDE w:val="0"/>
        <w:autoSpaceDN w:val="0"/>
        <w:adjustRightInd w:val="0"/>
        <w:jc w:val="both"/>
        <w:rPr>
          <w:rFonts w:cs="Arial"/>
        </w:rPr>
      </w:pPr>
      <w:r w:rsidRPr="00CC30AA">
        <w:rPr>
          <w:rFonts w:cs="Arial"/>
        </w:rPr>
        <w:t>all families enjoy access to the quality, culturally safe, universal and targeted services necessary</w:t>
      </w:r>
      <w:r w:rsidR="00CC30AA" w:rsidRPr="00CC30AA">
        <w:rPr>
          <w:rFonts w:cs="Arial"/>
        </w:rPr>
        <w:t xml:space="preserve"> </w:t>
      </w:r>
      <w:r w:rsidRPr="00CC30AA">
        <w:rPr>
          <w:rFonts w:cs="Arial"/>
        </w:rPr>
        <w:t>for Aboriginal and Torres Strait Islander children to thrive</w:t>
      </w:r>
    </w:p>
    <w:p w:rsidR="000A4A97" w:rsidRPr="00CC30AA" w:rsidRDefault="000A4A97" w:rsidP="00DD5024">
      <w:pPr>
        <w:numPr>
          <w:ilvl w:val="0"/>
          <w:numId w:val="10"/>
        </w:numPr>
        <w:autoSpaceDE w:val="0"/>
        <w:autoSpaceDN w:val="0"/>
        <w:adjustRightInd w:val="0"/>
        <w:jc w:val="both"/>
        <w:rPr>
          <w:rFonts w:cs="Arial"/>
        </w:rPr>
      </w:pPr>
      <w:r w:rsidRPr="00CC30AA">
        <w:rPr>
          <w:rFonts w:cs="Arial"/>
        </w:rPr>
        <w:t>Aboriginal and Torres Strait Islander peoples and organisations participate in and have control over</w:t>
      </w:r>
      <w:r w:rsidR="00CC30AA" w:rsidRPr="00CC30AA">
        <w:rPr>
          <w:rFonts w:cs="Arial"/>
        </w:rPr>
        <w:t xml:space="preserve"> </w:t>
      </w:r>
      <w:r w:rsidRPr="00CC30AA">
        <w:rPr>
          <w:rFonts w:cs="Arial"/>
        </w:rPr>
        <w:t>decisions that affect their children</w:t>
      </w:r>
    </w:p>
    <w:p w:rsidR="000A4A97" w:rsidRPr="00CC30AA" w:rsidRDefault="000A4A97" w:rsidP="00DD5024">
      <w:pPr>
        <w:numPr>
          <w:ilvl w:val="0"/>
          <w:numId w:val="10"/>
        </w:numPr>
        <w:autoSpaceDE w:val="0"/>
        <w:autoSpaceDN w:val="0"/>
        <w:adjustRightInd w:val="0"/>
        <w:jc w:val="both"/>
        <w:rPr>
          <w:rFonts w:cs="Arial"/>
        </w:rPr>
      </w:pPr>
      <w:r w:rsidRPr="00CC30AA">
        <w:rPr>
          <w:rFonts w:cs="Arial"/>
        </w:rPr>
        <w:t>law, policy and practice in child and family welfare are culturally safe and responsive</w:t>
      </w:r>
    </w:p>
    <w:p w:rsidR="000A4A97" w:rsidRPr="00CC30AA" w:rsidRDefault="00D003CF" w:rsidP="00DD5024">
      <w:pPr>
        <w:numPr>
          <w:ilvl w:val="0"/>
          <w:numId w:val="10"/>
        </w:numPr>
        <w:autoSpaceDE w:val="0"/>
        <w:autoSpaceDN w:val="0"/>
        <w:adjustRightInd w:val="0"/>
        <w:jc w:val="both"/>
        <w:rPr>
          <w:rFonts w:cs="Arial"/>
        </w:rPr>
      </w:pPr>
      <w:r>
        <w:rPr>
          <w:rFonts w:cs="Arial"/>
        </w:rPr>
        <w:t>government</w:t>
      </w:r>
      <w:r w:rsidR="000A4A97" w:rsidRPr="00CC30AA">
        <w:rPr>
          <w:rFonts w:cs="Arial"/>
        </w:rPr>
        <w:t xml:space="preserve"> and community services are accountable to Aboriginal and Torres Strait Islander</w:t>
      </w:r>
      <w:r w:rsidR="00CC30AA" w:rsidRPr="00CC30AA">
        <w:rPr>
          <w:rFonts w:cs="Arial"/>
        </w:rPr>
        <w:t xml:space="preserve"> </w:t>
      </w:r>
      <w:r w:rsidR="000A4A97" w:rsidRPr="00CC30AA">
        <w:rPr>
          <w:rFonts w:cs="Arial"/>
        </w:rPr>
        <w:t>peoples.</w:t>
      </w:r>
    </w:p>
    <w:p w:rsidR="00674492" w:rsidRPr="00674492" w:rsidRDefault="00674492" w:rsidP="00DD5024">
      <w:pPr>
        <w:keepNext/>
        <w:spacing w:before="240"/>
        <w:jc w:val="both"/>
        <w:rPr>
          <w:rFonts w:cs="Arial"/>
          <w:b/>
        </w:rPr>
      </w:pPr>
      <w:r w:rsidRPr="00674492">
        <w:rPr>
          <w:rFonts w:cs="Arial"/>
          <w:b/>
        </w:rPr>
        <w:t>Changing Tracks</w:t>
      </w:r>
    </w:p>
    <w:p w:rsidR="00CC30AA" w:rsidRPr="00CC30AA" w:rsidRDefault="00CC30AA" w:rsidP="00DD5024">
      <w:pPr>
        <w:keepNext/>
        <w:autoSpaceDE w:val="0"/>
        <w:autoSpaceDN w:val="0"/>
        <w:adjustRightInd w:val="0"/>
        <w:jc w:val="both"/>
        <w:rPr>
          <w:rFonts w:cs="Arial"/>
        </w:rPr>
      </w:pPr>
      <w:r w:rsidRPr="00CC30AA">
        <w:rPr>
          <w:rFonts w:cs="Arial"/>
          <w:i/>
        </w:rPr>
        <w:t>Changing Tracks</w:t>
      </w:r>
      <w:r w:rsidRPr="00CC30AA">
        <w:rPr>
          <w:rFonts w:cs="Arial"/>
        </w:rPr>
        <w:t xml:space="preserve"> – </w:t>
      </w:r>
      <w:r w:rsidR="00A82624">
        <w:rPr>
          <w:rFonts w:cs="Arial"/>
        </w:rPr>
        <w:t xml:space="preserve">the </w:t>
      </w:r>
      <w:r w:rsidRPr="00CC30AA">
        <w:rPr>
          <w:rFonts w:cs="Arial"/>
        </w:rPr>
        <w:t xml:space="preserve">first three year action plan – contains 35 actions with 15 government and non-government partners. </w:t>
      </w:r>
      <w:r w:rsidRPr="00CC30AA">
        <w:rPr>
          <w:rFonts w:cs="Arial"/>
          <w:i/>
        </w:rPr>
        <w:t>Changing Tracks</w:t>
      </w:r>
      <w:r w:rsidRPr="00CC30AA">
        <w:rPr>
          <w:rFonts w:cs="Arial"/>
        </w:rPr>
        <w:t xml:space="preserve"> five priority areas</w:t>
      </w:r>
      <w:r w:rsidR="00C033CA">
        <w:rPr>
          <w:rFonts w:cs="Arial"/>
        </w:rPr>
        <w:t xml:space="preserve"> include</w:t>
      </w:r>
      <w:r w:rsidRPr="00CC30AA">
        <w:rPr>
          <w:rFonts w:cs="Arial"/>
        </w:rPr>
        <w:t>:</w:t>
      </w:r>
    </w:p>
    <w:p w:rsidR="000A4A97" w:rsidRPr="00CC30AA" w:rsidRDefault="000A4A97" w:rsidP="00DD5024">
      <w:pPr>
        <w:keepNext/>
        <w:numPr>
          <w:ilvl w:val="0"/>
          <w:numId w:val="12"/>
        </w:numPr>
        <w:autoSpaceDE w:val="0"/>
        <w:autoSpaceDN w:val="0"/>
        <w:adjustRightInd w:val="0"/>
        <w:jc w:val="both"/>
        <w:rPr>
          <w:rFonts w:cs="Arial"/>
        </w:rPr>
      </w:pPr>
      <w:r w:rsidRPr="00CC30AA">
        <w:rPr>
          <w:rFonts w:cs="Arial"/>
        </w:rPr>
        <w:t>better meet the needs of Aboriginal and Torres Strait Islander young women</w:t>
      </w:r>
      <w:r w:rsidR="00CC30AA" w:rsidRPr="00CC30AA">
        <w:rPr>
          <w:rFonts w:cs="Arial"/>
        </w:rPr>
        <w:t xml:space="preserve"> </w:t>
      </w:r>
      <w:r w:rsidRPr="00CC30AA">
        <w:rPr>
          <w:rFonts w:cs="Arial"/>
        </w:rPr>
        <w:t>under 25 years and their partners, before and during pregnancy and parenting,</w:t>
      </w:r>
      <w:r w:rsidR="00CC30AA" w:rsidRPr="00CC30AA">
        <w:rPr>
          <w:rFonts w:cs="Arial"/>
        </w:rPr>
        <w:t xml:space="preserve"> </w:t>
      </w:r>
      <w:r w:rsidRPr="00CC30AA">
        <w:rPr>
          <w:rFonts w:cs="Arial"/>
        </w:rPr>
        <w:t>especially during the first 1000 days</w:t>
      </w:r>
    </w:p>
    <w:p w:rsidR="000A4A97" w:rsidRPr="00CC30AA" w:rsidRDefault="000A4A97" w:rsidP="00DD5024">
      <w:pPr>
        <w:numPr>
          <w:ilvl w:val="0"/>
          <w:numId w:val="12"/>
        </w:numPr>
        <w:autoSpaceDE w:val="0"/>
        <w:autoSpaceDN w:val="0"/>
        <w:adjustRightInd w:val="0"/>
        <w:jc w:val="both"/>
        <w:rPr>
          <w:rFonts w:cs="Arial"/>
        </w:rPr>
      </w:pPr>
      <w:r w:rsidRPr="00CC30AA">
        <w:rPr>
          <w:rFonts w:cs="Arial"/>
        </w:rPr>
        <w:t>increase access to and involvement in early years, health and disability</w:t>
      </w:r>
      <w:r w:rsidR="00CC30AA" w:rsidRPr="00CC30AA">
        <w:rPr>
          <w:rFonts w:cs="Arial"/>
        </w:rPr>
        <w:t xml:space="preserve"> </w:t>
      </w:r>
      <w:r w:rsidRPr="00CC30AA">
        <w:rPr>
          <w:rFonts w:cs="Arial"/>
        </w:rPr>
        <w:t>programs for Aboriginal and Torres Strait Islander children aged two to five</w:t>
      </w:r>
      <w:r w:rsidR="00CC30AA" w:rsidRPr="00CC30AA">
        <w:rPr>
          <w:rFonts w:cs="Arial"/>
        </w:rPr>
        <w:t xml:space="preserve"> </w:t>
      </w:r>
      <w:r w:rsidRPr="00CC30AA">
        <w:rPr>
          <w:rFonts w:cs="Arial"/>
        </w:rPr>
        <w:t>years</w:t>
      </w:r>
    </w:p>
    <w:p w:rsidR="000A4A97" w:rsidRPr="00CC30AA" w:rsidRDefault="000A4A97" w:rsidP="00DD5024">
      <w:pPr>
        <w:numPr>
          <w:ilvl w:val="0"/>
          <w:numId w:val="12"/>
        </w:numPr>
        <w:autoSpaceDE w:val="0"/>
        <w:autoSpaceDN w:val="0"/>
        <w:adjustRightInd w:val="0"/>
        <w:jc w:val="both"/>
        <w:rPr>
          <w:rFonts w:cs="Arial"/>
        </w:rPr>
      </w:pPr>
      <w:r w:rsidRPr="00CC30AA">
        <w:rPr>
          <w:rFonts w:cs="Arial"/>
        </w:rPr>
        <w:t>provide Aboriginal and Torres Strait Islander families who have complex</w:t>
      </w:r>
      <w:r w:rsidR="00CC30AA" w:rsidRPr="00CC30AA">
        <w:rPr>
          <w:rFonts w:cs="Arial"/>
        </w:rPr>
        <w:t xml:space="preserve"> </w:t>
      </w:r>
      <w:r w:rsidRPr="00CC30AA">
        <w:rPr>
          <w:rFonts w:cs="Arial"/>
        </w:rPr>
        <w:t>needs and children at risk with the right services</w:t>
      </w:r>
    </w:p>
    <w:p w:rsidR="00CC30AA" w:rsidRPr="005A0F13" w:rsidRDefault="005A0F13" w:rsidP="00DD5024">
      <w:pPr>
        <w:numPr>
          <w:ilvl w:val="0"/>
          <w:numId w:val="12"/>
        </w:numPr>
        <w:autoSpaceDE w:val="0"/>
        <w:autoSpaceDN w:val="0"/>
        <w:adjustRightInd w:val="0"/>
        <w:jc w:val="both"/>
        <w:rPr>
          <w:rFonts w:cs="Arial"/>
        </w:rPr>
      </w:pPr>
      <w:r w:rsidRPr="005A0F13">
        <w:rPr>
          <w:rFonts w:cs="Arial"/>
        </w:rPr>
        <w:t>enabl</w:t>
      </w:r>
      <w:r w:rsidR="00D003CF">
        <w:rPr>
          <w:rFonts w:cs="Arial"/>
        </w:rPr>
        <w:t>e</w:t>
      </w:r>
      <w:r w:rsidRPr="005A0F13">
        <w:rPr>
          <w:rFonts w:cs="Arial"/>
        </w:rPr>
        <w:t xml:space="preserve"> </w:t>
      </w:r>
      <w:r w:rsidR="000A4A97" w:rsidRPr="005A0F13">
        <w:rPr>
          <w:rFonts w:cs="Arial"/>
        </w:rPr>
        <w:t>Aboriginal and Torres Strait Islander children and young people in</w:t>
      </w:r>
      <w:r w:rsidR="00CC30AA" w:rsidRPr="005A0F13">
        <w:rPr>
          <w:rFonts w:cs="Arial"/>
        </w:rPr>
        <w:t xml:space="preserve"> </w:t>
      </w:r>
      <w:r w:rsidRPr="005A0F13">
        <w:rPr>
          <w:rFonts w:cs="Arial"/>
        </w:rPr>
        <w:t xml:space="preserve">out-of-home </w:t>
      </w:r>
      <w:r w:rsidR="000A4A97" w:rsidRPr="005A0F13">
        <w:rPr>
          <w:rFonts w:cs="Arial"/>
        </w:rPr>
        <w:t>care to thrive, and re-engag</w:t>
      </w:r>
      <w:r w:rsidRPr="005A0F13">
        <w:rPr>
          <w:rFonts w:cs="Arial"/>
        </w:rPr>
        <w:t>ing</w:t>
      </w:r>
      <w:r w:rsidR="000A4A97" w:rsidRPr="005A0F13">
        <w:rPr>
          <w:rFonts w:cs="Arial"/>
        </w:rPr>
        <w:t xml:space="preserve"> those disconnected from family and kin</w:t>
      </w:r>
      <w:r w:rsidR="00CC30AA" w:rsidRPr="005A0F13">
        <w:rPr>
          <w:rFonts w:cs="Arial"/>
        </w:rPr>
        <w:t xml:space="preserve"> </w:t>
      </w:r>
    </w:p>
    <w:p w:rsidR="000A4A97" w:rsidRPr="00CC30AA" w:rsidRDefault="000A4A97" w:rsidP="00DD5024">
      <w:pPr>
        <w:numPr>
          <w:ilvl w:val="0"/>
          <w:numId w:val="12"/>
        </w:numPr>
        <w:autoSpaceDE w:val="0"/>
        <w:autoSpaceDN w:val="0"/>
        <w:adjustRightInd w:val="0"/>
        <w:jc w:val="both"/>
        <w:rPr>
          <w:rFonts w:cs="Arial"/>
        </w:rPr>
      </w:pPr>
      <w:r w:rsidRPr="00CC30AA">
        <w:rPr>
          <w:rFonts w:cs="Arial"/>
        </w:rPr>
        <w:t>enable Aboriginal and Torres Strait Islander children and young people aged</w:t>
      </w:r>
      <w:r w:rsidR="00CC30AA" w:rsidRPr="00CC30AA">
        <w:rPr>
          <w:rFonts w:cs="Arial"/>
        </w:rPr>
        <w:t xml:space="preserve"> </w:t>
      </w:r>
      <w:r w:rsidRPr="00CC30AA">
        <w:rPr>
          <w:rFonts w:cs="Arial"/>
        </w:rPr>
        <w:t>15 to 21 years leaving care to learn and earn.</w:t>
      </w:r>
    </w:p>
    <w:p w:rsidR="00C033CA" w:rsidRDefault="00CC30AA" w:rsidP="00DD5024">
      <w:pPr>
        <w:autoSpaceDE w:val="0"/>
        <w:autoSpaceDN w:val="0"/>
        <w:adjustRightInd w:val="0"/>
        <w:jc w:val="both"/>
        <w:rPr>
          <w:rFonts w:cs="Arial"/>
        </w:rPr>
      </w:pPr>
      <w:r w:rsidRPr="00CC30AA">
        <w:rPr>
          <w:rFonts w:cs="Arial"/>
        </w:rPr>
        <w:t>Ten actions within</w:t>
      </w:r>
      <w:r w:rsidR="00C033CA">
        <w:rPr>
          <w:rFonts w:cs="Arial"/>
        </w:rPr>
        <w:t xml:space="preserve"> the</w:t>
      </w:r>
      <w:r w:rsidRPr="00CC30AA">
        <w:rPr>
          <w:rFonts w:cs="Arial"/>
        </w:rPr>
        <w:t xml:space="preserve"> </w:t>
      </w:r>
      <w:r w:rsidRPr="00CC30AA">
        <w:rPr>
          <w:rFonts w:cs="Arial"/>
          <w:i/>
        </w:rPr>
        <w:t>Changing Tracks</w:t>
      </w:r>
      <w:r w:rsidRPr="00CC30AA">
        <w:rPr>
          <w:rFonts w:cs="Arial"/>
        </w:rPr>
        <w:t xml:space="preserve"> action plan have already been completed. </w:t>
      </w:r>
    </w:p>
    <w:p w:rsidR="00CC30AA" w:rsidRPr="00CC30AA" w:rsidRDefault="00CC30AA" w:rsidP="00DD5024">
      <w:pPr>
        <w:autoSpaceDE w:val="0"/>
        <w:autoSpaceDN w:val="0"/>
        <w:adjustRightInd w:val="0"/>
        <w:jc w:val="both"/>
        <w:rPr>
          <w:rFonts w:cs="Arial"/>
        </w:rPr>
      </w:pPr>
      <w:r w:rsidRPr="00CC30AA">
        <w:rPr>
          <w:rFonts w:cs="Arial"/>
        </w:rPr>
        <w:lastRenderedPageBreak/>
        <w:t>For Aboriginal and Torres Strait Islander children and young people, the proportion placed with kin, other Aboriginal and Torres Strait Islander carers or Aboriginal and Torres Strait Islander residential care services (proxy for the Indigenous Child Placement Principle) has increased from 54.4 per cent (as at 31 March 2015) to 56.3 per cent (as at 31 March 2018).</w:t>
      </w:r>
    </w:p>
    <w:p w:rsidR="00CC30AA" w:rsidRPr="00CC30AA" w:rsidRDefault="00CC30AA" w:rsidP="00DD5024">
      <w:pPr>
        <w:autoSpaceDE w:val="0"/>
        <w:autoSpaceDN w:val="0"/>
        <w:adjustRightInd w:val="0"/>
        <w:jc w:val="both"/>
        <w:rPr>
          <w:rFonts w:cs="Arial"/>
        </w:rPr>
      </w:pPr>
      <w:r w:rsidRPr="00CC30AA">
        <w:rPr>
          <w:rFonts w:cs="Arial"/>
        </w:rPr>
        <w:t>The department has established the foundation for much of this work and commenced</w:t>
      </w:r>
      <w:r w:rsidR="00674492">
        <w:rPr>
          <w:rFonts w:cs="Arial"/>
        </w:rPr>
        <w:t xml:space="preserve"> </w:t>
      </w:r>
      <w:r w:rsidRPr="00CC30AA">
        <w:rPr>
          <w:rFonts w:cs="Arial"/>
        </w:rPr>
        <w:t>significant investments in the secondary service system aimed at reducing the over</w:t>
      </w:r>
      <w:r w:rsidRPr="00CC30AA">
        <w:rPr>
          <w:rFonts w:cs="Arial"/>
        </w:rPr>
        <w:noBreakHyphen/>
        <w:t>representation of Aboriginal and Torres Strait Islander children in the child protection system:</w:t>
      </w:r>
    </w:p>
    <w:p w:rsidR="000A4A97" w:rsidRPr="00CC30AA" w:rsidRDefault="000A4A97" w:rsidP="00DD5024">
      <w:pPr>
        <w:numPr>
          <w:ilvl w:val="0"/>
          <w:numId w:val="11"/>
        </w:numPr>
        <w:autoSpaceDE w:val="0"/>
        <w:autoSpaceDN w:val="0"/>
        <w:adjustRightInd w:val="0"/>
        <w:jc w:val="both"/>
        <w:rPr>
          <w:rFonts w:cs="Arial"/>
        </w:rPr>
      </w:pPr>
      <w:r w:rsidRPr="00CC30AA">
        <w:rPr>
          <w:rFonts w:cs="Arial"/>
        </w:rPr>
        <w:t>$34.34 million per annum has been allocated to community-controlled organisations to deliver 33</w:t>
      </w:r>
      <w:r w:rsidR="00CC30AA" w:rsidRPr="00CC30AA">
        <w:rPr>
          <w:rFonts w:cs="Arial"/>
        </w:rPr>
        <w:t xml:space="preserve"> </w:t>
      </w:r>
      <w:r w:rsidRPr="00CC30AA">
        <w:rPr>
          <w:rFonts w:cs="Arial"/>
        </w:rPr>
        <w:t>Family Wellbeing Services (FWS) across the state.</w:t>
      </w:r>
    </w:p>
    <w:p w:rsidR="000A4A97" w:rsidRPr="00CC30AA" w:rsidRDefault="000A4A97" w:rsidP="00DD5024">
      <w:pPr>
        <w:numPr>
          <w:ilvl w:val="0"/>
          <w:numId w:val="11"/>
        </w:numPr>
        <w:autoSpaceDE w:val="0"/>
        <w:autoSpaceDN w:val="0"/>
        <w:adjustRightInd w:val="0"/>
        <w:jc w:val="both"/>
        <w:rPr>
          <w:rFonts w:cs="Arial"/>
        </w:rPr>
      </w:pPr>
      <w:r w:rsidRPr="00CC30AA">
        <w:rPr>
          <w:rFonts w:cs="Arial"/>
        </w:rPr>
        <w:t>FWS supports Aboriginal and Torres Strait Islander families to establish safe and nurturing</w:t>
      </w:r>
      <w:r w:rsidR="00CC30AA" w:rsidRPr="00CC30AA">
        <w:rPr>
          <w:rFonts w:cs="Arial"/>
        </w:rPr>
        <w:t xml:space="preserve"> </w:t>
      </w:r>
      <w:r w:rsidRPr="00CC30AA">
        <w:rPr>
          <w:rFonts w:cs="Arial"/>
        </w:rPr>
        <w:t>environments for their children, including families who have come into contact with the child protection</w:t>
      </w:r>
      <w:r w:rsidR="00CC30AA" w:rsidRPr="00CC30AA">
        <w:rPr>
          <w:rFonts w:cs="Arial"/>
        </w:rPr>
        <w:t xml:space="preserve"> </w:t>
      </w:r>
      <w:r w:rsidRPr="00CC30AA">
        <w:rPr>
          <w:rFonts w:cs="Arial"/>
        </w:rPr>
        <w:t>system. Since October 2017, FWS received referrals from 4,597 families, including 1,115 who referred</w:t>
      </w:r>
      <w:r w:rsidR="00CC30AA" w:rsidRPr="00CC30AA">
        <w:rPr>
          <w:rFonts w:cs="Arial"/>
        </w:rPr>
        <w:t xml:space="preserve"> </w:t>
      </w:r>
      <w:r w:rsidRPr="00CC30AA">
        <w:rPr>
          <w:rFonts w:cs="Arial"/>
        </w:rPr>
        <w:t>themselves for assistance.</w:t>
      </w:r>
    </w:p>
    <w:p w:rsidR="000A4A97" w:rsidRPr="00CC30AA" w:rsidRDefault="000A4A97" w:rsidP="00DD5024">
      <w:pPr>
        <w:numPr>
          <w:ilvl w:val="0"/>
          <w:numId w:val="11"/>
        </w:numPr>
        <w:autoSpaceDE w:val="0"/>
        <w:autoSpaceDN w:val="0"/>
        <w:adjustRightInd w:val="0"/>
        <w:jc w:val="both"/>
        <w:rPr>
          <w:rFonts w:cs="Arial"/>
        </w:rPr>
      </w:pPr>
      <w:r w:rsidRPr="00CC30AA">
        <w:rPr>
          <w:rFonts w:cs="Arial"/>
        </w:rPr>
        <w:t>23 per cent of referrals to mainstream Intensive Family Support Services are for Aboriginal and Torres</w:t>
      </w:r>
      <w:r w:rsidR="00CC30AA" w:rsidRPr="00CC30AA">
        <w:rPr>
          <w:rFonts w:cs="Arial"/>
        </w:rPr>
        <w:t xml:space="preserve"> </w:t>
      </w:r>
      <w:r w:rsidRPr="00CC30AA">
        <w:rPr>
          <w:rFonts w:cs="Arial"/>
        </w:rPr>
        <w:t>Strait Islander families.</w:t>
      </w:r>
    </w:p>
    <w:p w:rsidR="000A4A97" w:rsidRPr="00CC30AA" w:rsidRDefault="000A4A97" w:rsidP="00DD5024">
      <w:pPr>
        <w:numPr>
          <w:ilvl w:val="0"/>
          <w:numId w:val="11"/>
        </w:numPr>
        <w:autoSpaceDE w:val="0"/>
        <w:autoSpaceDN w:val="0"/>
        <w:adjustRightInd w:val="0"/>
        <w:jc w:val="both"/>
        <w:rPr>
          <w:rFonts w:cs="Arial"/>
        </w:rPr>
      </w:pPr>
      <w:r w:rsidRPr="00CC30AA">
        <w:rPr>
          <w:rFonts w:cs="Arial"/>
        </w:rPr>
        <w:t xml:space="preserve">Changes to the </w:t>
      </w:r>
      <w:r w:rsidRPr="00C033CA">
        <w:rPr>
          <w:rFonts w:cs="Arial"/>
          <w:i/>
        </w:rPr>
        <w:t>Child Protection Act 1999</w:t>
      </w:r>
      <w:r w:rsidRPr="00CC30AA">
        <w:rPr>
          <w:rFonts w:cs="Arial"/>
        </w:rPr>
        <w:t xml:space="preserve"> are </w:t>
      </w:r>
      <w:r w:rsidR="00C033CA">
        <w:rPr>
          <w:rFonts w:cs="Arial"/>
        </w:rPr>
        <w:t xml:space="preserve">resulting in </w:t>
      </w:r>
      <w:r w:rsidRPr="00CC30AA">
        <w:rPr>
          <w:rFonts w:cs="Arial"/>
        </w:rPr>
        <w:t>repurpos</w:t>
      </w:r>
      <w:r w:rsidR="00C033CA">
        <w:rPr>
          <w:rFonts w:cs="Arial"/>
        </w:rPr>
        <w:t>ing of</w:t>
      </w:r>
      <w:r w:rsidRPr="00CC30AA">
        <w:rPr>
          <w:rFonts w:cs="Arial"/>
        </w:rPr>
        <w:t xml:space="preserve"> investment in Recognised</w:t>
      </w:r>
      <w:r w:rsidR="00CC30AA" w:rsidRPr="00CC30AA">
        <w:rPr>
          <w:rFonts w:cs="Arial"/>
        </w:rPr>
        <w:t xml:space="preserve"> </w:t>
      </w:r>
      <w:r w:rsidRPr="00CC30AA">
        <w:rPr>
          <w:rFonts w:cs="Arial"/>
        </w:rPr>
        <w:t>Entities, with a focus on supporting families so they can participate in child protection decisions that</w:t>
      </w:r>
      <w:r w:rsidR="00CC30AA" w:rsidRPr="00CC30AA">
        <w:rPr>
          <w:rFonts w:cs="Arial"/>
        </w:rPr>
        <w:t xml:space="preserve"> </w:t>
      </w:r>
      <w:r w:rsidRPr="00CC30AA">
        <w:rPr>
          <w:rFonts w:cs="Arial"/>
        </w:rPr>
        <w:t>affect their children.</w:t>
      </w:r>
    </w:p>
    <w:p w:rsidR="000A4A97" w:rsidRPr="00CC30AA" w:rsidRDefault="00C033CA" w:rsidP="00DD5024">
      <w:pPr>
        <w:numPr>
          <w:ilvl w:val="0"/>
          <w:numId w:val="11"/>
        </w:numPr>
        <w:autoSpaceDE w:val="0"/>
        <w:autoSpaceDN w:val="0"/>
        <w:adjustRightInd w:val="0"/>
        <w:jc w:val="both"/>
        <w:rPr>
          <w:rFonts w:cs="Arial"/>
        </w:rPr>
      </w:pPr>
      <w:r>
        <w:rPr>
          <w:rFonts w:cs="Arial"/>
        </w:rPr>
        <w:t>The department has</w:t>
      </w:r>
      <w:r w:rsidR="000A4A97" w:rsidRPr="00CC30AA">
        <w:rPr>
          <w:rFonts w:cs="Arial"/>
        </w:rPr>
        <w:t xml:space="preserve"> delivered the Pepi-Pod safe sleeping program, making available 600 Pepi-Pods across</w:t>
      </w:r>
      <w:r w:rsidR="00CC30AA" w:rsidRPr="00CC30AA">
        <w:rPr>
          <w:rFonts w:cs="Arial"/>
        </w:rPr>
        <w:t xml:space="preserve"> </w:t>
      </w:r>
      <w:r w:rsidR="000A4A97" w:rsidRPr="00CC30AA">
        <w:rPr>
          <w:rFonts w:cs="Arial"/>
        </w:rPr>
        <w:t>Queensland so Aboriginal and Torres Strait Islander women can improve safe sleeping practices.</w:t>
      </w:r>
    </w:p>
    <w:p w:rsidR="000A4A97" w:rsidRPr="00CC30AA" w:rsidRDefault="000A4A97" w:rsidP="00DD5024">
      <w:pPr>
        <w:numPr>
          <w:ilvl w:val="0"/>
          <w:numId w:val="11"/>
        </w:numPr>
        <w:autoSpaceDE w:val="0"/>
        <w:autoSpaceDN w:val="0"/>
        <w:adjustRightInd w:val="0"/>
        <w:jc w:val="both"/>
        <w:rPr>
          <w:rFonts w:cs="Arial"/>
        </w:rPr>
      </w:pPr>
      <w:r w:rsidRPr="00CC30AA">
        <w:rPr>
          <w:rFonts w:cs="Arial"/>
        </w:rPr>
        <w:t>Funds of $1.5 million are invested over three years for the First 1000 Days Australia collective impact</w:t>
      </w:r>
      <w:r w:rsidR="00CC30AA" w:rsidRPr="00CC30AA">
        <w:rPr>
          <w:rFonts w:cs="Arial"/>
        </w:rPr>
        <w:t xml:space="preserve"> </w:t>
      </w:r>
      <w:r w:rsidRPr="00CC30AA">
        <w:rPr>
          <w:rFonts w:cs="Arial"/>
        </w:rPr>
        <w:t>initiative in Moreton Bay and Townsville. The First 1000 Days Australia initiative focuses on best start</w:t>
      </w:r>
      <w:r w:rsidR="00CC30AA" w:rsidRPr="00CC30AA">
        <w:rPr>
          <w:rFonts w:cs="Arial"/>
        </w:rPr>
        <w:t xml:space="preserve"> </w:t>
      </w:r>
      <w:r w:rsidRPr="00CC30AA">
        <w:rPr>
          <w:rFonts w:cs="Arial"/>
        </w:rPr>
        <w:t>to life by improving the health and wellbeing of parents and children from the time a child is conceived</w:t>
      </w:r>
      <w:r w:rsidR="00CC30AA" w:rsidRPr="00CC30AA">
        <w:rPr>
          <w:rFonts w:cs="Arial"/>
        </w:rPr>
        <w:t xml:space="preserve"> </w:t>
      </w:r>
      <w:r w:rsidRPr="00CC30AA">
        <w:rPr>
          <w:rFonts w:cs="Arial"/>
        </w:rPr>
        <w:t>to their second birthday.</w:t>
      </w:r>
    </w:p>
    <w:p w:rsidR="00674492" w:rsidRPr="00674492" w:rsidRDefault="000A4A97" w:rsidP="00DD5024">
      <w:pPr>
        <w:spacing w:before="240"/>
        <w:jc w:val="both"/>
        <w:rPr>
          <w:rFonts w:cs="Arial"/>
          <w:b/>
        </w:rPr>
      </w:pPr>
      <w:r w:rsidRPr="000A4A97">
        <w:rPr>
          <w:rFonts w:cs="Arial"/>
          <w:b/>
        </w:rPr>
        <w:t xml:space="preserve">Aboriginal and Torres Strait Islander </w:t>
      </w:r>
      <w:r w:rsidR="00674492" w:rsidRPr="00674492">
        <w:rPr>
          <w:rFonts w:cs="Arial"/>
          <w:b/>
        </w:rPr>
        <w:t>Family Wellbeing Services</w:t>
      </w:r>
    </w:p>
    <w:p w:rsidR="00CC30AA" w:rsidRPr="00CC30AA" w:rsidRDefault="00CC30AA" w:rsidP="00DD5024">
      <w:pPr>
        <w:autoSpaceDE w:val="0"/>
        <w:autoSpaceDN w:val="0"/>
        <w:adjustRightInd w:val="0"/>
        <w:jc w:val="both"/>
        <w:rPr>
          <w:rFonts w:cs="Arial"/>
        </w:rPr>
      </w:pPr>
      <w:r w:rsidRPr="00CC30AA">
        <w:rPr>
          <w:rFonts w:cs="Arial"/>
        </w:rPr>
        <w:t>The Family Wellbeing Services program provides access to quality universal and targeted services necessary for Aboriginal and Torres Strait Islander children and families to thrive and to ensure that Aboriginal and Torres Strait Islander peoples and organisations participate in, and have control over, decisions that affect their children.</w:t>
      </w:r>
    </w:p>
    <w:p w:rsidR="00CC30AA" w:rsidRPr="00CC30AA" w:rsidRDefault="00CC30AA" w:rsidP="00DD5024">
      <w:pPr>
        <w:autoSpaceDE w:val="0"/>
        <w:autoSpaceDN w:val="0"/>
        <w:adjustRightInd w:val="0"/>
        <w:jc w:val="both"/>
        <w:rPr>
          <w:rFonts w:cs="Arial"/>
        </w:rPr>
      </w:pPr>
      <w:r w:rsidRPr="00CC30AA">
        <w:rPr>
          <w:rFonts w:cs="Arial"/>
        </w:rPr>
        <w:t>The design occurred through a partnership with key stakeholders to capture voices of community, including:</w:t>
      </w:r>
    </w:p>
    <w:p w:rsidR="000A4A97" w:rsidRPr="00CC30AA" w:rsidRDefault="000A4A97" w:rsidP="00DD5024">
      <w:pPr>
        <w:numPr>
          <w:ilvl w:val="0"/>
          <w:numId w:val="13"/>
        </w:numPr>
        <w:autoSpaceDE w:val="0"/>
        <w:autoSpaceDN w:val="0"/>
        <w:adjustRightInd w:val="0"/>
        <w:jc w:val="both"/>
        <w:rPr>
          <w:rFonts w:cs="Arial"/>
        </w:rPr>
      </w:pPr>
      <w:r w:rsidRPr="00CC30AA">
        <w:rPr>
          <w:rFonts w:cs="Arial"/>
        </w:rPr>
        <w:t>Queensland Aboriginal and Torres Strait Islander Child Protection Peak</w:t>
      </w:r>
    </w:p>
    <w:p w:rsidR="000A4A97" w:rsidRPr="00CC30AA" w:rsidRDefault="000A4A97" w:rsidP="00DD5024">
      <w:pPr>
        <w:numPr>
          <w:ilvl w:val="0"/>
          <w:numId w:val="13"/>
        </w:numPr>
        <w:autoSpaceDE w:val="0"/>
        <w:autoSpaceDN w:val="0"/>
        <w:adjustRightInd w:val="0"/>
        <w:jc w:val="both"/>
        <w:rPr>
          <w:rFonts w:cs="Arial"/>
        </w:rPr>
      </w:pPr>
      <w:r w:rsidRPr="00CC30AA">
        <w:rPr>
          <w:rFonts w:cs="Arial"/>
        </w:rPr>
        <w:t>Indigenous service providers</w:t>
      </w:r>
    </w:p>
    <w:p w:rsidR="000A4A97" w:rsidRPr="00CC30AA" w:rsidRDefault="000A4A97" w:rsidP="00DD5024">
      <w:pPr>
        <w:numPr>
          <w:ilvl w:val="0"/>
          <w:numId w:val="13"/>
        </w:numPr>
        <w:autoSpaceDE w:val="0"/>
        <w:autoSpaceDN w:val="0"/>
        <w:adjustRightInd w:val="0"/>
        <w:jc w:val="both"/>
        <w:rPr>
          <w:rFonts w:cs="Arial"/>
        </w:rPr>
      </w:pPr>
      <w:r w:rsidRPr="00CC30AA">
        <w:rPr>
          <w:rFonts w:cs="Arial"/>
        </w:rPr>
        <w:t>children and families.</w:t>
      </w:r>
    </w:p>
    <w:p w:rsidR="00CC30AA" w:rsidRPr="00CC30AA" w:rsidRDefault="00CC30AA" w:rsidP="00DD5024">
      <w:pPr>
        <w:autoSpaceDE w:val="0"/>
        <w:autoSpaceDN w:val="0"/>
        <w:adjustRightInd w:val="0"/>
        <w:jc w:val="both"/>
        <w:rPr>
          <w:rFonts w:cs="Arial"/>
        </w:rPr>
      </w:pPr>
      <w:r w:rsidRPr="00CC30AA">
        <w:rPr>
          <w:rFonts w:cs="Arial"/>
        </w:rPr>
        <w:t>The program makes it easier for Aboriginal and Torres Strait Islander families to access culturally responsive support to improve social, emotional, physical and spiritual wellbeing, and build capacity to safely care for and protect their children. The services are spread across 20 child and family catchments, with the relative funding levels determined based on demographic indicators about Aboriginal and Torres Strait Islander families, including:</w:t>
      </w:r>
    </w:p>
    <w:p w:rsidR="000A4A97" w:rsidRPr="00CC30AA" w:rsidRDefault="000A4A97" w:rsidP="00DD5024">
      <w:pPr>
        <w:numPr>
          <w:ilvl w:val="0"/>
          <w:numId w:val="14"/>
        </w:numPr>
        <w:autoSpaceDE w:val="0"/>
        <w:autoSpaceDN w:val="0"/>
        <w:adjustRightInd w:val="0"/>
        <w:jc w:val="both"/>
        <w:rPr>
          <w:rFonts w:cs="Arial"/>
        </w:rPr>
      </w:pPr>
      <w:r w:rsidRPr="00CC30AA">
        <w:rPr>
          <w:rFonts w:cs="Arial"/>
        </w:rPr>
        <w:t>levels of involvement with Child Safety</w:t>
      </w:r>
    </w:p>
    <w:p w:rsidR="000A4A97" w:rsidRPr="00CC30AA" w:rsidRDefault="000A4A97" w:rsidP="00DD5024">
      <w:pPr>
        <w:numPr>
          <w:ilvl w:val="0"/>
          <w:numId w:val="14"/>
        </w:numPr>
        <w:autoSpaceDE w:val="0"/>
        <w:autoSpaceDN w:val="0"/>
        <w:adjustRightInd w:val="0"/>
        <w:jc w:val="both"/>
        <w:rPr>
          <w:rFonts w:cs="Arial"/>
        </w:rPr>
      </w:pPr>
      <w:r w:rsidRPr="00CC30AA">
        <w:rPr>
          <w:rFonts w:cs="Arial"/>
        </w:rPr>
        <w:t>domestic and family violence</w:t>
      </w:r>
    </w:p>
    <w:p w:rsidR="000A4A97" w:rsidRPr="00CC30AA" w:rsidRDefault="000A4A97" w:rsidP="00DD5024">
      <w:pPr>
        <w:numPr>
          <w:ilvl w:val="0"/>
          <w:numId w:val="14"/>
        </w:numPr>
        <w:autoSpaceDE w:val="0"/>
        <w:autoSpaceDN w:val="0"/>
        <w:adjustRightInd w:val="0"/>
        <w:jc w:val="both"/>
        <w:rPr>
          <w:rFonts w:cs="Arial"/>
        </w:rPr>
      </w:pPr>
      <w:r w:rsidRPr="00CC30AA">
        <w:rPr>
          <w:rFonts w:cs="Arial"/>
        </w:rPr>
        <w:lastRenderedPageBreak/>
        <w:t>substance use</w:t>
      </w:r>
    </w:p>
    <w:p w:rsidR="000A4A97" w:rsidRPr="00CC30AA" w:rsidRDefault="000A4A97" w:rsidP="00DD5024">
      <w:pPr>
        <w:numPr>
          <w:ilvl w:val="0"/>
          <w:numId w:val="14"/>
        </w:numPr>
        <w:autoSpaceDE w:val="0"/>
        <w:autoSpaceDN w:val="0"/>
        <w:adjustRightInd w:val="0"/>
        <w:jc w:val="both"/>
        <w:rPr>
          <w:rFonts w:cs="Arial"/>
        </w:rPr>
      </w:pPr>
      <w:r w:rsidRPr="00CC30AA">
        <w:rPr>
          <w:rFonts w:cs="Arial"/>
        </w:rPr>
        <w:t>Australian Early Development Census.</w:t>
      </w:r>
    </w:p>
    <w:p w:rsidR="00CC30AA" w:rsidRPr="00CC30AA" w:rsidRDefault="00CC30AA" w:rsidP="00DD5024">
      <w:pPr>
        <w:autoSpaceDE w:val="0"/>
        <w:autoSpaceDN w:val="0"/>
        <w:adjustRightInd w:val="0"/>
        <w:jc w:val="both"/>
        <w:rPr>
          <w:rFonts w:cs="Arial"/>
        </w:rPr>
      </w:pPr>
      <w:r w:rsidRPr="00CC30AA">
        <w:rPr>
          <w:rFonts w:cs="Arial"/>
        </w:rPr>
        <w:t>FWSs are located in Cherbourg, Caboolture, Mackay, Toowoomba, Roma, Ipswich, Lockyer Valley, Beaudesert, Gold Coast, Logan, Beenleigh, Browns Plains, Sunshine Coast, Townsville, Palm Island, Rockhampton, Bundaberg, Gladstone, Mount Isa/Gulf</w:t>
      </w:r>
      <w:r w:rsidR="00003FBE">
        <w:rPr>
          <w:rFonts w:cs="Arial"/>
        </w:rPr>
        <w:t xml:space="preserve"> (including Doomadgee and Mornington Island)</w:t>
      </w:r>
      <w:r w:rsidRPr="00CC30AA">
        <w:rPr>
          <w:rFonts w:cs="Arial"/>
        </w:rPr>
        <w:t>, Cairns, Mareeba, Gympie, Brisbane (four services), Cooktown</w:t>
      </w:r>
      <w:r w:rsidR="00003FBE">
        <w:rPr>
          <w:rFonts w:cs="Arial"/>
        </w:rPr>
        <w:t xml:space="preserve"> and surrounding communities</w:t>
      </w:r>
      <w:r w:rsidRPr="00CC30AA">
        <w:rPr>
          <w:rFonts w:cs="Arial"/>
        </w:rPr>
        <w:t>, Kowanyama, Pormpuraaw, Lockhart River, the North West Cape, the Northern Peninsula Area and Torres Strait.</w:t>
      </w:r>
    </w:p>
    <w:p w:rsidR="002B13A3" w:rsidRDefault="00CC30AA" w:rsidP="00DD5024">
      <w:pPr>
        <w:autoSpaceDE w:val="0"/>
        <w:autoSpaceDN w:val="0"/>
        <w:adjustRightInd w:val="0"/>
        <w:jc w:val="both"/>
        <w:rPr>
          <w:rFonts w:cs="Arial"/>
        </w:rPr>
      </w:pPr>
      <w:r w:rsidRPr="00CC30AA">
        <w:rPr>
          <w:rFonts w:cs="Arial"/>
        </w:rPr>
        <w:t>They provide easy access to help when it’s needed, allowing the services to change their level of support as needs change. An evaluation framework will be developed to understand the impact FWSs are having on families. An independent evaluation will be conducted, commencing 2019/20 to assess whether the program is having the intended impacts on outcomes for Indigenous children.</w:t>
      </w:r>
    </w:p>
    <w:p w:rsidR="00003FBE" w:rsidRDefault="00003FBE" w:rsidP="00DD5024">
      <w:pPr>
        <w:autoSpaceDE w:val="0"/>
        <w:autoSpaceDN w:val="0"/>
        <w:adjustRightInd w:val="0"/>
        <w:jc w:val="both"/>
        <w:rPr>
          <w:rFonts w:cs="Arial"/>
        </w:rPr>
      </w:pPr>
    </w:p>
    <w:p w:rsidR="003E7FD3" w:rsidRPr="00BF3CA5" w:rsidRDefault="003E7FD3" w:rsidP="003E7FD3">
      <w:pPr>
        <w:autoSpaceDE w:val="0"/>
        <w:autoSpaceDN w:val="0"/>
        <w:adjustRightInd w:val="0"/>
        <w:jc w:val="both"/>
        <w:rPr>
          <w:rFonts w:cs="Arial"/>
          <w:b/>
          <w:sz w:val="20"/>
          <w:szCs w:val="20"/>
        </w:rPr>
      </w:pPr>
      <w:r w:rsidRPr="00BF3CA5">
        <w:rPr>
          <w:rFonts w:cs="Arial"/>
          <w:b/>
          <w:sz w:val="20"/>
          <w:szCs w:val="20"/>
        </w:rPr>
        <w:t>Case Study: Family Wellbeing Service</w:t>
      </w:r>
    </w:p>
    <w:p w:rsidR="003E7FD3" w:rsidRPr="00BF3CA5" w:rsidRDefault="003E7FD3" w:rsidP="003E7FD3">
      <w:pPr>
        <w:autoSpaceDE w:val="0"/>
        <w:autoSpaceDN w:val="0"/>
        <w:adjustRightInd w:val="0"/>
        <w:jc w:val="both"/>
        <w:rPr>
          <w:rFonts w:cs="Arial"/>
          <w:sz w:val="20"/>
          <w:szCs w:val="20"/>
        </w:rPr>
      </w:pPr>
      <w:r w:rsidRPr="00BF3CA5">
        <w:rPr>
          <w:rFonts w:cs="Arial"/>
          <w:sz w:val="20"/>
          <w:szCs w:val="20"/>
        </w:rPr>
        <w:t>Child Safety had contact with a family where both parents were using Ice and perpetrating domestic</w:t>
      </w:r>
      <w:r>
        <w:rPr>
          <w:rFonts w:cs="Arial"/>
          <w:sz w:val="20"/>
          <w:szCs w:val="20"/>
        </w:rPr>
        <w:t xml:space="preserve"> and family</w:t>
      </w:r>
      <w:r w:rsidRPr="00BF3CA5">
        <w:rPr>
          <w:rFonts w:cs="Arial"/>
          <w:sz w:val="20"/>
          <w:szCs w:val="20"/>
        </w:rPr>
        <w:t xml:space="preserve"> violence against each other, resulting in safety concerns for their two boys. The mother was sentenced to jail over a domestic violence incident involving a weapon. At the time she was pregnant and gave birth while in jail.</w:t>
      </w:r>
    </w:p>
    <w:p w:rsidR="003E7FD3" w:rsidRPr="00BF3CA5" w:rsidRDefault="003E7FD3" w:rsidP="003E7FD3">
      <w:pPr>
        <w:autoSpaceDE w:val="0"/>
        <w:autoSpaceDN w:val="0"/>
        <w:adjustRightInd w:val="0"/>
        <w:jc w:val="both"/>
        <w:rPr>
          <w:rFonts w:cs="Arial"/>
          <w:sz w:val="20"/>
          <w:szCs w:val="20"/>
        </w:rPr>
      </w:pPr>
      <w:r w:rsidRPr="00BF3CA5">
        <w:rPr>
          <w:rFonts w:cs="Arial"/>
          <w:sz w:val="20"/>
          <w:szCs w:val="20"/>
        </w:rPr>
        <w:t>The two boys were placed with their paternal grandmother and their father continued contact with them while the mother was in jail. The Family Wellbeing Service supported the mother while she was in jail by provid</w:t>
      </w:r>
      <w:r>
        <w:rPr>
          <w:rFonts w:cs="Arial"/>
          <w:sz w:val="20"/>
          <w:szCs w:val="20"/>
        </w:rPr>
        <w:t>ing</w:t>
      </w:r>
      <w:r w:rsidRPr="00BF3CA5">
        <w:rPr>
          <w:rFonts w:cs="Arial"/>
          <w:sz w:val="20"/>
          <w:szCs w:val="20"/>
        </w:rPr>
        <w:t xml:space="preserve"> emotional support and encouraged her to get clean of drugs, look after her new baby and plan for her return home.</w:t>
      </w:r>
    </w:p>
    <w:p w:rsidR="003E7FD3" w:rsidRPr="00BF3CA5" w:rsidRDefault="003E7FD3" w:rsidP="003E7FD3">
      <w:pPr>
        <w:autoSpaceDE w:val="0"/>
        <w:autoSpaceDN w:val="0"/>
        <w:adjustRightInd w:val="0"/>
        <w:jc w:val="both"/>
        <w:rPr>
          <w:rFonts w:cs="Arial"/>
          <w:sz w:val="20"/>
          <w:szCs w:val="20"/>
        </w:rPr>
      </w:pPr>
      <w:r w:rsidRPr="00BF3CA5">
        <w:rPr>
          <w:rFonts w:cs="Arial"/>
          <w:sz w:val="20"/>
          <w:szCs w:val="20"/>
        </w:rPr>
        <w:t xml:space="preserve">The Family Wellbeing Service continued in-home support when the mother was released from jail and she was linked to a local parenting program. The Family Wellbeing Service supported </w:t>
      </w:r>
      <w:r>
        <w:rPr>
          <w:rFonts w:cs="Arial"/>
          <w:sz w:val="20"/>
          <w:szCs w:val="20"/>
        </w:rPr>
        <w:t>the mother</w:t>
      </w:r>
      <w:r w:rsidRPr="00BF3CA5">
        <w:rPr>
          <w:rFonts w:cs="Arial"/>
          <w:sz w:val="20"/>
          <w:szCs w:val="20"/>
        </w:rPr>
        <w:t xml:space="preserve"> towards reunification with her two boys and attended all meetings the mother had with Child Safety and supported her through supervised visits and sleepovers. </w:t>
      </w:r>
    </w:p>
    <w:p w:rsidR="003E7FD3" w:rsidRPr="00BF3CA5" w:rsidRDefault="003E7FD3" w:rsidP="003E7FD3">
      <w:pPr>
        <w:autoSpaceDE w:val="0"/>
        <w:autoSpaceDN w:val="0"/>
        <w:adjustRightInd w:val="0"/>
        <w:jc w:val="both"/>
        <w:rPr>
          <w:rFonts w:cs="Arial"/>
          <w:sz w:val="20"/>
          <w:szCs w:val="20"/>
        </w:rPr>
      </w:pPr>
      <w:r w:rsidRPr="00BF3CA5">
        <w:rPr>
          <w:rFonts w:cs="Arial"/>
          <w:sz w:val="20"/>
          <w:szCs w:val="20"/>
        </w:rPr>
        <w:t>After six months the boys returned home to live with their mother and the new baby. The Family Wellbeing Service continues to be involved, along with foster and kinship care staff.</w:t>
      </w:r>
    </w:p>
    <w:p w:rsidR="003E7FD3" w:rsidRPr="00BF3CA5" w:rsidRDefault="003E7FD3" w:rsidP="003E7FD3">
      <w:pPr>
        <w:autoSpaceDE w:val="0"/>
        <w:autoSpaceDN w:val="0"/>
        <w:adjustRightInd w:val="0"/>
        <w:jc w:val="both"/>
        <w:rPr>
          <w:rFonts w:cs="Arial"/>
          <w:sz w:val="20"/>
          <w:szCs w:val="20"/>
        </w:rPr>
      </w:pPr>
      <w:r>
        <w:rPr>
          <w:rFonts w:cs="Arial"/>
          <w:sz w:val="20"/>
          <w:szCs w:val="20"/>
        </w:rPr>
        <w:t>P</w:t>
      </w:r>
      <w:r w:rsidRPr="00BF3CA5">
        <w:rPr>
          <w:rFonts w:cs="Arial"/>
          <w:sz w:val="20"/>
          <w:szCs w:val="20"/>
        </w:rPr>
        <w:t>artnering with the Aboriginal and Torres Strait Islander community-controlled sector enable</w:t>
      </w:r>
      <w:r>
        <w:rPr>
          <w:rFonts w:cs="Arial"/>
          <w:sz w:val="20"/>
          <w:szCs w:val="20"/>
        </w:rPr>
        <w:t>d</w:t>
      </w:r>
      <w:r w:rsidRPr="00BF3CA5">
        <w:rPr>
          <w:rFonts w:cs="Arial"/>
          <w:sz w:val="20"/>
          <w:szCs w:val="20"/>
        </w:rPr>
        <w:t xml:space="preserve"> community-led and culturally appropriate services, designed and delivered by Aboriginal and Torres Strait Islander services and peoples that will better respond to the needs of Aborig</w:t>
      </w:r>
      <w:r>
        <w:rPr>
          <w:rFonts w:cs="Arial"/>
          <w:sz w:val="20"/>
          <w:szCs w:val="20"/>
        </w:rPr>
        <w:t>inal and Torres Strait Islander</w:t>
      </w:r>
      <w:r w:rsidRPr="00BF3CA5">
        <w:rPr>
          <w:rFonts w:cs="Arial"/>
          <w:sz w:val="20"/>
          <w:szCs w:val="20"/>
        </w:rPr>
        <w:t xml:space="preserve"> children and families.</w:t>
      </w:r>
    </w:p>
    <w:p w:rsidR="00003FBE" w:rsidRDefault="00003FBE" w:rsidP="00DD5024">
      <w:pPr>
        <w:spacing w:before="240"/>
        <w:jc w:val="both"/>
        <w:rPr>
          <w:rFonts w:cs="Arial"/>
          <w:b/>
        </w:rPr>
      </w:pPr>
    </w:p>
    <w:p w:rsidR="000A4A97" w:rsidRPr="000A4A97" w:rsidRDefault="000A4A97" w:rsidP="0093388B">
      <w:pPr>
        <w:keepNext/>
        <w:spacing w:before="240"/>
        <w:jc w:val="both"/>
        <w:rPr>
          <w:rFonts w:cs="Arial"/>
          <w:b/>
        </w:rPr>
      </w:pPr>
      <w:r w:rsidRPr="000A4A97">
        <w:rPr>
          <w:rFonts w:cs="Arial"/>
          <w:b/>
        </w:rPr>
        <w:t>Legislative amendments</w:t>
      </w:r>
    </w:p>
    <w:p w:rsidR="000A4A97" w:rsidRDefault="000A4A97" w:rsidP="0093388B">
      <w:pPr>
        <w:keepNext/>
        <w:autoSpaceDE w:val="0"/>
        <w:autoSpaceDN w:val="0"/>
        <w:adjustRightInd w:val="0"/>
        <w:jc w:val="both"/>
        <w:rPr>
          <w:rFonts w:cs="Arial"/>
          <w:bCs/>
          <w:iCs/>
        </w:rPr>
      </w:pPr>
      <w:r w:rsidRPr="000A4A97">
        <w:rPr>
          <w:rFonts w:cs="Arial"/>
          <w:bCs/>
          <w:iCs/>
        </w:rPr>
        <w:t xml:space="preserve">Changes to the </w:t>
      </w:r>
      <w:r w:rsidRPr="000A4A97">
        <w:rPr>
          <w:rFonts w:cs="Arial"/>
          <w:bCs/>
          <w:i/>
          <w:iCs/>
        </w:rPr>
        <w:t>Child Protection Act 1999</w:t>
      </w:r>
      <w:r w:rsidRPr="000A4A97">
        <w:rPr>
          <w:rFonts w:cs="Arial"/>
          <w:bCs/>
          <w:iCs/>
        </w:rPr>
        <w:t xml:space="preserve"> </w:t>
      </w:r>
      <w:r w:rsidR="00394098">
        <w:rPr>
          <w:rFonts w:cs="Arial"/>
          <w:bCs/>
          <w:iCs/>
        </w:rPr>
        <w:t xml:space="preserve">later in 2018 will </w:t>
      </w:r>
      <w:r w:rsidRPr="000A4A97">
        <w:rPr>
          <w:rFonts w:cs="Arial"/>
          <w:bCs/>
          <w:iCs/>
        </w:rPr>
        <w:t>introduce provisions t</w:t>
      </w:r>
      <w:r w:rsidR="00394098">
        <w:rPr>
          <w:rFonts w:cs="Arial"/>
          <w:bCs/>
          <w:iCs/>
        </w:rPr>
        <w:t>o</w:t>
      </w:r>
      <w:r w:rsidRPr="000A4A97">
        <w:rPr>
          <w:rFonts w:cs="Arial"/>
          <w:bCs/>
          <w:iCs/>
        </w:rPr>
        <w:t xml:space="preserve"> support the</w:t>
      </w:r>
      <w:r>
        <w:rPr>
          <w:rFonts w:cs="Arial"/>
          <w:bCs/>
          <w:iCs/>
        </w:rPr>
        <w:t xml:space="preserve"> </w:t>
      </w:r>
      <w:r w:rsidRPr="000A4A97">
        <w:rPr>
          <w:rFonts w:cs="Arial"/>
          <w:bCs/>
          <w:iCs/>
        </w:rPr>
        <w:t>safe care and connection of Aboriginal and Torres Strait Islander peoples by</w:t>
      </w:r>
      <w:r>
        <w:rPr>
          <w:rFonts w:cs="Arial"/>
          <w:bCs/>
          <w:iCs/>
        </w:rPr>
        <w:t xml:space="preserve"> </w:t>
      </w:r>
      <w:r w:rsidRPr="000A4A97">
        <w:rPr>
          <w:rFonts w:cs="Arial"/>
          <w:bCs/>
          <w:iCs/>
        </w:rPr>
        <w:t>recognising the importance of maintaining their connection to family, community</w:t>
      </w:r>
      <w:r>
        <w:rPr>
          <w:rFonts w:cs="Arial"/>
          <w:bCs/>
          <w:iCs/>
        </w:rPr>
        <w:t xml:space="preserve"> </w:t>
      </w:r>
      <w:r w:rsidRPr="000A4A97">
        <w:rPr>
          <w:rFonts w:cs="Arial"/>
          <w:bCs/>
          <w:iCs/>
        </w:rPr>
        <w:t>and culture.</w:t>
      </w:r>
      <w:r>
        <w:rPr>
          <w:rFonts w:cs="Arial"/>
          <w:bCs/>
          <w:iCs/>
        </w:rPr>
        <w:t xml:space="preserve"> </w:t>
      </w:r>
    </w:p>
    <w:p w:rsidR="000A4A97" w:rsidRPr="000A4A97" w:rsidRDefault="000A4A97" w:rsidP="00DD5024">
      <w:pPr>
        <w:autoSpaceDE w:val="0"/>
        <w:autoSpaceDN w:val="0"/>
        <w:adjustRightInd w:val="0"/>
        <w:jc w:val="both"/>
        <w:rPr>
          <w:rFonts w:cs="Arial"/>
          <w:bCs/>
          <w:iCs/>
        </w:rPr>
      </w:pPr>
      <w:r w:rsidRPr="000A4A97">
        <w:rPr>
          <w:rFonts w:cs="Arial"/>
          <w:bCs/>
          <w:iCs/>
        </w:rPr>
        <w:t>In particular, the embedding of the Aboriginal and Torres Strait Islander Child</w:t>
      </w:r>
      <w:r>
        <w:rPr>
          <w:rFonts w:cs="Arial"/>
          <w:bCs/>
          <w:iCs/>
        </w:rPr>
        <w:t xml:space="preserve"> </w:t>
      </w:r>
      <w:r w:rsidRPr="000A4A97">
        <w:rPr>
          <w:rFonts w:cs="Arial"/>
          <w:bCs/>
          <w:iCs/>
        </w:rPr>
        <w:t>Placement Principle in the administration of the Act will place a stronger focus on ensuring anyone who undertakes a function</w:t>
      </w:r>
      <w:r>
        <w:rPr>
          <w:rFonts w:cs="Arial"/>
          <w:bCs/>
          <w:iCs/>
        </w:rPr>
        <w:t xml:space="preserve"> </w:t>
      </w:r>
      <w:r w:rsidRPr="000A4A97">
        <w:rPr>
          <w:rFonts w:cs="Arial"/>
          <w:bCs/>
          <w:iCs/>
        </w:rPr>
        <w:t>under the Act does so in alignment with the five elements of the child placement</w:t>
      </w:r>
      <w:r>
        <w:rPr>
          <w:rFonts w:cs="Arial"/>
          <w:bCs/>
          <w:iCs/>
        </w:rPr>
        <w:t xml:space="preserve"> </w:t>
      </w:r>
      <w:r w:rsidRPr="000A4A97">
        <w:rPr>
          <w:rFonts w:cs="Arial"/>
          <w:bCs/>
          <w:iCs/>
        </w:rPr>
        <w:t>principle — prevention, partnership, placement, participation and connection.</w:t>
      </w:r>
    </w:p>
    <w:p w:rsidR="00674492" w:rsidRDefault="000A4A97" w:rsidP="00DD5024">
      <w:pPr>
        <w:autoSpaceDE w:val="0"/>
        <w:autoSpaceDN w:val="0"/>
        <w:adjustRightInd w:val="0"/>
        <w:jc w:val="both"/>
        <w:rPr>
          <w:rFonts w:cs="Arial"/>
        </w:rPr>
      </w:pPr>
      <w:r w:rsidRPr="000A4A97">
        <w:rPr>
          <w:rFonts w:cs="Arial"/>
          <w:bCs/>
          <w:iCs/>
        </w:rPr>
        <w:t>This broadens responsibility for supporting the self-determination of Aboriginal</w:t>
      </w:r>
      <w:r>
        <w:rPr>
          <w:rFonts w:cs="Arial"/>
          <w:bCs/>
          <w:iCs/>
        </w:rPr>
        <w:t xml:space="preserve"> </w:t>
      </w:r>
      <w:r w:rsidRPr="000A4A97">
        <w:rPr>
          <w:rFonts w:cs="Arial"/>
          <w:bCs/>
          <w:iCs/>
        </w:rPr>
        <w:t>and Torres Strait Islander peoples beyond frontline Child Safety staff to all those</w:t>
      </w:r>
      <w:r>
        <w:rPr>
          <w:rFonts w:cs="Arial"/>
          <w:bCs/>
          <w:iCs/>
        </w:rPr>
        <w:t xml:space="preserve"> </w:t>
      </w:r>
      <w:r w:rsidRPr="000A4A97">
        <w:rPr>
          <w:rFonts w:cs="Arial"/>
          <w:bCs/>
          <w:iCs/>
        </w:rPr>
        <w:t>who work within the department and the child protection sector.</w:t>
      </w:r>
      <w:r>
        <w:rPr>
          <w:rFonts w:cs="Arial"/>
          <w:bCs/>
          <w:iCs/>
        </w:rPr>
        <w:t xml:space="preserve"> </w:t>
      </w:r>
      <w:r w:rsidRPr="000A4A97">
        <w:rPr>
          <w:rFonts w:cs="Arial"/>
          <w:bCs/>
          <w:iCs/>
        </w:rPr>
        <w:t xml:space="preserve">Embedding all five elements of the child placement </w:t>
      </w:r>
      <w:r w:rsidRPr="000A4A97">
        <w:rPr>
          <w:rFonts w:cs="Arial"/>
          <w:bCs/>
          <w:iCs/>
        </w:rPr>
        <w:lastRenderedPageBreak/>
        <w:t>principle will see a significant</w:t>
      </w:r>
      <w:r>
        <w:rPr>
          <w:rFonts w:cs="Arial"/>
          <w:bCs/>
          <w:iCs/>
        </w:rPr>
        <w:t xml:space="preserve"> </w:t>
      </w:r>
      <w:r w:rsidRPr="000A4A97">
        <w:rPr>
          <w:rFonts w:cs="Arial"/>
          <w:bCs/>
          <w:iCs/>
        </w:rPr>
        <w:t>shift in how the department works with, partners with, supports and empowers</w:t>
      </w:r>
      <w:r>
        <w:rPr>
          <w:rFonts w:cs="Arial"/>
          <w:bCs/>
          <w:iCs/>
        </w:rPr>
        <w:t xml:space="preserve"> </w:t>
      </w:r>
      <w:r w:rsidRPr="000A4A97">
        <w:rPr>
          <w:rFonts w:cs="Arial"/>
          <w:bCs/>
          <w:iCs/>
        </w:rPr>
        <w:t>Aboriginal and Torres Strait Islander children and families in Queensland.</w:t>
      </w:r>
    </w:p>
    <w:p w:rsidR="00FB574D" w:rsidRPr="000568EA" w:rsidRDefault="00FB574D" w:rsidP="00DD5024">
      <w:pPr>
        <w:spacing w:before="240"/>
        <w:jc w:val="both"/>
        <w:rPr>
          <w:rFonts w:cs="Arial"/>
          <w:b/>
        </w:rPr>
      </w:pPr>
      <w:r w:rsidRPr="000568EA">
        <w:rPr>
          <w:rFonts w:cs="Arial"/>
          <w:b/>
        </w:rPr>
        <w:t>The safe care and connection of Aboriginal and Torres Strait Islander children with family, community and culture</w:t>
      </w:r>
    </w:p>
    <w:p w:rsidR="00FB574D" w:rsidRPr="00FB574D" w:rsidRDefault="00FB574D" w:rsidP="00DD5024">
      <w:pPr>
        <w:autoSpaceDE w:val="0"/>
        <w:autoSpaceDN w:val="0"/>
        <w:adjustRightInd w:val="0"/>
        <w:jc w:val="both"/>
        <w:rPr>
          <w:rFonts w:cs="Arial"/>
          <w:bCs/>
          <w:iCs/>
        </w:rPr>
      </w:pPr>
      <w:r w:rsidRPr="00FB574D">
        <w:rPr>
          <w:rFonts w:cs="Arial"/>
          <w:bCs/>
          <w:iCs/>
        </w:rPr>
        <w:t xml:space="preserve">The amendments represent a significant shift in how the department supports the connection of Aboriginal and Torres Strait Islander children and young people with their family, community and culture, acknowledging that stronger connections result in better outcomes for Aboriginal and Torres Strait Islander children and young people. The changes also recognise the significant and long-term effect of decisions on a child or young person, their family and community; and acknowledges the role of family and community as the primary source of cultural knowledge. </w:t>
      </w:r>
    </w:p>
    <w:p w:rsidR="00FB574D" w:rsidRPr="00FB574D" w:rsidRDefault="00FB574D" w:rsidP="00DD5024">
      <w:pPr>
        <w:autoSpaceDE w:val="0"/>
        <w:autoSpaceDN w:val="0"/>
        <w:adjustRightInd w:val="0"/>
        <w:jc w:val="both"/>
        <w:rPr>
          <w:rFonts w:cs="Arial"/>
          <w:bCs/>
          <w:iCs/>
        </w:rPr>
      </w:pPr>
      <w:r w:rsidRPr="00FB574D">
        <w:rPr>
          <w:rFonts w:cs="Arial"/>
          <w:bCs/>
          <w:iCs/>
        </w:rPr>
        <w:t xml:space="preserve">Ensuring the safe care and connection of Aboriginal and Torres Strait Islander children and young people is also vital to achieving the intent of the Supporting Families Changing Futures Reforms, the Our Way Strategy and the Changing Tracks Action Plan. </w:t>
      </w:r>
    </w:p>
    <w:p w:rsidR="00FB574D" w:rsidRPr="00FB574D" w:rsidRDefault="00FB574D" w:rsidP="00DD5024">
      <w:pPr>
        <w:autoSpaceDE w:val="0"/>
        <w:autoSpaceDN w:val="0"/>
        <w:adjustRightInd w:val="0"/>
        <w:jc w:val="both"/>
        <w:rPr>
          <w:rFonts w:cs="Arial"/>
          <w:bCs/>
          <w:iCs/>
        </w:rPr>
      </w:pPr>
      <w:r w:rsidRPr="00FB574D">
        <w:rPr>
          <w:rFonts w:cs="Arial"/>
          <w:bCs/>
          <w:iCs/>
        </w:rPr>
        <w:t xml:space="preserve">Implementing the changes effectively requires active efforts from all levels of government, funded services and community </w:t>
      </w:r>
      <w:r w:rsidR="00394098">
        <w:rPr>
          <w:rFonts w:cs="Arial"/>
          <w:bCs/>
          <w:iCs/>
        </w:rPr>
        <w:t>to ensure</w:t>
      </w:r>
      <w:r w:rsidRPr="00FB574D">
        <w:rPr>
          <w:rFonts w:cs="Arial"/>
          <w:bCs/>
          <w:iCs/>
        </w:rPr>
        <w:t xml:space="preserve"> collective appl</w:t>
      </w:r>
      <w:r w:rsidR="00394098">
        <w:rPr>
          <w:rFonts w:cs="Arial"/>
          <w:bCs/>
          <w:iCs/>
        </w:rPr>
        <w:t>ication of</w:t>
      </w:r>
      <w:r w:rsidRPr="00FB574D">
        <w:rPr>
          <w:rFonts w:cs="Arial"/>
          <w:bCs/>
          <w:iCs/>
        </w:rPr>
        <w:t xml:space="preserve"> the values of family and community connection, cultural integrity</w:t>
      </w:r>
      <w:r w:rsidR="00394098">
        <w:rPr>
          <w:rFonts w:cs="Arial"/>
          <w:bCs/>
          <w:iCs/>
        </w:rPr>
        <w:t xml:space="preserve">, </w:t>
      </w:r>
      <w:r w:rsidRPr="00FB574D">
        <w:rPr>
          <w:rFonts w:cs="Arial"/>
          <w:bCs/>
          <w:iCs/>
        </w:rPr>
        <w:t>strengths and solutions that support self</w:t>
      </w:r>
      <w:r w:rsidRPr="00FB574D">
        <w:rPr>
          <w:rFonts w:cs="Arial"/>
          <w:bCs/>
          <w:iCs/>
        </w:rPr>
        <w:noBreakHyphen/>
        <w:t xml:space="preserve">determination for Aboriginal and Torres Strait Islander families. </w:t>
      </w:r>
    </w:p>
    <w:p w:rsidR="00FB574D" w:rsidRPr="000568EA" w:rsidRDefault="00FB574D" w:rsidP="00DD5024">
      <w:pPr>
        <w:spacing w:before="240"/>
        <w:jc w:val="both"/>
        <w:rPr>
          <w:rFonts w:cs="Arial"/>
          <w:b/>
        </w:rPr>
      </w:pPr>
      <w:r w:rsidRPr="000568EA">
        <w:rPr>
          <w:rFonts w:cs="Arial"/>
          <w:b/>
        </w:rPr>
        <w:t>Self-determination</w:t>
      </w:r>
    </w:p>
    <w:p w:rsidR="000A4A97" w:rsidRPr="00571D65" w:rsidRDefault="00FB574D" w:rsidP="00DD5024">
      <w:pPr>
        <w:autoSpaceDE w:val="0"/>
        <w:autoSpaceDN w:val="0"/>
        <w:adjustRightInd w:val="0"/>
        <w:jc w:val="both"/>
        <w:rPr>
          <w:rFonts w:cs="Arial"/>
          <w:bCs/>
          <w:iCs/>
        </w:rPr>
      </w:pPr>
      <w:r w:rsidRPr="00FB574D">
        <w:rPr>
          <w:rFonts w:cs="Arial"/>
          <w:bCs/>
          <w:iCs/>
        </w:rPr>
        <w:t>The amendments insert a new principle into the Act to recognise the right of Aboriginal and Torres Strait Islander people to self-determination. One way the amendments support the principle of self-determination will be through the intro</w:t>
      </w:r>
      <w:r w:rsidR="00A73B53">
        <w:rPr>
          <w:rFonts w:cs="Arial"/>
          <w:bCs/>
          <w:iCs/>
        </w:rPr>
        <w:t>duction of a new power for the c</w:t>
      </w:r>
      <w:r w:rsidRPr="00FB574D">
        <w:rPr>
          <w:rFonts w:cs="Arial"/>
          <w:bCs/>
          <w:iCs/>
        </w:rPr>
        <w:t xml:space="preserve">hief </w:t>
      </w:r>
      <w:r w:rsidR="00A73B53">
        <w:rPr>
          <w:rFonts w:cs="Arial"/>
          <w:bCs/>
          <w:iCs/>
        </w:rPr>
        <w:t>e</w:t>
      </w:r>
      <w:r w:rsidRPr="00FB574D">
        <w:rPr>
          <w:rFonts w:cs="Arial"/>
          <w:bCs/>
          <w:iCs/>
        </w:rPr>
        <w:t>xecutive of the department to delegate some, or all, of their functions and powers in relation to an Aboriginal or Torres Strait Islander child or young person to an appropriate Aboriginal or Torres Strait Islander entity. This change contributes to the implementation of Action 4.2 of the Changing Tracks Action Plan. The department is working work with government and non</w:t>
      </w:r>
      <w:r w:rsidRPr="00FB574D">
        <w:rPr>
          <w:rFonts w:cs="Arial"/>
          <w:bCs/>
          <w:iCs/>
        </w:rPr>
        <w:noBreakHyphen/>
        <w:t xml:space="preserve">government partners to support </w:t>
      </w:r>
      <w:r w:rsidR="00571D65">
        <w:rPr>
          <w:rFonts w:cs="Arial"/>
          <w:bCs/>
          <w:iCs/>
        </w:rPr>
        <w:t xml:space="preserve">implementation of this change. </w:t>
      </w:r>
    </w:p>
    <w:p w:rsidR="00FB574D" w:rsidRPr="000568EA" w:rsidRDefault="00FB574D" w:rsidP="00DD5024">
      <w:pPr>
        <w:spacing w:before="240"/>
        <w:jc w:val="both"/>
        <w:rPr>
          <w:rFonts w:cs="Arial"/>
          <w:b/>
        </w:rPr>
      </w:pPr>
      <w:r w:rsidRPr="000568EA">
        <w:rPr>
          <w:rFonts w:cs="Arial"/>
          <w:b/>
        </w:rPr>
        <w:t>Child Placement Principle</w:t>
      </w:r>
    </w:p>
    <w:p w:rsidR="00FB574D" w:rsidRPr="00FB574D" w:rsidRDefault="00FB574D" w:rsidP="00DD5024">
      <w:pPr>
        <w:autoSpaceDE w:val="0"/>
        <w:autoSpaceDN w:val="0"/>
        <w:adjustRightInd w:val="0"/>
        <w:jc w:val="both"/>
        <w:rPr>
          <w:rFonts w:cs="Arial"/>
          <w:bCs/>
          <w:iCs/>
        </w:rPr>
      </w:pPr>
      <w:r w:rsidRPr="00FB574D">
        <w:rPr>
          <w:rFonts w:cs="Arial"/>
          <w:bCs/>
          <w:iCs/>
        </w:rPr>
        <w:t xml:space="preserve">The changes embed all five elements of the Aboriginal and Torres Strait Islander Child Placement Principle – prevention, partnership, placement, participation and connection – as a set of principles for working with Aboriginal and Torres Strait Islander children and families. </w:t>
      </w:r>
    </w:p>
    <w:p w:rsidR="00FB574D" w:rsidRPr="00FB574D" w:rsidRDefault="00FB574D" w:rsidP="00DD5024">
      <w:pPr>
        <w:autoSpaceDE w:val="0"/>
        <w:autoSpaceDN w:val="0"/>
        <w:adjustRightInd w:val="0"/>
        <w:jc w:val="both"/>
        <w:rPr>
          <w:rFonts w:cs="Arial"/>
          <w:bCs/>
          <w:iCs/>
        </w:rPr>
      </w:pPr>
      <w:r w:rsidRPr="00FB574D">
        <w:rPr>
          <w:rFonts w:cs="Arial"/>
          <w:bCs/>
          <w:iCs/>
        </w:rPr>
        <w:t xml:space="preserve">Anyone who undertakes functions under the Act, whether that is the department, funded services, or the court system, will be required to apply the five elements of the Child Placement Principle. </w:t>
      </w:r>
    </w:p>
    <w:p w:rsidR="00FB574D" w:rsidRPr="000568EA" w:rsidRDefault="00FB574D" w:rsidP="00DD5024">
      <w:pPr>
        <w:spacing w:before="240"/>
        <w:jc w:val="both"/>
        <w:rPr>
          <w:rFonts w:cs="Arial"/>
          <w:b/>
        </w:rPr>
      </w:pPr>
      <w:r w:rsidRPr="000568EA">
        <w:rPr>
          <w:rFonts w:cs="Arial"/>
          <w:b/>
        </w:rPr>
        <w:t>Cultural advice about Aboriginal and Torres Strait Islander children</w:t>
      </w:r>
    </w:p>
    <w:p w:rsidR="00FB574D" w:rsidRPr="008F106E" w:rsidRDefault="00FB574D" w:rsidP="00DD5024">
      <w:pPr>
        <w:autoSpaceDE w:val="0"/>
        <w:autoSpaceDN w:val="0"/>
        <w:adjustRightInd w:val="0"/>
        <w:spacing w:after="20"/>
        <w:jc w:val="both"/>
        <w:rPr>
          <w:rFonts w:cs="Arial"/>
        </w:rPr>
      </w:pPr>
      <w:r w:rsidRPr="008F106E">
        <w:rPr>
          <w:rFonts w:cs="Arial"/>
        </w:rPr>
        <w:t>The amendments introduce the new concept of an independent Aboriginal or Torres Strait Islander entity, effectively replacing and broadening the existing role of ‘recognised entities’ under the Act. This will enable the family to choose the person or organisation best placed to facilitate their meaningful participation in decision-making. The introduction of the independent entity helps to respect and protect the rights of families to take an active part in decision</w:t>
      </w:r>
      <w:r w:rsidRPr="008F106E">
        <w:rPr>
          <w:rFonts w:cs="Arial"/>
        </w:rPr>
        <w:noBreakHyphen/>
        <w:t xml:space="preserve">making. This change recognises that Aboriginal and Torres Strait Islander children, young people and families have the best knowledge of the strengths and needs that exist in their own families and communities, and are the primary source from which cultural advice should be sought to inform decisions that affect them. </w:t>
      </w:r>
    </w:p>
    <w:p w:rsidR="00FB574D" w:rsidRPr="000568EA" w:rsidRDefault="00FB574D" w:rsidP="00DD5024">
      <w:pPr>
        <w:spacing w:before="240"/>
        <w:jc w:val="both"/>
        <w:rPr>
          <w:rFonts w:cs="Arial"/>
          <w:b/>
        </w:rPr>
      </w:pPr>
      <w:r w:rsidRPr="000568EA">
        <w:rPr>
          <w:rFonts w:cs="Arial"/>
          <w:b/>
        </w:rPr>
        <w:lastRenderedPageBreak/>
        <w:t xml:space="preserve">Cultural support planning </w:t>
      </w:r>
    </w:p>
    <w:p w:rsidR="00FB574D" w:rsidRDefault="00FB574D" w:rsidP="00DD5024">
      <w:pPr>
        <w:autoSpaceDE w:val="0"/>
        <w:autoSpaceDN w:val="0"/>
        <w:adjustRightInd w:val="0"/>
        <w:spacing w:after="20"/>
        <w:jc w:val="both"/>
        <w:rPr>
          <w:rFonts w:cs="Arial"/>
        </w:rPr>
      </w:pPr>
      <w:r w:rsidRPr="008F106E">
        <w:rPr>
          <w:rFonts w:cs="Arial"/>
        </w:rPr>
        <w:t>The changes require a case plan for an Aboriginal or Torres Strait Islander child or young person to include details about how the child or young person will be supported to develop and maintain connections with their family, community and culture.</w:t>
      </w:r>
    </w:p>
    <w:bookmarkEnd w:id="84"/>
    <w:bookmarkEnd w:id="85"/>
    <w:p w:rsidR="00A477C1" w:rsidRPr="000568EA" w:rsidRDefault="00A477C1" w:rsidP="00DD5024">
      <w:pPr>
        <w:spacing w:before="240"/>
        <w:jc w:val="both"/>
        <w:rPr>
          <w:rFonts w:cs="Arial"/>
          <w:b/>
        </w:rPr>
      </w:pPr>
      <w:r w:rsidRPr="000568EA">
        <w:rPr>
          <w:rFonts w:cs="Arial"/>
          <w:b/>
        </w:rPr>
        <w:t>Internal staff capacity</w:t>
      </w:r>
    </w:p>
    <w:p w:rsidR="00CB3E63" w:rsidRDefault="00A477C1" w:rsidP="00DD5024">
      <w:pPr>
        <w:autoSpaceDE w:val="0"/>
        <w:autoSpaceDN w:val="0"/>
        <w:adjustRightInd w:val="0"/>
        <w:jc w:val="both"/>
        <w:rPr>
          <w:rFonts w:cs="Arial"/>
          <w:bCs/>
          <w:iCs/>
        </w:rPr>
      </w:pPr>
      <w:r>
        <w:rPr>
          <w:rFonts w:cs="Arial"/>
          <w:bCs/>
          <w:iCs/>
        </w:rPr>
        <w:t>In late 2017, I</w:t>
      </w:r>
      <w:r w:rsidRPr="00A477C1">
        <w:rPr>
          <w:rFonts w:cs="Arial"/>
          <w:bCs/>
          <w:iCs/>
        </w:rPr>
        <w:t>ndigenous Child Safety Support Officers had their position name and description changed to strengthen their role in working with Aboriginal and Torres Strait Islander families. Now known as Cultural Practice Advisors, these staff, along with regional Aboriginal and Torres Strait Islander Practice Leaders are playing a more significant role in providing cultural practice advice, engaging with the community, and in cultural support planning.</w:t>
      </w:r>
    </w:p>
    <w:p w:rsidR="00665263" w:rsidRPr="001133D1" w:rsidRDefault="00A101CE" w:rsidP="00DD5024">
      <w:pPr>
        <w:pStyle w:val="Heading2"/>
        <w:spacing w:before="240"/>
        <w:jc w:val="both"/>
        <w:rPr>
          <w:sz w:val="28"/>
        </w:rPr>
      </w:pPr>
      <w:bookmarkStart w:id="101" w:name="_Toc524517395"/>
      <w:r w:rsidRPr="00A101CE">
        <w:rPr>
          <w:sz w:val="28"/>
        </w:rPr>
        <w:t>Delays in commencement o</w:t>
      </w:r>
      <w:r>
        <w:rPr>
          <w:sz w:val="28"/>
        </w:rPr>
        <w:t>f Investigation and Assessments</w:t>
      </w:r>
      <w:bookmarkEnd w:id="101"/>
    </w:p>
    <w:p w:rsidR="00676189" w:rsidRDefault="00F56C5E" w:rsidP="0055322E">
      <w:pPr>
        <w:autoSpaceDE w:val="0"/>
        <w:autoSpaceDN w:val="0"/>
        <w:adjustRightInd w:val="0"/>
        <w:jc w:val="both"/>
        <w:rPr>
          <w:rFonts w:cs="Arial"/>
          <w:bCs/>
          <w:iCs/>
        </w:rPr>
      </w:pPr>
      <w:r>
        <w:rPr>
          <w:rFonts w:cs="Arial"/>
          <w:bCs/>
          <w:iCs/>
        </w:rPr>
        <w:t xml:space="preserve">Over </w:t>
      </w:r>
      <w:r w:rsidR="00E42E06">
        <w:rPr>
          <w:rFonts w:cs="Arial"/>
          <w:bCs/>
          <w:iCs/>
        </w:rPr>
        <w:t>recent years</w:t>
      </w:r>
      <w:r>
        <w:rPr>
          <w:rFonts w:cs="Arial"/>
          <w:bCs/>
          <w:iCs/>
        </w:rPr>
        <w:t xml:space="preserve"> </w:t>
      </w:r>
      <w:r w:rsidR="00E42E06">
        <w:rPr>
          <w:rFonts w:cs="Arial"/>
          <w:bCs/>
          <w:iCs/>
        </w:rPr>
        <w:t xml:space="preserve">the </w:t>
      </w:r>
      <w:r w:rsidR="00A101CE" w:rsidRPr="00900442">
        <w:rPr>
          <w:rFonts w:cs="Arial"/>
          <w:bCs/>
          <w:iCs/>
        </w:rPr>
        <w:t xml:space="preserve">department </w:t>
      </w:r>
      <w:r w:rsidR="00E42E06">
        <w:rPr>
          <w:rFonts w:cs="Arial"/>
          <w:bCs/>
          <w:iCs/>
        </w:rPr>
        <w:t>has prioritised</w:t>
      </w:r>
      <w:r w:rsidR="00A101CE" w:rsidRPr="00900442">
        <w:rPr>
          <w:rFonts w:cs="Arial"/>
          <w:bCs/>
          <w:iCs/>
        </w:rPr>
        <w:t xml:space="preserve"> </w:t>
      </w:r>
      <w:r w:rsidR="00E42E06">
        <w:rPr>
          <w:rFonts w:cs="Arial"/>
          <w:bCs/>
          <w:iCs/>
        </w:rPr>
        <w:t>improving</w:t>
      </w:r>
      <w:r w:rsidR="00A101CE" w:rsidRPr="00900442">
        <w:rPr>
          <w:rFonts w:cs="Arial"/>
          <w:bCs/>
          <w:iCs/>
        </w:rPr>
        <w:t xml:space="preserve"> </w:t>
      </w:r>
      <w:r w:rsidR="00E42E06">
        <w:rPr>
          <w:rFonts w:cs="Arial"/>
          <w:bCs/>
          <w:iCs/>
        </w:rPr>
        <w:t xml:space="preserve">the commencement of </w:t>
      </w:r>
      <w:r w:rsidR="001510BD" w:rsidRPr="00900442">
        <w:rPr>
          <w:rFonts w:cs="Arial"/>
          <w:bCs/>
          <w:iCs/>
        </w:rPr>
        <w:t>investigation and assessment of</w:t>
      </w:r>
      <w:r w:rsidR="00A101CE" w:rsidRPr="00900442">
        <w:rPr>
          <w:rFonts w:cs="Arial"/>
          <w:bCs/>
          <w:iCs/>
        </w:rPr>
        <w:t xml:space="preserve"> Notifications</w:t>
      </w:r>
      <w:r w:rsidR="00DE11BD" w:rsidRPr="00900442">
        <w:rPr>
          <w:rFonts w:cs="Arial"/>
          <w:bCs/>
          <w:iCs/>
        </w:rPr>
        <w:t>. A</w:t>
      </w:r>
      <w:r w:rsidR="00A101CE" w:rsidRPr="00900442">
        <w:rPr>
          <w:rFonts w:cs="Arial"/>
          <w:bCs/>
          <w:iCs/>
        </w:rPr>
        <w:t xml:space="preserve"> range of strategies</w:t>
      </w:r>
      <w:r w:rsidR="00DE11BD" w:rsidRPr="00900442">
        <w:rPr>
          <w:rFonts w:cs="Arial"/>
          <w:bCs/>
          <w:iCs/>
        </w:rPr>
        <w:t xml:space="preserve"> are being p</w:t>
      </w:r>
      <w:r w:rsidR="00F42DD3" w:rsidRPr="00900442">
        <w:rPr>
          <w:rFonts w:cs="Arial"/>
          <w:bCs/>
          <w:iCs/>
        </w:rPr>
        <w:t>rogressed</w:t>
      </w:r>
      <w:r w:rsidR="00A101CE" w:rsidRPr="00900442">
        <w:rPr>
          <w:rFonts w:cs="Arial"/>
          <w:bCs/>
          <w:iCs/>
        </w:rPr>
        <w:t xml:space="preserve"> to address this</w:t>
      </w:r>
      <w:r w:rsidR="00DE11BD" w:rsidRPr="00900442">
        <w:rPr>
          <w:rFonts w:cs="Arial"/>
          <w:bCs/>
          <w:iCs/>
        </w:rPr>
        <w:t>, which has seen significant improvement in response times</w:t>
      </w:r>
      <w:r w:rsidR="00A101CE" w:rsidRPr="00900442">
        <w:rPr>
          <w:rFonts w:cs="Arial"/>
          <w:bCs/>
          <w:iCs/>
        </w:rPr>
        <w:t>.</w:t>
      </w:r>
      <w:r w:rsidR="00DE11BD" w:rsidRPr="00900442">
        <w:rPr>
          <w:rFonts w:cs="Arial"/>
          <w:bCs/>
          <w:iCs/>
        </w:rPr>
        <w:t xml:space="preserve"> </w:t>
      </w:r>
    </w:p>
    <w:p w:rsidR="00A101CE" w:rsidRDefault="0055322E" w:rsidP="0055322E">
      <w:pPr>
        <w:autoSpaceDE w:val="0"/>
        <w:autoSpaceDN w:val="0"/>
        <w:adjustRightInd w:val="0"/>
        <w:jc w:val="both"/>
        <w:rPr>
          <w:rFonts w:cs="Arial"/>
          <w:bCs/>
          <w:iCs/>
        </w:rPr>
      </w:pPr>
      <w:r w:rsidRPr="00900442">
        <w:rPr>
          <w:rFonts w:cs="Arial"/>
          <w:bCs/>
          <w:iCs/>
        </w:rPr>
        <w:t>As at March 2018 92.9 per cent of investigations that needed to be started within 24 hours were commenced in that timeframe, up 2.7 per cent compared to the same period for the year prior and the best result since reporting on this measure commenced in September 2009. This represented the seventh consecutive quarter of improvement in this measure. Response rates for five and 10 day Notifications have also improved.</w:t>
      </w:r>
      <w:r w:rsidRPr="0055322E">
        <w:rPr>
          <w:rFonts w:cs="Arial"/>
          <w:bCs/>
          <w:iCs/>
        </w:rPr>
        <w:t xml:space="preserve"> </w:t>
      </w:r>
      <w:r w:rsidR="00E42E06">
        <w:rPr>
          <w:rFonts w:cs="Arial"/>
          <w:bCs/>
          <w:iCs/>
        </w:rPr>
        <w:t xml:space="preserve"> This work will continue.</w:t>
      </w:r>
    </w:p>
    <w:p w:rsidR="00E42E06" w:rsidRDefault="00A101CE" w:rsidP="00DD5024">
      <w:pPr>
        <w:autoSpaceDE w:val="0"/>
        <w:autoSpaceDN w:val="0"/>
        <w:adjustRightInd w:val="0"/>
        <w:jc w:val="both"/>
        <w:rPr>
          <w:rFonts w:cs="Arial"/>
          <w:bCs/>
          <w:iCs/>
        </w:rPr>
      </w:pPr>
      <w:r w:rsidRPr="00A101CE">
        <w:rPr>
          <w:rFonts w:cs="Arial"/>
          <w:bCs/>
          <w:iCs/>
        </w:rPr>
        <w:t xml:space="preserve">In June 2017, the government announced an additional $200 million would be invested over four years to improve child protection service delivery. This funding provided an extra 236 new child safety staff for the 2017-2018 financial year, increasing to 292 staff in 2018-19. </w:t>
      </w:r>
      <w:r w:rsidR="00E42E06">
        <w:rPr>
          <w:rFonts w:cs="Arial"/>
          <w:bCs/>
          <w:iCs/>
        </w:rPr>
        <w:t xml:space="preserve">In 2018-19 there are a further 56 FTE new regionally based frontline and frontline support positions to be filled. </w:t>
      </w:r>
      <w:r w:rsidRPr="00A101CE">
        <w:rPr>
          <w:rFonts w:cs="Arial"/>
          <w:bCs/>
          <w:iCs/>
        </w:rPr>
        <w:t>This is in addition to 12</w:t>
      </w:r>
      <w:r w:rsidR="000B5739">
        <w:rPr>
          <w:rFonts w:cs="Arial"/>
          <w:bCs/>
          <w:iCs/>
        </w:rPr>
        <w:t>7</w:t>
      </w:r>
      <w:r w:rsidRPr="00A101CE">
        <w:rPr>
          <w:rFonts w:cs="Arial"/>
          <w:bCs/>
          <w:iCs/>
        </w:rPr>
        <w:t xml:space="preserve"> new child safety staff who commenced in 2016-17. In total, there will be an increase of 4</w:t>
      </w:r>
      <w:r w:rsidR="000B5739">
        <w:rPr>
          <w:rFonts w:cs="Arial"/>
          <w:bCs/>
          <w:iCs/>
        </w:rPr>
        <w:t>58</w:t>
      </w:r>
      <w:r w:rsidRPr="00A101CE">
        <w:rPr>
          <w:rFonts w:cs="Arial"/>
          <w:bCs/>
          <w:iCs/>
        </w:rPr>
        <w:t xml:space="preserve"> new child safety staff over three years. </w:t>
      </w:r>
    </w:p>
    <w:p w:rsidR="00A101CE" w:rsidRDefault="00A101CE" w:rsidP="00DD5024">
      <w:pPr>
        <w:autoSpaceDE w:val="0"/>
        <w:autoSpaceDN w:val="0"/>
        <w:adjustRightInd w:val="0"/>
        <w:jc w:val="both"/>
        <w:rPr>
          <w:rFonts w:cs="Arial"/>
          <w:bCs/>
          <w:iCs/>
        </w:rPr>
      </w:pPr>
      <w:r w:rsidRPr="00A101CE">
        <w:rPr>
          <w:rFonts w:cs="Arial"/>
          <w:bCs/>
          <w:iCs/>
        </w:rPr>
        <w:t>The allocation of these positions has increased the number of Child Safety Officers undertaking Investigation and Assessment (IA) work across all regions.  The department is actively tracking the impact of this resource on the timeframes for allocation, commencement and completion of IAs.</w:t>
      </w:r>
    </w:p>
    <w:p w:rsidR="00676189" w:rsidRDefault="00F42DD3" w:rsidP="00DD5024">
      <w:pPr>
        <w:autoSpaceDE w:val="0"/>
        <w:autoSpaceDN w:val="0"/>
        <w:adjustRightInd w:val="0"/>
        <w:jc w:val="both"/>
        <w:rPr>
          <w:rFonts w:cs="Arial"/>
          <w:bCs/>
          <w:iCs/>
        </w:rPr>
      </w:pPr>
      <w:r>
        <w:rPr>
          <w:rFonts w:cs="Arial"/>
          <w:bCs/>
          <w:iCs/>
        </w:rPr>
        <w:t xml:space="preserve">The </w:t>
      </w:r>
      <w:r w:rsidR="00A101CE" w:rsidRPr="00A101CE">
        <w:rPr>
          <w:rFonts w:cs="Arial"/>
          <w:bCs/>
          <w:iCs/>
        </w:rPr>
        <w:t>Assessment and Service Connect (ASC)</w:t>
      </w:r>
      <w:r>
        <w:rPr>
          <w:rFonts w:cs="Arial"/>
          <w:bCs/>
          <w:iCs/>
        </w:rPr>
        <w:t xml:space="preserve"> initiative</w:t>
      </w:r>
      <w:r w:rsidR="00A101CE" w:rsidRPr="00A101CE">
        <w:rPr>
          <w:rFonts w:cs="Arial"/>
          <w:bCs/>
          <w:iCs/>
        </w:rPr>
        <w:t xml:space="preserve"> </w:t>
      </w:r>
      <w:r>
        <w:rPr>
          <w:rFonts w:cs="Arial"/>
          <w:bCs/>
          <w:iCs/>
        </w:rPr>
        <w:t>has been</w:t>
      </w:r>
      <w:r w:rsidR="00A101CE" w:rsidRPr="00A101CE">
        <w:rPr>
          <w:rFonts w:cs="Arial"/>
          <w:bCs/>
          <w:iCs/>
        </w:rPr>
        <w:t xml:space="preserve"> implemented across the state. ASC is an approach to undertaking the assessment of whether a child or young person is in need of protection, in partnership with ASC </w:t>
      </w:r>
      <w:r w:rsidR="00E42E06">
        <w:rPr>
          <w:rFonts w:cs="Arial"/>
          <w:bCs/>
          <w:iCs/>
        </w:rPr>
        <w:t>‘</w:t>
      </w:r>
      <w:r w:rsidR="00A101CE" w:rsidRPr="00A101CE">
        <w:rPr>
          <w:rFonts w:cs="Arial"/>
          <w:bCs/>
          <w:iCs/>
        </w:rPr>
        <w:t>co-responder</w:t>
      </w:r>
      <w:r w:rsidR="00E42E06">
        <w:rPr>
          <w:rFonts w:cs="Arial"/>
          <w:bCs/>
          <w:iCs/>
        </w:rPr>
        <w:t>’</w:t>
      </w:r>
      <w:r w:rsidR="00A101CE" w:rsidRPr="00A101CE">
        <w:rPr>
          <w:rFonts w:cs="Arial"/>
          <w:bCs/>
          <w:iCs/>
        </w:rPr>
        <w:t xml:space="preserve"> </w:t>
      </w:r>
      <w:r w:rsidR="00E42E06">
        <w:rPr>
          <w:rFonts w:cs="Arial"/>
          <w:bCs/>
          <w:iCs/>
        </w:rPr>
        <w:t>non-government services</w:t>
      </w:r>
      <w:r w:rsidR="00A101CE" w:rsidRPr="00A101CE">
        <w:rPr>
          <w:rFonts w:cs="Arial"/>
          <w:bCs/>
          <w:iCs/>
        </w:rPr>
        <w:t xml:space="preserve">. </w:t>
      </w:r>
    </w:p>
    <w:p w:rsidR="00676189" w:rsidRDefault="00A101CE" w:rsidP="00DD5024">
      <w:pPr>
        <w:autoSpaceDE w:val="0"/>
        <w:autoSpaceDN w:val="0"/>
        <w:adjustRightInd w:val="0"/>
        <w:jc w:val="both"/>
        <w:rPr>
          <w:rFonts w:cs="Arial"/>
          <w:bCs/>
          <w:iCs/>
        </w:rPr>
      </w:pPr>
      <w:r w:rsidRPr="00A101CE">
        <w:rPr>
          <w:rFonts w:cs="Arial"/>
          <w:bCs/>
          <w:iCs/>
        </w:rPr>
        <w:t xml:space="preserve">The purpose of ASC is to ensure children, young people and families are provided with the right service at the right time, in the right place to meet the safety needs of children and young people.  </w:t>
      </w:r>
    </w:p>
    <w:p w:rsidR="00A101CE" w:rsidRDefault="00A101CE" w:rsidP="00DD5024">
      <w:pPr>
        <w:autoSpaceDE w:val="0"/>
        <w:autoSpaceDN w:val="0"/>
        <w:adjustRightInd w:val="0"/>
        <w:jc w:val="both"/>
        <w:rPr>
          <w:rFonts w:cs="Arial"/>
          <w:bCs/>
          <w:iCs/>
        </w:rPr>
      </w:pPr>
      <w:r w:rsidRPr="00A101CE">
        <w:rPr>
          <w:rFonts w:cs="Arial"/>
          <w:bCs/>
          <w:iCs/>
        </w:rPr>
        <w:t xml:space="preserve">It is envisaged that the implementation of the ASC across the State will assist in the commencement and response to </w:t>
      </w:r>
      <w:r w:rsidR="001510BD">
        <w:rPr>
          <w:rFonts w:cs="Arial"/>
          <w:bCs/>
          <w:iCs/>
        </w:rPr>
        <w:t>five</w:t>
      </w:r>
      <w:r w:rsidRPr="00A101CE">
        <w:rPr>
          <w:rFonts w:cs="Arial"/>
          <w:bCs/>
          <w:iCs/>
        </w:rPr>
        <w:t xml:space="preserve"> and 10 day child protection notifications.</w:t>
      </w:r>
    </w:p>
    <w:p w:rsidR="00C641B1" w:rsidRPr="00222159" w:rsidRDefault="00C641B1" w:rsidP="00DD5024">
      <w:pPr>
        <w:pStyle w:val="Heading2"/>
        <w:spacing w:before="240"/>
        <w:jc w:val="both"/>
        <w:rPr>
          <w:sz w:val="28"/>
        </w:rPr>
      </w:pPr>
      <w:bookmarkStart w:id="102" w:name="_Toc524517396"/>
      <w:r w:rsidRPr="00222159">
        <w:rPr>
          <w:sz w:val="28"/>
        </w:rPr>
        <w:t>Workload demands and staff fatigue</w:t>
      </w:r>
      <w:bookmarkEnd w:id="102"/>
    </w:p>
    <w:p w:rsidR="00E42E06" w:rsidRPr="002830D7" w:rsidRDefault="005A0F13" w:rsidP="00DD5024">
      <w:pPr>
        <w:spacing w:before="240"/>
        <w:jc w:val="both"/>
        <w:rPr>
          <w:rFonts w:cs="Arial"/>
        </w:rPr>
      </w:pPr>
      <w:r w:rsidRPr="00222159">
        <w:rPr>
          <w:rFonts w:cs="Arial"/>
        </w:rPr>
        <w:t>In addition to the information detailed above, the following has also occurred in response to issues identified regarding workload demand and staff fatigue.</w:t>
      </w:r>
    </w:p>
    <w:p w:rsidR="00E42E06" w:rsidRPr="00E42E06" w:rsidRDefault="00E42E06" w:rsidP="00E42E06">
      <w:pPr>
        <w:keepNext/>
        <w:spacing w:before="240"/>
        <w:jc w:val="both"/>
        <w:rPr>
          <w:rFonts w:cs="Arial"/>
          <w:b/>
        </w:rPr>
      </w:pPr>
      <w:r>
        <w:rPr>
          <w:rFonts w:cs="Arial"/>
          <w:b/>
        </w:rPr>
        <w:lastRenderedPageBreak/>
        <w:t>Staffing strategies</w:t>
      </w:r>
    </w:p>
    <w:p w:rsidR="00E42E06" w:rsidRPr="009940BB" w:rsidRDefault="00E42E06" w:rsidP="00E42E06">
      <w:pPr>
        <w:autoSpaceDE w:val="0"/>
        <w:autoSpaceDN w:val="0"/>
        <w:adjustRightInd w:val="0"/>
        <w:jc w:val="both"/>
        <w:rPr>
          <w:rFonts w:cs="Arial"/>
          <w:bCs/>
          <w:iCs/>
        </w:rPr>
      </w:pPr>
      <w:r w:rsidRPr="009940BB">
        <w:rPr>
          <w:rFonts w:cs="Arial"/>
          <w:bCs/>
          <w:iCs/>
        </w:rPr>
        <w:t>The department is developing and implementing additional strategies to address</w:t>
      </w:r>
      <w:r>
        <w:rPr>
          <w:rFonts w:cs="Arial"/>
          <w:bCs/>
          <w:iCs/>
        </w:rPr>
        <w:t xml:space="preserve"> </w:t>
      </w:r>
      <w:r w:rsidRPr="009940BB">
        <w:rPr>
          <w:rFonts w:cs="Arial"/>
          <w:bCs/>
          <w:iCs/>
        </w:rPr>
        <w:t>challenges in the recruitment and retention of Child Safety staff. These include:</w:t>
      </w:r>
    </w:p>
    <w:p w:rsidR="00E42E06" w:rsidRPr="009940BB" w:rsidRDefault="00E42E06" w:rsidP="00E42E06">
      <w:pPr>
        <w:pStyle w:val="ListParagraph"/>
        <w:numPr>
          <w:ilvl w:val="0"/>
          <w:numId w:val="20"/>
        </w:numPr>
        <w:autoSpaceDE w:val="0"/>
        <w:autoSpaceDN w:val="0"/>
        <w:adjustRightInd w:val="0"/>
        <w:jc w:val="both"/>
        <w:rPr>
          <w:rFonts w:ascii="Arial" w:hAnsi="Arial" w:cs="Arial"/>
          <w:bCs/>
          <w:iCs/>
        </w:rPr>
      </w:pPr>
      <w:r w:rsidRPr="009940BB">
        <w:rPr>
          <w:rFonts w:ascii="Arial" w:hAnsi="Arial" w:cs="Arial"/>
          <w:bCs/>
          <w:iCs/>
        </w:rPr>
        <w:t>rebranding the public face of Child Safety roles</w:t>
      </w:r>
    </w:p>
    <w:p w:rsidR="00E42E06" w:rsidRPr="009940BB" w:rsidRDefault="00E42E06" w:rsidP="00E42E06">
      <w:pPr>
        <w:pStyle w:val="ListParagraph"/>
        <w:numPr>
          <w:ilvl w:val="0"/>
          <w:numId w:val="20"/>
        </w:numPr>
        <w:autoSpaceDE w:val="0"/>
        <w:autoSpaceDN w:val="0"/>
        <w:adjustRightInd w:val="0"/>
        <w:jc w:val="both"/>
        <w:rPr>
          <w:rFonts w:ascii="Arial" w:hAnsi="Arial" w:cs="Arial"/>
          <w:bCs/>
          <w:iCs/>
        </w:rPr>
      </w:pPr>
      <w:r w:rsidRPr="009940BB">
        <w:rPr>
          <w:rFonts w:ascii="Arial" w:hAnsi="Arial" w:cs="Arial"/>
          <w:bCs/>
          <w:iCs/>
        </w:rPr>
        <w:t>improving applicant interface, candidate care and streamlining of the recruitment processes</w:t>
      </w:r>
    </w:p>
    <w:p w:rsidR="00E42E06" w:rsidRPr="009940BB" w:rsidRDefault="00E42E06" w:rsidP="00E42E06">
      <w:pPr>
        <w:pStyle w:val="ListParagraph"/>
        <w:numPr>
          <w:ilvl w:val="0"/>
          <w:numId w:val="20"/>
        </w:numPr>
        <w:autoSpaceDE w:val="0"/>
        <w:autoSpaceDN w:val="0"/>
        <w:adjustRightInd w:val="0"/>
        <w:jc w:val="both"/>
        <w:rPr>
          <w:rFonts w:ascii="Arial" w:hAnsi="Arial" w:cs="Arial"/>
          <w:bCs/>
          <w:iCs/>
        </w:rPr>
      </w:pPr>
      <w:r w:rsidRPr="009940BB">
        <w:rPr>
          <w:rFonts w:ascii="Arial" w:hAnsi="Arial" w:cs="Arial"/>
          <w:bCs/>
          <w:iCs/>
        </w:rPr>
        <w:t>building closer relationships with feeder universities through career discussions and field placement programs</w:t>
      </w:r>
    </w:p>
    <w:p w:rsidR="00E42E06" w:rsidRPr="009940BB" w:rsidRDefault="00E42E06" w:rsidP="00E42E06">
      <w:pPr>
        <w:pStyle w:val="ListParagraph"/>
        <w:numPr>
          <w:ilvl w:val="0"/>
          <w:numId w:val="20"/>
        </w:numPr>
        <w:autoSpaceDE w:val="0"/>
        <w:autoSpaceDN w:val="0"/>
        <w:adjustRightInd w:val="0"/>
        <w:jc w:val="both"/>
        <w:rPr>
          <w:rFonts w:ascii="Arial" w:hAnsi="Arial" w:cs="Arial"/>
          <w:bCs/>
          <w:iCs/>
        </w:rPr>
      </w:pPr>
      <w:r w:rsidRPr="009940BB">
        <w:rPr>
          <w:rFonts w:ascii="Arial" w:hAnsi="Arial" w:cs="Arial"/>
          <w:bCs/>
          <w:iCs/>
        </w:rPr>
        <w:t>promoting and supporting the implementation of flexible working arrangements</w:t>
      </w:r>
    </w:p>
    <w:p w:rsidR="00E42E06" w:rsidRPr="00E42E06" w:rsidRDefault="00E42E06" w:rsidP="00E42E06">
      <w:pPr>
        <w:pStyle w:val="ListParagraph"/>
        <w:numPr>
          <w:ilvl w:val="0"/>
          <w:numId w:val="20"/>
        </w:numPr>
        <w:autoSpaceDE w:val="0"/>
        <w:autoSpaceDN w:val="0"/>
        <w:adjustRightInd w:val="0"/>
        <w:jc w:val="both"/>
        <w:rPr>
          <w:rFonts w:ascii="Arial" w:hAnsi="Arial" w:cs="Arial"/>
          <w:bCs/>
          <w:iCs/>
        </w:rPr>
      </w:pPr>
      <w:r w:rsidRPr="00BD25A2">
        <w:rPr>
          <w:rFonts w:ascii="Arial" w:hAnsi="Arial" w:cs="Arial"/>
          <w:bCs/>
          <w:iCs/>
        </w:rPr>
        <w:t>proactively seeking feedback from former child safety staff to understand why they leave and help inform further retention strategies.</w:t>
      </w:r>
    </w:p>
    <w:p w:rsidR="00E42E06" w:rsidRPr="00E42E06" w:rsidRDefault="00E42E06" w:rsidP="00E42E06">
      <w:pPr>
        <w:spacing w:before="240"/>
        <w:jc w:val="both"/>
        <w:rPr>
          <w:rFonts w:cs="Arial"/>
          <w:b/>
        </w:rPr>
      </w:pPr>
      <w:r w:rsidRPr="00E42E06">
        <w:rPr>
          <w:rFonts w:cs="Arial"/>
          <w:b/>
        </w:rPr>
        <w:t>Practice Response team</w:t>
      </w:r>
    </w:p>
    <w:p w:rsidR="00E42E06" w:rsidRPr="00E42E06" w:rsidRDefault="00E42E06" w:rsidP="00E42E06">
      <w:pPr>
        <w:autoSpaceDE w:val="0"/>
        <w:autoSpaceDN w:val="0"/>
        <w:adjustRightInd w:val="0"/>
        <w:jc w:val="both"/>
        <w:rPr>
          <w:rFonts w:cs="Arial"/>
          <w:bCs/>
          <w:iCs/>
        </w:rPr>
      </w:pPr>
      <w:r w:rsidRPr="00E42E06">
        <w:rPr>
          <w:rFonts w:cs="Arial"/>
          <w:bCs/>
          <w:iCs/>
        </w:rPr>
        <w:t>A Practice Response team has been established to provide an onsite service to service centres and regional units experiencing urgent and emergent issues in practice, systems, staff development and service delivery. This includes six experienced staff. The Practice Response team has a focus on working with regions to achieve sustainable change. The feedback from regions has been very positive.</w:t>
      </w:r>
    </w:p>
    <w:p w:rsidR="00E42E06" w:rsidRDefault="00E42E06" w:rsidP="00E42E06">
      <w:pPr>
        <w:autoSpaceDE w:val="0"/>
        <w:autoSpaceDN w:val="0"/>
        <w:adjustRightInd w:val="0"/>
        <w:jc w:val="both"/>
        <w:rPr>
          <w:rFonts w:cs="Arial"/>
          <w:bCs/>
          <w:iCs/>
        </w:rPr>
      </w:pPr>
      <w:r w:rsidRPr="00E42E06">
        <w:rPr>
          <w:rFonts w:cs="Arial"/>
          <w:bCs/>
          <w:iCs/>
        </w:rPr>
        <w:t xml:space="preserve">The response themes have primarily been focused on developing new staff through coaching and modelling best practice with families, children and young people and facilitating reflective practice processes to promote learning for staff. Other themes include increasing leadership capability and supervision practices and strengthening business processes, including the implementation of predictive planning in a number of service centres.  </w:t>
      </w:r>
    </w:p>
    <w:p w:rsidR="00E42E06" w:rsidRDefault="00E42E06" w:rsidP="00E42E06">
      <w:pPr>
        <w:autoSpaceDE w:val="0"/>
        <w:autoSpaceDN w:val="0"/>
        <w:adjustRightInd w:val="0"/>
        <w:jc w:val="both"/>
        <w:rPr>
          <w:rFonts w:cs="Arial"/>
          <w:bCs/>
          <w:iCs/>
        </w:rPr>
      </w:pPr>
      <w:r w:rsidRPr="00E42E06">
        <w:rPr>
          <w:rFonts w:cs="Arial"/>
          <w:bCs/>
          <w:iCs/>
        </w:rPr>
        <w:t>This approach has been well received, with feedback indicating that staff feel energised by the investment of time and resources to walk alongside them in their work with families, as well as supporting them to develop strategies that they can sustain post the team’s involvement.</w:t>
      </w:r>
    </w:p>
    <w:p w:rsidR="00E42E06" w:rsidRPr="00E42E06" w:rsidRDefault="00E42E06" w:rsidP="00E42E06">
      <w:pPr>
        <w:autoSpaceDE w:val="0"/>
        <w:autoSpaceDN w:val="0"/>
        <w:adjustRightInd w:val="0"/>
        <w:jc w:val="both"/>
        <w:rPr>
          <w:rFonts w:cs="Arial"/>
          <w:bCs/>
          <w:iCs/>
        </w:rPr>
      </w:pPr>
    </w:p>
    <w:p w:rsidR="003E7FD3" w:rsidRPr="00BD25A2" w:rsidRDefault="003E7FD3" w:rsidP="003E7FD3">
      <w:pPr>
        <w:autoSpaceDE w:val="0"/>
        <w:autoSpaceDN w:val="0"/>
        <w:adjustRightInd w:val="0"/>
        <w:jc w:val="both"/>
        <w:rPr>
          <w:rFonts w:cs="Arial"/>
          <w:b/>
          <w:sz w:val="20"/>
          <w:szCs w:val="20"/>
        </w:rPr>
      </w:pPr>
      <w:r w:rsidRPr="00BD25A2">
        <w:rPr>
          <w:rFonts w:cs="Arial"/>
          <w:b/>
          <w:sz w:val="20"/>
          <w:szCs w:val="20"/>
        </w:rPr>
        <w:t>Case Study: Practice Response team</w:t>
      </w:r>
    </w:p>
    <w:p w:rsidR="003E7FD3" w:rsidRPr="00BD25A2" w:rsidRDefault="003E7FD3" w:rsidP="003E7FD3">
      <w:pPr>
        <w:autoSpaceDE w:val="0"/>
        <w:autoSpaceDN w:val="0"/>
        <w:adjustRightInd w:val="0"/>
        <w:jc w:val="both"/>
        <w:rPr>
          <w:rFonts w:cs="Arial"/>
          <w:bCs/>
          <w:iCs/>
          <w:sz w:val="20"/>
          <w:szCs w:val="20"/>
        </w:rPr>
      </w:pPr>
      <w:r w:rsidRPr="00BD25A2">
        <w:rPr>
          <w:rFonts w:cs="Arial"/>
          <w:bCs/>
          <w:iCs/>
          <w:sz w:val="20"/>
          <w:szCs w:val="20"/>
        </w:rPr>
        <w:t xml:space="preserve">The team provided an on-site response to a Child Safety Service Centre to assist staff to strengthen the interface between the court process and child protection practice. The team partnered with the Office of the Child and Family Official Solicitor to provide training for staff on court processes, facilitated learning circles to critically reflect on working with families according to the principles of the </w:t>
      </w:r>
      <w:r w:rsidRPr="00BD25A2">
        <w:rPr>
          <w:rFonts w:cs="Arial"/>
          <w:bCs/>
          <w:i/>
          <w:iCs/>
          <w:sz w:val="20"/>
          <w:szCs w:val="20"/>
        </w:rPr>
        <w:t>Child Protection Act 1999</w:t>
      </w:r>
      <w:r w:rsidRPr="00BD25A2">
        <w:rPr>
          <w:rFonts w:cs="Arial"/>
          <w:bCs/>
          <w:iCs/>
          <w:sz w:val="20"/>
          <w:szCs w:val="20"/>
        </w:rPr>
        <w:t xml:space="preserve"> and assessment of families in the reunification phase of intervention, and coached staff to improve the timeliness of court work and the quality of evidence.  The team also supported the CSSC to implement predictive planning across the workgroup.</w:t>
      </w:r>
    </w:p>
    <w:p w:rsidR="00676189" w:rsidRDefault="00676189" w:rsidP="00DD5024">
      <w:pPr>
        <w:spacing w:before="240"/>
        <w:jc w:val="both"/>
        <w:rPr>
          <w:rFonts w:cs="Arial"/>
          <w:b/>
        </w:rPr>
      </w:pPr>
    </w:p>
    <w:p w:rsidR="00C641B1" w:rsidRPr="00222159" w:rsidRDefault="00222159" w:rsidP="00DD5024">
      <w:pPr>
        <w:spacing w:before="240"/>
        <w:jc w:val="both"/>
        <w:rPr>
          <w:rFonts w:cs="Arial"/>
          <w:b/>
        </w:rPr>
      </w:pPr>
      <w:r w:rsidRPr="00222159">
        <w:rPr>
          <w:rFonts w:cs="Arial"/>
          <w:b/>
        </w:rPr>
        <w:t>Quality Improvement Program</w:t>
      </w:r>
    </w:p>
    <w:p w:rsidR="00C641B1" w:rsidRPr="00222159" w:rsidRDefault="00C641B1" w:rsidP="00DD5024">
      <w:pPr>
        <w:autoSpaceDE w:val="0"/>
        <w:autoSpaceDN w:val="0"/>
        <w:adjustRightInd w:val="0"/>
        <w:spacing w:after="0"/>
        <w:jc w:val="both"/>
        <w:rPr>
          <w:rFonts w:eastAsiaTheme="minorHAnsi" w:cs="Arial"/>
          <w:szCs w:val="22"/>
          <w:lang w:eastAsia="en-US"/>
        </w:rPr>
      </w:pPr>
      <w:r w:rsidRPr="00222159">
        <w:rPr>
          <w:rFonts w:eastAsiaTheme="minorHAnsi" w:cs="Arial"/>
          <w:szCs w:val="22"/>
          <w:lang w:eastAsia="en-US"/>
        </w:rPr>
        <w:t>The Quality Improvement Program (QIP) has been established</w:t>
      </w:r>
      <w:r w:rsidR="00F42DD3">
        <w:rPr>
          <w:rFonts w:eastAsiaTheme="minorHAnsi" w:cs="Arial"/>
          <w:szCs w:val="22"/>
          <w:lang w:eastAsia="en-US"/>
        </w:rPr>
        <w:t xml:space="preserve"> in 2017-18</w:t>
      </w:r>
      <w:r w:rsidRPr="00222159">
        <w:rPr>
          <w:rFonts w:eastAsiaTheme="minorHAnsi" w:cs="Arial"/>
          <w:szCs w:val="22"/>
          <w:lang w:eastAsia="en-US"/>
        </w:rPr>
        <w:t xml:space="preserve"> to strengthen and enhance the department’s capacity to provide quality child protection services for children and families. The QIP processes will focus on quality practice, effective business systems and processes, data quality and leadership development.  </w:t>
      </w:r>
    </w:p>
    <w:p w:rsidR="00222159" w:rsidRPr="00222159" w:rsidRDefault="00222159" w:rsidP="00DD5024">
      <w:pPr>
        <w:autoSpaceDE w:val="0"/>
        <w:autoSpaceDN w:val="0"/>
        <w:adjustRightInd w:val="0"/>
        <w:spacing w:after="0"/>
        <w:jc w:val="both"/>
        <w:rPr>
          <w:rFonts w:eastAsiaTheme="minorHAnsi" w:cs="Arial"/>
          <w:szCs w:val="22"/>
          <w:lang w:eastAsia="en-US"/>
        </w:rPr>
      </w:pPr>
    </w:p>
    <w:p w:rsidR="00222159" w:rsidRPr="00222159" w:rsidRDefault="00222159" w:rsidP="00DD5024">
      <w:pPr>
        <w:autoSpaceDE w:val="0"/>
        <w:autoSpaceDN w:val="0"/>
        <w:adjustRightInd w:val="0"/>
        <w:spacing w:after="0"/>
        <w:jc w:val="both"/>
        <w:rPr>
          <w:rFonts w:eastAsiaTheme="minorHAnsi" w:cs="Arial"/>
          <w:szCs w:val="22"/>
          <w:lang w:eastAsia="en-US"/>
        </w:rPr>
      </w:pPr>
      <w:r w:rsidRPr="00222159">
        <w:rPr>
          <w:rFonts w:eastAsiaTheme="minorHAnsi" w:cs="Arial"/>
          <w:szCs w:val="22"/>
          <w:lang w:eastAsia="en-US"/>
        </w:rPr>
        <w:t xml:space="preserve">A Continuous Quality Improvement (CQI) process is a collaborative process with a </w:t>
      </w:r>
      <w:r w:rsidR="00C6661D" w:rsidRPr="00222159">
        <w:rPr>
          <w:rFonts w:eastAsiaTheme="minorHAnsi" w:cs="Arial"/>
          <w:szCs w:val="22"/>
          <w:lang w:eastAsia="en-US"/>
        </w:rPr>
        <w:t>Child Safety Service Centre</w:t>
      </w:r>
      <w:r w:rsidRPr="00222159">
        <w:rPr>
          <w:rFonts w:eastAsiaTheme="minorHAnsi" w:cs="Arial"/>
          <w:szCs w:val="22"/>
          <w:lang w:eastAsia="en-US"/>
        </w:rPr>
        <w:t xml:space="preserve"> to assess service delivery against standards and quality indicators. The </w:t>
      </w:r>
      <w:r w:rsidRPr="00222159">
        <w:rPr>
          <w:rFonts w:eastAsiaTheme="minorHAnsi" w:cs="Arial"/>
          <w:szCs w:val="22"/>
          <w:lang w:eastAsia="en-US"/>
        </w:rPr>
        <w:lastRenderedPageBreak/>
        <w:t>process aims to identify strengths, areas of effective practice and opportunities for improvement. The CQI process is part of QIP.</w:t>
      </w:r>
    </w:p>
    <w:p w:rsidR="00222159" w:rsidRPr="00222159" w:rsidRDefault="00222159" w:rsidP="00DD5024">
      <w:pPr>
        <w:autoSpaceDE w:val="0"/>
        <w:autoSpaceDN w:val="0"/>
        <w:adjustRightInd w:val="0"/>
        <w:spacing w:after="0"/>
        <w:jc w:val="both"/>
        <w:rPr>
          <w:rFonts w:eastAsiaTheme="minorHAnsi" w:cs="Arial"/>
          <w:szCs w:val="22"/>
          <w:lang w:eastAsia="en-US"/>
        </w:rPr>
      </w:pPr>
    </w:p>
    <w:p w:rsidR="00222159" w:rsidRPr="00222159" w:rsidRDefault="00222159" w:rsidP="00DD5024">
      <w:pPr>
        <w:autoSpaceDE w:val="0"/>
        <w:autoSpaceDN w:val="0"/>
        <w:adjustRightInd w:val="0"/>
        <w:spacing w:after="0"/>
        <w:jc w:val="both"/>
        <w:rPr>
          <w:rFonts w:eastAsiaTheme="minorHAnsi" w:cs="Arial"/>
          <w:szCs w:val="22"/>
          <w:lang w:eastAsia="en-US"/>
        </w:rPr>
      </w:pPr>
      <w:r w:rsidRPr="00222159">
        <w:rPr>
          <w:rFonts w:eastAsiaTheme="minorHAnsi" w:cs="Arial"/>
          <w:szCs w:val="22"/>
          <w:lang w:eastAsia="en-US"/>
        </w:rPr>
        <w:t xml:space="preserve">The CQI process involves gathering and analysing information and data; obtaining feedback </w:t>
      </w:r>
      <w:r w:rsidR="00402197">
        <w:rPr>
          <w:rFonts w:eastAsiaTheme="minorHAnsi" w:cs="Arial"/>
          <w:szCs w:val="22"/>
          <w:lang w:eastAsia="en-US"/>
        </w:rPr>
        <w:t xml:space="preserve">from departmental staff and stakeholders (including parents, young people, foster and kinships carers and agencies, other government and non-government partner agencies) </w:t>
      </w:r>
      <w:r w:rsidRPr="00222159">
        <w:rPr>
          <w:rFonts w:eastAsiaTheme="minorHAnsi" w:cs="Arial"/>
          <w:szCs w:val="22"/>
          <w:lang w:eastAsia="en-US"/>
        </w:rPr>
        <w:t>on work processes, practices and outcomes</w:t>
      </w:r>
      <w:r w:rsidR="00402197">
        <w:rPr>
          <w:rFonts w:eastAsiaTheme="minorHAnsi" w:cs="Arial"/>
          <w:szCs w:val="22"/>
          <w:lang w:eastAsia="en-US"/>
        </w:rPr>
        <w:t xml:space="preserve"> </w:t>
      </w:r>
      <w:r w:rsidRPr="00222159">
        <w:rPr>
          <w:rFonts w:eastAsiaTheme="minorHAnsi" w:cs="Arial"/>
          <w:szCs w:val="22"/>
          <w:lang w:eastAsia="en-US"/>
        </w:rPr>
        <w:t>; and making suggestions for improvements that will result in better outcomes for children, young people, parents and families.</w:t>
      </w:r>
    </w:p>
    <w:p w:rsidR="00C641B1" w:rsidRPr="00222159" w:rsidRDefault="00C641B1" w:rsidP="00DD5024">
      <w:pPr>
        <w:autoSpaceDE w:val="0"/>
        <w:autoSpaceDN w:val="0"/>
        <w:adjustRightInd w:val="0"/>
        <w:spacing w:after="0"/>
        <w:jc w:val="both"/>
        <w:rPr>
          <w:rFonts w:eastAsiaTheme="minorHAnsi" w:cs="Arial"/>
          <w:szCs w:val="22"/>
          <w:lang w:eastAsia="en-US"/>
        </w:rPr>
      </w:pPr>
    </w:p>
    <w:p w:rsidR="00C641B1" w:rsidRPr="00222159" w:rsidRDefault="00C641B1" w:rsidP="00DD5024">
      <w:pPr>
        <w:autoSpaceDE w:val="0"/>
        <w:autoSpaceDN w:val="0"/>
        <w:adjustRightInd w:val="0"/>
        <w:spacing w:after="0"/>
        <w:jc w:val="both"/>
        <w:rPr>
          <w:rFonts w:eastAsiaTheme="minorHAnsi" w:cs="Arial"/>
          <w:szCs w:val="22"/>
          <w:lang w:eastAsia="en-US"/>
        </w:rPr>
      </w:pPr>
      <w:r w:rsidRPr="00222159">
        <w:rPr>
          <w:rFonts w:eastAsiaTheme="minorHAnsi" w:cs="Arial"/>
          <w:szCs w:val="22"/>
          <w:lang w:eastAsia="en-US"/>
        </w:rPr>
        <w:t>In 2017-18</w:t>
      </w:r>
      <w:r w:rsidR="00A14F48" w:rsidRPr="00222159">
        <w:rPr>
          <w:rFonts w:eastAsiaTheme="minorHAnsi" w:cs="Arial"/>
          <w:szCs w:val="22"/>
          <w:lang w:eastAsia="en-US"/>
        </w:rPr>
        <w:t>,</w:t>
      </w:r>
      <w:r w:rsidRPr="00222159">
        <w:rPr>
          <w:rFonts w:eastAsiaTheme="minorHAnsi" w:cs="Arial"/>
          <w:szCs w:val="22"/>
          <w:lang w:eastAsia="en-US"/>
        </w:rPr>
        <w:t xml:space="preserve"> </w:t>
      </w:r>
      <w:r w:rsidR="00222159" w:rsidRPr="00222159">
        <w:rPr>
          <w:rFonts w:eastAsiaTheme="minorHAnsi" w:cs="Arial"/>
          <w:szCs w:val="22"/>
          <w:lang w:eastAsia="en-US"/>
        </w:rPr>
        <w:t xml:space="preserve">CQI processes </w:t>
      </w:r>
      <w:r w:rsidRPr="00222159">
        <w:rPr>
          <w:rFonts w:eastAsiaTheme="minorHAnsi" w:cs="Arial"/>
          <w:szCs w:val="22"/>
          <w:lang w:eastAsia="en-US"/>
        </w:rPr>
        <w:t xml:space="preserve">were </w:t>
      </w:r>
      <w:r w:rsidR="00222159" w:rsidRPr="00222159">
        <w:rPr>
          <w:rFonts w:eastAsiaTheme="minorHAnsi" w:cs="Arial"/>
          <w:szCs w:val="22"/>
          <w:lang w:eastAsia="en-US"/>
        </w:rPr>
        <w:t xml:space="preserve">undertaken </w:t>
      </w:r>
      <w:r w:rsidRPr="00222159">
        <w:rPr>
          <w:rFonts w:eastAsiaTheme="minorHAnsi" w:cs="Arial"/>
          <w:szCs w:val="22"/>
          <w:lang w:eastAsia="en-US"/>
        </w:rPr>
        <w:t xml:space="preserve">with nine Child Safety Service Centres with a further </w:t>
      </w:r>
      <w:r w:rsidR="00A14F48" w:rsidRPr="00222159">
        <w:rPr>
          <w:rFonts w:eastAsiaTheme="minorHAnsi" w:cs="Arial"/>
          <w:szCs w:val="22"/>
          <w:lang w:eastAsia="en-US"/>
        </w:rPr>
        <w:t xml:space="preserve">13 </w:t>
      </w:r>
      <w:r w:rsidR="00222159" w:rsidRPr="00222159">
        <w:rPr>
          <w:rFonts w:eastAsiaTheme="minorHAnsi" w:cs="Arial"/>
          <w:szCs w:val="22"/>
          <w:lang w:eastAsia="en-US"/>
        </w:rPr>
        <w:t>CQI processes</w:t>
      </w:r>
      <w:r w:rsidRPr="00222159">
        <w:rPr>
          <w:rFonts w:eastAsiaTheme="minorHAnsi" w:cs="Arial"/>
          <w:szCs w:val="22"/>
          <w:lang w:eastAsia="en-US"/>
        </w:rPr>
        <w:t xml:space="preserve"> planned to occur by the end of 2018.</w:t>
      </w:r>
    </w:p>
    <w:p w:rsidR="00C641B1" w:rsidRPr="00222159" w:rsidRDefault="00C641B1" w:rsidP="00DD5024">
      <w:pPr>
        <w:autoSpaceDE w:val="0"/>
        <w:autoSpaceDN w:val="0"/>
        <w:adjustRightInd w:val="0"/>
        <w:spacing w:after="0"/>
        <w:jc w:val="both"/>
        <w:rPr>
          <w:rFonts w:eastAsiaTheme="minorHAnsi" w:cs="Arial"/>
          <w:szCs w:val="22"/>
          <w:lang w:eastAsia="en-US"/>
        </w:rPr>
      </w:pPr>
    </w:p>
    <w:p w:rsidR="00724215" w:rsidRPr="00DD5024" w:rsidRDefault="00C641B1" w:rsidP="00DD5024">
      <w:pPr>
        <w:autoSpaceDE w:val="0"/>
        <w:autoSpaceDN w:val="0"/>
        <w:adjustRightInd w:val="0"/>
        <w:spacing w:after="0"/>
        <w:jc w:val="both"/>
        <w:rPr>
          <w:rFonts w:eastAsiaTheme="minorHAnsi" w:cs="Arial"/>
          <w:szCs w:val="22"/>
          <w:lang w:eastAsia="en-US"/>
        </w:rPr>
      </w:pPr>
      <w:r w:rsidRPr="00222159">
        <w:rPr>
          <w:rFonts w:eastAsiaTheme="minorHAnsi" w:cs="Arial"/>
          <w:szCs w:val="22"/>
          <w:lang w:eastAsia="en-US"/>
        </w:rPr>
        <w:t xml:space="preserve">As part of the establishment of the QIP team further analysis will be undertaken in conjunction with regions to identify and monitor current work loads of Service Centres.  This will include reporting mechanisms that alert Regional Directors and Regional Executive Directors that </w:t>
      </w:r>
      <w:r w:rsidRPr="00DD5024">
        <w:rPr>
          <w:rFonts w:eastAsiaTheme="minorHAnsi" w:cs="Arial"/>
          <w:szCs w:val="22"/>
          <w:lang w:eastAsia="en-US"/>
        </w:rPr>
        <w:t>individual workloads need to be monitored and supports implemented where necessary.</w:t>
      </w:r>
    </w:p>
    <w:p w:rsidR="00D87322" w:rsidRDefault="00D87322" w:rsidP="00DD5024">
      <w:pPr>
        <w:autoSpaceDE w:val="0"/>
        <w:autoSpaceDN w:val="0"/>
        <w:adjustRightInd w:val="0"/>
        <w:spacing w:after="0"/>
        <w:jc w:val="both"/>
        <w:rPr>
          <w:rFonts w:eastAsiaTheme="minorHAnsi" w:cs="Arial"/>
          <w:szCs w:val="22"/>
          <w:lang w:eastAsia="en-US"/>
        </w:rPr>
      </w:pPr>
    </w:p>
    <w:p w:rsidR="003E7FD3" w:rsidRPr="00DD5024" w:rsidRDefault="003E7FD3" w:rsidP="00DD5024">
      <w:pPr>
        <w:autoSpaceDE w:val="0"/>
        <w:autoSpaceDN w:val="0"/>
        <w:adjustRightInd w:val="0"/>
        <w:spacing w:after="0"/>
        <w:jc w:val="both"/>
        <w:rPr>
          <w:rFonts w:eastAsiaTheme="minorHAnsi" w:cs="Arial"/>
          <w:szCs w:val="22"/>
          <w:lang w:eastAsia="en-US"/>
        </w:rPr>
      </w:pPr>
    </w:p>
    <w:p w:rsidR="003E7FD3" w:rsidRPr="007D0F7C" w:rsidRDefault="003E7FD3" w:rsidP="003E7FD3">
      <w:pPr>
        <w:autoSpaceDE w:val="0"/>
        <w:autoSpaceDN w:val="0"/>
        <w:adjustRightInd w:val="0"/>
        <w:jc w:val="both"/>
        <w:rPr>
          <w:rFonts w:cs="Arial"/>
          <w:b/>
          <w:sz w:val="20"/>
          <w:szCs w:val="20"/>
        </w:rPr>
      </w:pPr>
      <w:r w:rsidRPr="007D0F7C">
        <w:rPr>
          <w:rFonts w:cs="Arial"/>
          <w:b/>
          <w:sz w:val="20"/>
          <w:szCs w:val="20"/>
        </w:rPr>
        <w:t xml:space="preserve">Case Study: </w:t>
      </w:r>
      <w:r>
        <w:rPr>
          <w:rFonts w:cs="Arial"/>
          <w:b/>
          <w:sz w:val="20"/>
          <w:szCs w:val="20"/>
        </w:rPr>
        <w:t>Quality Improvement Program</w:t>
      </w:r>
    </w:p>
    <w:p w:rsidR="003E7FD3" w:rsidRPr="00BD25A2" w:rsidRDefault="003E7FD3" w:rsidP="003E7FD3">
      <w:pPr>
        <w:autoSpaceDE w:val="0"/>
        <w:autoSpaceDN w:val="0"/>
        <w:adjustRightInd w:val="0"/>
        <w:jc w:val="both"/>
        <w:rPr>
          <w:rFonts w:cs="Arial"/>
          <w:bCs/>
          <w:iCs/>
          <w:sz w:val="20"/>
          <w:szCs w:val="20"/>
        </w:rPr>
      </w:pPr>
      <w:r w:rsidRPr="00BD25A2">
        <w:rPr>
          <w:rFonts w:cs="Arial"/>
          <w:bCs/>
          <w:iCs/>
          <w:sz w:val="20"/>
          <w:szCs w:val="20"/>
        </w:rPr>
        <w:t xml:space="preserve">A full Continuous Quality Improvement process in a Child Safety Service Centre identified inconsistent engagement with the Cultural Practice Advisor and some relationship breakdown with the Recognised Entity as barriers to departmental staff engaging effectively with Aboriginal and Torres Strait Islander children, young people and families. </w:t>
      </w:r>
    </w:p>
    <w:p w:rsidR="003E7FD3" w:rsidRPr="00BD25A2" w:rsidRDefault="003E7FD3" w:rsidP="003E7FD3">
      <w:pPr>
        <w:autoSpaceDE w:val="0"/>
        <w:autoSpaceDN w:val="0"/>
        <w:adjustRightInd w:val="0"/>
        <w:jc w:val="both"/>
        <w:rPr>
          <w:rFonts w:cs="Arial"/>
          <w:bCs/>
          <w:iCs/>
          <w:sz w:val="20"/>
          <w:szCs w:val="20"/>
        </w:rPr>
      </w:pPr>
      <w:r w:rsidRPr="00BD25A2">
        <w:rPr>
          <w:rFonts w:cs="Arial"/>
          <w:bCs/>
          <w:iCs/>
          <w:sz w:val="20"/>
          <w:szCs w:val="20"/>
        </w:rPr>
        <w:t>Following feedback from this process, the Child Safety Service Centre Manager worked closely with the Cultural Practice Advisor, the Recognised Entity and Child Safety staff to clarify roles and responsibilities, remove any systems barriers and put in place processes to support greater collaboration and engagement with children, young people and families.</w:t>
      </w:r>
    </w:p>
    <w:p w:rsidR="003E7FD3" w:rsidRPr="00BD25A2" w:rsidRDefault="003E7FD3" w:rsidP="003E7FD3">
      <w:pPr>
        <w:autoSpaceDE w:val="0"/>
        <w:autoSpaceDN w:val="0"/>
        <w:adjustRightInd w:val="0"/>
        <w:jc w:val="both"/>
        <w:rPr>
          <w:rFonts w:cs="Arial"/>
          <w:bCs/>
          <w:iCs/>
          <w:sz w:val="20"/>
          <w:szCs w:val="20"/>
        </w:rPr>
      </w:pPr>
      <w:r w:rsidRPr="00BD25A2">
        <w:rPr>
          <w:rFonts w:cs="Arial"/>
          <w:bCs/>
          <w:iCs/>
          <w:sz w:val="20"/>
          <w:szCs w:val="20"/>
        </w:rPr>
        <w:t>As a result, all engagement with Aboriginal and Torres Strait Islander children, young people and families for this Child Safety Service Centre now involves either the Cultural Practice Advisor and/or the Recognised Entity, whichever is appropriate, and staff are building their cultural capability. </w:t>
      </w:r>
      <w:r w:rsidRPr="00BD25A2" w:rsidDel="00204138">
        <w:rPr>
          <w:rFonts w:cs="Arial"/>
          <w:bCs/>
          <w:iCs/>
          <w:sz w:val="20"/>
          <w:szCs w:val="20"/>
        </w:rPr>
        <w:t xml:space="preserve"> </w:t>
      </w:r>
    </w:p>
    <w:p w:rsidR="00D87322" w:rsidRPr="00DD5024" w:rsidRDefault="00D87322" w:rsidP="00DD5024">
      <w:pPr>
        <w:autoSpaceDE w:val="0"/>
        <w:autoSpaceDN w:val="0"/>
        <w:adjustRightInd w:val="0"/>
        <w:spacing w:after="0"/>
        <w:jc w:val="both"/>
        <w:rPr>
          <w:rFonts w:eastAsiaTheme="minorHAnsi" w:cs="Arial"/>
          <w:szCs w:val="22"/>
          <w:lang w:eastAsia="en-US"/>
        </w:rPr>
      </w:pPr>
    </w:p>
    <w:p w:rsidR="00D87322" w:rsidRPr="00DD5024" w:rsidRDefault="00D87322" w:rsidP="00DD5024">
      <w:pPr>
        <w:autoSpaceDE w:val="0"/>
        <w:autoSpaceDN w:val="0"/>
        <w:adjustRightInd w:val="0"/>
        <w:spacing w:after="0"/>
        <w:jc w:val="both"/>
        <w:rPr>
          <w:rFonts w:eastAsiaTheme="minorHAnsi" w:cs="Arial"/>
          <w:szCs w:val="22"/>
          <w:lang w:eastAsia="en-US"/>
        </w:rPr>
      </w:pPr>
    </w:p>
    <w:p w:rsidR="00E42E06" w:rsidRDefault="00E42E06">
      <w:pPr>
        <w:spacing w:after="0"/>
        <w:rPr>
          <w:rFonts w:cs="Arial"/>
          <w:b/>
          <w:bCs/>
          <w:kern w:val="32"/>
          <w:sz w:val="48"/>
          <w:szCs w:val="32"/>
        </w:rPr>
      </w:pPr>
      <w:bookmarkStart w:id="103" w:name="_Toc524517397"/>
      <w:r>
        <w:br w:type="page"/>
      </w:r>
    </w:p>
    <w:p w:rsidR="00771EEB" w:rsidRDefault="00771EEB" w:rsidP="007231D9">
      <w:pPr>
        <w:pStyle w:val="Heading1"/>
        <w:spacing w:before="480"/>
      </w:pPr>
      <w:r w:rsidRPr="0073301E">
        <w:lastRenderedPageBreak/>
        <w:t xml:space="preserve">Appendix </w:t>
      </w:r>
      <w:r w:rsidR="0026529A">
        <w:t>A</w:t>
      </w:r>
      <w:bookmarkStart w:id="104" w:name="_Toc463008563"/>
      <w:bookmarkStart w:id="105" w:name="_Toc463343811"/>
      <w:r w:rsidR="000338CB">
        <w:t xml:space="preserve">: </w:t>
      </w:r>
      <w:r w:rsidRPr="003B038A">
        <w:t xml:space="preserve">Panel </w:t>
      </w:r>
      <w:r w:rsidR="00682B9A" w:rsidRPr="003B038A">
        <w:t>c</w:t>
      </w:r>
      <w:r w:rsidRPr="003B038A">
        <w:t>omposition</w:t>
      </w:r>
      <w:bookmarkEnd w:id="104"/>
      <w:bookmarkEnd w:id="105"/>
      <w:r w:rsidR="000338CB">
        <w:t>s</w:t>
      </w:r>
      <w:bookmarkEnd w:id="103"/>
    </w:p>
    <w:p w:rsidR="00634434" w:rsidRPr="005E75B1" w:rsidRDefault="00634434" w:rsidP="005E75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7673"/>
      </w:tblGrid>
      <w:tr w:rsidR="005E75B1" w:rsidRPr="00A71533" w:rsidTr="00D127D1">
        <w:trPr>
          <w:cantSplit/>
        </w:trPr>
        <w:tc>
          <w:tcPr>
            <w:tcW w:w="1413" w:type="dxa"/>
            <w:shd w:val="clear" w:color="auto" w:fill="auto"/>
          </w:tcPr>
          <w:p w:rsidR="005E75B1" w:rsidRPr="00511AFF" w:rsidRDefault="005E75B1" w:rsidP="00D127D1">
            <w:pPr>
              <w:spacing w:before="120" w:after="0"/>
              <w:jc w:val="both"/>
              <w:rPr>
                <w:rFonts w:cs="Arial"/>
                <w:b/>
              </w:rPr>
            </w:pPr>
            <w:r w:rsidRPr="00511AFF">
              <w:rPr>
                <w:rFonts w:cs="Arial"/>
                <w:b/>
              </w:rPr>
              <w:t xml:space="preserve">Panel </w:t>
            </w:r>
            <w:r>
              <w:rPr>
                <w:rFonts w:cs="Arial"/>
                <w:b/>
              </w:rPr>
              <w:t>37</w:t>
            </w:r>
          </w:p>
        </w:tc>
        <w:tc>
          <w:tcPr>
            <w:tcW w:w="7829" w:type="dxa"/>
            <w:shd w:val="clear" w:color="auto" w:fill="auto"/>
          </w:tcPr>
          <w:p w:rsidR="005E75B1" w:rsidRPr="00511AFF" w:rsidRDefault="005E75B1" w:rsidP="00D127D1">
            <w:pPr>
              <w:tabs>
                <w:tab w:val="left" w:pos="2975"/>
              </w:tabs>
              <w:spacing w:before="120"/>
              <w:rPr>
                <w:rFonts w:eastAsia="Calibri"/>
              </w:rPr>
            </w:pPr>
            <w:r w:rsidRPr="00511AFF">
              <w:rPr>
                <w:rFonts w:eastAsia="Calibri"/>
              </w:rPr>
              <w:t>Theme:</w:t>
            </w:r>
            <w:r w:rsidRPr="00511AFF">
              <w:rPr>
                <w:rFonts w:eastAsia="Calibri"/>
              </w:rPr>
              <w:tab/>
            </w:r>
            <w:r>
              <w:rPr>
                <w:rFonts w:eastAsia="Calibri"/>
              </w:rPr>
              <w:t>Adolescents</w:t>
            </w:r>
          </w:p>
          <w:p w:rsidR="005E75B1" w:rsidRDefault="005E75B1" w:rsidP="00D127D1">
            <w:pPr>
              <w:tabs>
                <w:tab w:val="left" w:pos="2975"/>
              </w:tabs>
              <w:spacing w:after="0"/>
              <w:rPr>
                <w:rFonts w:eastAsia="Calibri"/>
              </w:rPr>
            </w:pPr>
            <w:r w:rsidRPr="007231D9">
              <w:rPr>
                <w:rFonts w:eastAsia="Calibri"/>
              </w:rPr>
              <w:t>External members:</w:t>
            </w:r>
            <w:r w:rsidRPr="007231D9">
              <w:rPr>
                <w:rFonts w:eastAsia="Calibri"/>
              </w:rPr>
              <w:tab/>
            </w:r>
            <w:r>
              <w:rPr>
                <w:rFonts w:eastAsia="Calibri"/>
              </w:rPr>
              <w:t>Dr Nicola Murdock (Chair)</w:t>
            </w:r>
          </w:p>
          <w:p w:rsidR="005E75B1" w:rsidRDefault="005E75B1" w:rsidP="00D127D1">
            <w:pPr>
              <w:tabs>
                <w:tab w:val="left" w:pos="2975"/>
              </w:tabs>
              <w:spacing w:after="0"/>
              <w:ind w:left="2982"/>
              <w:rPr>
                <w:rFonts w:eastAsia="Calibri"/>
              </w:rPr>
            </w:pPr>
            <w:r>
              <w:rPr>
                <w:rFonts w:eastAsia="Calibri"/>
              </w:rPr>
              <w:t xml:space="preserve">Ms Shanna Quinn </w:t>
            </w:r>
          </w:p>
          <w:p w:rsidR="005E75B1" w:rsidRDefault="005E75B1" w:rsidP="00D127D1">
            <w:pPr>
              <w:tabs>
                <w:tab w:val="left" w:pos="2975"/>
              </w:tabs>
              <w:spacing w:after="0"/>
              <w:ind w:left="2982"/>
              <w:rPr>
                <w:rFonts w:eastAsia="Calibri"/>
              </w:rPr>
            </w:pPr>
            <w:r>
              <w:rPr>
                <w:rFonts w:eastAsia="Calibri"/>
              </w:rPr>
              <w:t>Ms Raelene Ward</w:t>
            </w:r>
          </w:p>
          <w:p w:rsidR="005E75B1" w:rsidRDefault="005E75B1" w:rsidP="00D127D1">
            <w:pPr>
              <w:tabs>
                <w:tab w:val="left" w:pos="2975"/>
              </w:tabs>
              <w:spacing w:after="0"/>
              <w:ind w:left="2982"/>
              <w:rPr>
                <w:rFonts w:eastAsia="Calibri"/>
              </w:rPr>
            </w:pPr>
            <w:r>
              <w:rPr>
                <w:rFonts w:eastAsia="Calibri"/>
              </w:rPr>
              <w:t xml:space="preserve">Dr Deborah Walsh </w:t>
            </w:r>
          </w:p>
          <w:p w:rsidR="005E75B1" w:rsidRPr="007231D9" w:rsidRDefault="005E75B1" w:rsidP="00D127D1">
            <w:pPr>
              <w:tabs>
                <w:tab w:val="left" w:pos="2975"/>
              </w:tabs>
              <w:spacing w:before="120"/>
              <w:rPr>
                <w:rFonts w:eastAsia="Calibri"/>
              </w:rPr>
            </w:pPr>
            <w:r w:rsidRPr="007231D9">
              <w:rPr>
                <w:rFonts w:eastAsia="Calibri"/>
              </w:rPr>
              <w:t>Other government agency:</w:t>
            </w:r>
            <w:r w:rsidRPr="007231D9">
              <w:rPr>
                <w:rFonts w:eastAsia="Calibri"/>
              </w:rPr>
              <w:tab/>
            </w:r>
            <w:r>
              <w:rPr>
                <w:rFonts w:eastAsia="Calibri"/>
              </w:rPr>
              <w:t xml:space="preserve">Professor Stephen Stathis </w:t>
            </w:r>
          </w:p>
          <w:p w:rsidR="005E75B1" w:rsidRPr="007231D9" w:rsidRDefault="005E75B1" w:rsidP="00D127D1">
            <w:pPr>
              <w:tabs>
                <w:tab w:val="left" w:pos="2975"/>
              </w:tabs>
              <w:spacing w:before="120"/>
              <w:rPr>
                <w:rFonts w:eastAsia="Calibri"/>
              </w:rPr>
            </w:pPr>
            <w:r w:rsidRPr="007231D9">
              <w:rPr>
                <w:rFonts w:eastAsia="Calibri"/>
              </w:rPr>
              <w:t>Departmental officer:</w:t>
            </w:r>
            <w:r w:rsidRPr="007231D9">
              <w:rPr>
                <w:rFonts w:eastAsia="Calibri"/>
              </w:rPr>
              <w:tab/>
            </w:r>
            <w:r>
              <w:rPr>
                <w:rFonts w:eastAsia="Calibri"/>
              </w:rPr>
              <w:t>Ms Barbara Shaw</w:t>
            </w:r>
          </w:p>
          <w:p w:rsidR="005E75B1" w:rsidRPr="007231D9" w:rsidRDefault="005E75B1" w:rsidP="00D127D1">
            <w:pPr>
              <w:tabs>
                <w:tab w:val="left" w:pos="2975"/>
              </w:tabs>
              <w:spacing w:before="120"/>
              <w:rPr>
                <w:rFonts w:eastAsia="Calibri"/>
              </w:rPr>
            </w:pPr>
            <w:r w:rsidRPr="007231D9">
              <w:rPr>
                <w:rFonts w:eastAsia="Calibri"/>
              </w:rPr>
              <w:t>Meeting date:</w:t>
            </w:r>
            <w:r w:rsidRPr="007231D9">
              <w:rPr>
                <w:rFonts w:eastAsia="Calibri"/>
              </w:rPr>
              <w:tab/>
            </w:r>
            <w:r>
              <w:rPr>
                <w:rFonts w:eastAsia="Calibri"/>
              </w:rPr>
              <w:t>3 July 2017</w:t>
            </w:r>
          </w:p>
          <w:p w:rsidR="005E75B1" w:rsidRPr="007231D9" w:rsidRDefault="005E75B1" w:rsidP="00CD69FA">
            <w:pPr>
              <w:tabs>
                <w:tab w:val="left" w:pos="2975"/>
              </w:tabs>
              <w:spacing w:after="0"/>
              <w:rPr>
                <w:rFonts w:eastAsia="Calibri"/>
              </w:rPr>
            </w:pPr>
            <w:r w:rsidRPr="007231D9">
              <w:rPr>
                <w:rFonts w:eastAsia="Calibri"/>
              </w:rPr>
              <w:t>Date report</w:t>
            </w:r>
            <w:r w:rsidR="001F1D91">
              <w:rPr>
                <w:rFonts w:eastAsia="Calibri"/>
              </w:rPr>
              <w:t>s</w:t>
            </w:r>
            <w:r w:rsidRPr="007231D9">
              <w:rPr>
                <w:rFonts w:eastAsia="Calibri"/>
              </w:rPr>
              <w:t xml:space="preserve"> delivered to</w:t>
            </w:r>
          </w:p>
          <w:p w:rsidR="00CD69FA" w:rsidRDefault="005E75B1" w:rsidP="00CD69FA">
            <w:pPr>
              <w:tabs>
                <w:tab w:val="left" w:pos="2975"/>
              </w:tabs>
              <w:spacing w:after="0"/>
              <w:rPr>
                <w:rFonts w:eastAsia="Calibri"/>
              </w:rPr>
            </w:pPr>
            <w:r w:rsidRPr="007231D9">
              <w:rPr>
                <w:rFonts w:eastAsia="Calibri"/>
              </w:rPr>
              <w:t>Director-General</w:t>
            </w:r>
            <w:r w:rsidR="007001F2">
              <w:rPr>
                <w:rFonts w:eastAsia="Calibri"/>
              </w:rPr>
              <w:t xml:space="preserve"> </w:t>
            </w:r>
          </w:p>
          <w:p w:rsidR="00CD69FA" w:rsidRDefault="007001F2" w:rsidP="00CD69FA">
            <w:pPr>
              <w:tabs>
                <w:tab w:val="left" w:pos="2975"/>
              </w:tabs>
              <w:spacing w:after="0"/>
              <w:rPr>
                <w:rFonts w:eastAsia="Calibri"/>
              </w:rPr>
            </w:pPr>
            <w:r>
              <w:rPr>
                <w:rFonts w:eastAsia="Calibri"/>
              </w:rPr>
              <w:t xml:space="preserve">and Director of Child </w:t>
            </w:r>
          </w:p>
          <w:p w:rsidR="005E75B1" w:rsidRPr="00511AFF" w:rsidRDefault="007001F2" w:rsidP="005B507A">
            <w:pPr>
              <w:tabs>
                <w:tab w:val="left" w:pos="2975"/>
              </w:tabs>
              <w:rPr>
                <w:rFonts w:cs="Arial"/>
              </w:rPr>
            </w:pPr>
            <w:r>
              <w:rPr>
                <w:rFonts w:eastAsia="Calibri"/>
              </w:rPr>
              <w:t>Protection Litigation</w:t>
            </w:r>
            <w:r w:rsidR="005E75B1" w:rsidRPr="00511AFF">
              <w:rPr>
                <w:rFonts w:eastAsia="Calibri"/>
              </w:rPr>
              <w:t>:</w:t>
            </w:r>
            <w:r w:rsidR="005E75B1" w:rsidRPr="00511AFF">
              <w:rPr>
                <w:rFonts w:eastAsia="Calibri"/>
              </w:rPr>
              <w:tab/>
            </w:r>
            <w:r w:rsidR="005E75B1">
              <w:rPr>
                <w:rFonts w:eastAsia="Calibri"/>
              </w:rPr>
              <w:t>19 October 2017</w:t>
            </w:r>
          </w:p>
        </w:tc>
      </w:tr>
      <w:tr w:rsidR="005E75B1" w:rsidRPr="00410545" w:rsidTr="0021051A">
        <w:trPr>
          <w:cantSplit/>
        </w:trPr>
        <w:tc>
          <w:tcPr>
            <w:tcW w:w="1413" w:type="dxa"/>
            <w:shd w:val="clear" w:color="auto" w:fill="auto"/>
          </w:tcPr>
          <w:p w:rsidR="005E75B1" w:rsidRDefault="005E75B1" w:rsidP="005E75B1">
            <w:pPr>
              <w:spacing w:before="120" w:after="0"/>
              <w:jc w:val="both"/>
              <w:rPr>
                <w:rFonts w:cs="Arial"/>
                <w:b/>
              </w:rPr>
            </w:pPr>
            <w:r w:rsidRPr="000D3A36">
              <w:rPr>
                <w:rFonts w:cs="Arial"/>
                <w:b/>
              </w:rPr>
              <w:t xml:space="preserve">Panel </w:t>
            </w:r>
            <w:r>
              <w:rPr>
                <w:rFonts w:cs="Arial"/>
                <w:b/>
              </w:rPr>
              <w:t>38</w:t>
            </w:r>
          </w:p>
        </w:tc>
        <w:tc>
          <w:tcPr>
            <w:tcW w:w="7829" w:type="dxa"/>
            <w:shd w:val="clear" w:color="auto" w:fill="auto"/>
          </w:tcPr>
          <w:p w:rsidR="005E75B1" w:rsidRPr="000D3A36" w:rsidRDefault="005E75B1" w:rsidP="005E75B1">
            <w:pPr>
              <w:tabs>
                <w:tab w:val="left" w:pos="2975"/>
              </w:tabs>
              <w:spacing w:before="120"/>
              <w:rPr>
                <w:rFonts w:eastAsia="Calibri"/>
              </w:rPr>
            </w:pPr>
            <w:r w:rsidRPr="000D3A36">
              <w:rPr>
                <w:rFonts w:eastAsia="Calibri"/>
              </w:rPr>
              <w:t>Theme:</w:t>
            </w:r>
            <w:r w:rsidRPr="000D3A36">
              <w:rPr>
                <w:rFonts w:eastAsia="Calibri"/>
              </w:rPr>
              <w:tab/>
            </w:r>
            <w:r>
              <w:rPr>
                <w:rFonts w:eastAsia="Calibri"/>
              </w:rPr>
              <w:t>Accidental</w:t>
            </w:r>
            <w:r w:rsidR="006B346E">
              <w:rPr>
                <w:rFonts w:eastAsia="Calibri"/>
              </w:rPr>
              <w:t xml:space="preserve"> (Drowning)</w:t>
            </w:r>
          </w:p>
          <w:p w:rsidR="005E75B1" w:rsidRDefault="005E75B1" w:rsidP="005E75B1">
            <w:pPr>
              <w:tabs>
                <w:tab w:val="left" w:pos="2975"/>
              </w:tabs>
              <w:spacing w:after="0"/>
              <w:jc w:val="both"/>
              <w:rPr>
                <w:rFonts w:eastAsia="Calibri"/>
              </w:rPr>
            </w:pPr>
            <w:r w:rsidRPr="007231D9">
              <w:rPr>
                <w:rFonts w:eastAsia="Calibri"/>
              </w:rPr>
              <w:t>External members:</w:t>
            </w:r>
            <w:r w:rsidRPr="007231D9">
              <w:rPr>
                <w:rFonts w:eastAsia="Calibri"/>
              </w:rPr>
              <w:tab/>
            </w:r>
            <w:r>
              <w:rPr>
                <w:rFonts w:eastAsia="Calibri"/>
              </w:rPr>
              <w:t xml:space="preserve">Dr Nicola Murdock (Chair) </w:t>
            </w:r>
          </w:p>
          <w:p w:rsidR="005E75B1" w:rsidRDefault="005E75B1" w:rsidP="005E75B1">
            <w:pPr>
              <w:tabs>
                <w:tab w:val="left" w:pos="2975"/>
              </w:tabs>
              <w:spacing w:after="0"/>
              <w:ind w:left="2982"/>
              <w:rPr>
                <w:rFonts w:eastAsia="Calibri"/>
              </w:rPr>
            </w:pPr>
            <w:r>
              <w:rPr>
                <w:rFonts w:eastAsia="Calibri"/>
              </w:rPr>
              <w:t xml:space="preserve">Ms Susan Teerds </w:t>
            </w:r>
          </w:p>
          <w:p w:rsidR="005E75B1" w:rsidRDefault="005E75B1" w:rsidP="005E75B1">
            <w:pPr>
              <w:tabs>
                <w:tab w:val="left" w:pos="2975"/>
              </w:tabs>
              <w:spacing w:after="0"/>
              <w:ind w:left="2982"/>
              <w:rPr>
                <w:rFonts w:eastAsia="Calibri"/>
              </w:rPr>
            </w:pPr>
            <w:r>
              <w:rPr>
                <w:rFonts w:eastAsia="Calibri"/>
              </w:rPr>
              <w:t xml:space="preserve">Associate Professor Kirsten Vallmuur </w:t>
            </w:r>
          </w:p>
          <w:p w:rsidR="005E75B1" w:rsidRPr="007231D9" w:rsidRDefault="005E75B1" w:rsidP="005E75B1">
            <w:pPr>
              <w:tabs>
                <w:tab w:val="left" w:pos="2975"/>
              </w:tabs>
              <w:spacing w:after="0"/>
              <w:ind w:left="2982"/>
              <w:rPr>
                <w:rFonts w:eastAsia="Calibri"/>
              </w:rPr>
            </w:pPr>
            <w:r>
              <w:rPr>
                <w:rFonts w:eastAsia="Calibri"/>
              </w:rPr>
              <w:t xml:space="preserve">Ms Raelene Ward </w:t>
            </w:r>
          </w:p>
          <w:p w:rsidR="005E75B1" w:rsidRPr="007231D9" w:rsidRDefault="005E75B1" w:rsidP="005E75B1">
            <w:pPr>
              <w:tabs>
                <w:tab w:val="left" w:pos="2975"/>
              </w:tabs>
              <w:spacing w:before="120"/>
              <w:jc w:val="both"/>
              <w:rPr>
                <w:rFonts w:eastAsia="Calibri"/>
              </w:rPr>
            </w:pPr>
            <w:r w:rsidRPr="007231D9">
              <w:rPr>
                <w:rFonts w:eastAsia="Calibri"/>
              </w:rPr>
              <w:t>Other government agency:</w:t>
            </w:r>
            <w:r w:rsidRPr="007231D9">
              <w:rPr>
                <w:rFonts w:eastAsia="Calibri"/>
              </w:rPr>
              <w:tab/>
            </w:r>
            <w:r>
              <w:rPr>
                <w:rFonts w:eastAsia="Calibri"/>
              </w:rPr>
              <w:t xml:space="preserve">Detective Senior Sergeant Christopher Hansel </w:t>
            </w:r>
          </w:p>
          <w:p w:rsidR="005E75B1" w:rsidRPr="007231D9" w:rsidRDefault="005E75B1" w:rsidP="005E75B1">
            <w:pPr>
              <w:tabs>
                <w:tab w:val="left" w:pos="2975"/>
              </w:tabs>
              <w:spacing w:before="120"/>
              <w:jc w:val="both"/>
              <w:rPr>
                <w:rFonts w:eastAsia="Calibri"/>
              </w:rPr>
            </w:pPr>
            <w:r w:rsidRPr="007231D9">
              <w:rPr>
                <w:rFonts w:eastAsia="Calibri"/>
              </w:rPr>
              <w:t>Departmental officer:</w:t>
            </w:r>
            <w:r w:rsidRPr="007231D9">
              <w:rPr>
                <w:rFonts w:eastAsia="Calibri"/>
              </w:rPr>
              <w:tab/>
            </w:r>
            <w:r>
              <w:rPr>
                <w:rFonts w:eastAsia="Calibri"/>
              </w:rPr>
              <w:t>Ms Megan Giles</w:t>
            </w:r>
          </w:p>
          <w:p w:rsidR="005E75B1" w:rsidRPr="007231D9" w:rsidRDefault="005E75B1" w:rsidP="005E75B1">
            <w:pPr>
              <w:tabs>
                <w:tab w:val="left" w:pos="2975"/>
              </w:tabs>
              <w:spacing w:before="120"/>
              <w:jc w:val="both"/>
              <w:rPr>
                <w:rFonts w:eastAsia="Calibri"/>
              </w:rPr>
            </w:pPr>
            <w:r w:rsidRPr="007231D9">
              <w:rPr>
                <w:rFonts w:eastAsia="Calibri"/>
              </w:rPr>
              <w:t>Meeting date:</w:t>
            </w:r>
            <w:r w:rsidRPr="007231D9">
              <w:rPr>
                <w:rFonts w:eastAsia="Calibri"/>
              </w:rPr>
              <w:tab/>
            </w:r>
            <w:r>
              <w:rPr>
                <w:rFonts w:eastAsia="Calibri"/>
              </w:rPr>
              <w:t xml:space="preserve">1 August 2017 </w:t>
            </w:r>
          </w:p>
          <w:p w:rsidR="005E75B1" w:rsidRPr="007231D9" w:rsidRDefault="005E75B1" w:rsidP="005E75B1">
            <w:pPr>
              <w:tabs>
                <w:tab w:val="left" w:pos="3042"/>
              </w:tabs>
              <w:spacing w:after="0"/>
              <w:jc w:val="both"/>
              <w:rPr>
                <w:rFonts w:eastAsia="Calibri"/>
              </w:rPr>
            </w:pPr>
            <w:r w:rsidRPr="007231D9">
              <w:rPr>
                <w:rFonts w:eastAsia="Calibri"/>
              </w:rPr>
              <w:t>Date report delivered to</w:t>
            </w:r>
          </w:p>
          <w:p w:rsidR="005E75B1" w:rsidRPr="007231D9" w:rsidRDefault="005E75B1" w:rsidP="005E75B1">
            <w:pPr>
              <w:tabs>
                <w:tab w:val="left" w:pos="2975"/>
              </w:tabs>
              <w:jc w:val="both"/>
              <w:rPr>
                <w:rFonts w:eastAsia="Calibri"/>
              </w:rPr>
            </w:pPr>
            <w:r w:rsidRPr="007231D9">
              <w:rPr>
                <w:rFonts w:eastAsia="Calibri"/>
              </w:rPr>
              <w:t>Director-General</w:t>
            </w:r>
            <w:r w:rsidRPr="000D3A36">
              <w:rPr>
                <w:rFonts w:eastAsia="Calibri"/>
              </w:rPr>
              <w:t>:</w:t>
            </w:r>
            <w:r w:rsidRPr="000D3A36">
              <w:rPr>
                <w:rFonts w:eastAsia="Calibri"/>
              </w:rPr>
              <w:tab/>
            </w:r>
            <w:r>
              <w:rPr>
                <w:rFonts w:eastAsia="Calibri"/>
              </w:rPr>
              <w:t xml:space="preserve">13 October 2017 </w:t>
            </w:r>
          </w:p>
        </w:tc>
      </w:tr>
      <w:tr w:rsidR="005E75B1" w:rsidRPr="00A71533" w:rsidTr="00D127D1">
        <w:trPr>
          <w:cantSplit/>
        </w:trPr>
        <w:tc>
          <w:tcPr>
            <w:tcW w:w="1413" w:type="dxa"/>
            <w:shd w:val="clear" w:color="auto" w:fill="auto"/>
          </w:tcPr>
          <w:p w:rsidR="005E75B1" w:rsidRPr="00DC61FC" w:rsidRDefault="005E75B1" w:rsidP="005E75B1">
            <w:pPr>
              <w:spacing w:before="120" w:after="0"/>
              <w:jc w:val="both"/>
              <w:rPr>
                <w:rFonts w:cs="Arial"/>
                <w:b/>
              </w:rPr>
            </w:pPr>
            <w:r>
              <w:br w:type="page"/>
            </w:r>
            <w:r>
              <w:rPr>
                <w:rFonts w:cs="Arial"/>
                <w:b/>
              </w:rPr>
              <w:t>Panel 39</w:t>
            </w:r>
          </w:p>
        </w:tc>
        <w:tc>
          <w:tcPr>
            <w:tcW w:w="7829" w:type="dxa"/>
            <w:shd w:val="clear" w:color="auto" w:fill="auto"/>
          </w:tcPr>
          <w:p w:rsidR="005E75B1" w:rsidRPr="00DC61FC" w:rsidRDefault="005E75B1" w:rsidP="005E75B1">
            <w:pPr>
              <w:tabs>
                <w:tab w:val="left" w:pos="2975"/>
              </w:tabs>
              <w:spacing w:before="120"/>
              <w:rPr>
                <w:rFonts w:eastAsia="Calibri"/>
              </w:rPr>
            </w:pPr>
            <w:r w:rsidRPr="00DC61FC">
              <w:rPr>
                <w:rFonts w:eastAsia="Calibri"/>
              </w:rPr>
              <w:t>Theme:</w:t>
            </w:r>
            <w:r w:rsidRPr="00DC61FC">
              <w:rPr>
                <w:rFonts w:eastAsia="Calibri"/>
              </w:rPr>
              <w:tab/>
            </w:r>
            <w:r>
              <w:rPr>
                <w:rFonts w:eastAsia="Calibri"/>
              </w:rPr>
              <w:t>Suicide</w:t>
            </w:r>
          </w:p>
          <w:p w:rsidR="005E75B1" w:rsidRDefault="005E75B1" w:rsidP="005E75B1">
            <w:pPr>
              <w:tabs>
                <w:tab w:val="left" w:pos="2975"/>
              </w:tabs>
              <w:spacing w:after="0"/>
              <w:jc w:val="both"/>
              <w:rPr>
                <w:rFonts w:eastAsia="Calibri"/>
              </w:rPr>
            </w:pPr>
            <w:r w:rsidRPr="007231D9">
              <w:rPr>
                <w:rFonts w:eastAsia="Calibri"/>
              </w:rPr>
              <w:t>External members:</w:t>
            </w:r>
            <w:r w:rsidRPr="007231D9">
              <w:rPr>
                <w:rFonts w:eastAsia="Calibri"/>
              </w:rPr>
              <w:tab/>
            </w:r>
            <w:r>
              <w:rPr>
                <w:rFonts w:eastAsia="Calibri"/>
              </w:rPr>
              <w:t xml:space="preserve">Ms Shanna Quinn (Chair) </w:t>
            </w:r>
          </w:p>
          <w:p w:rsidR="005E75B1" w:rsidRDefault="005E75B1" w:rsidP="005E75B1">
            <w:pPr>
              <w:tabs>
                <w:tab w:val="left" w:pos="2975"/>
              </w:tabs>
              <w:spacing w:after="0"/>
              <w:ind w:left="2982"/>
              <w:rPr>
                <w:rFonts w:eastAsia="Calibri"/>
              </w:rPr>
            </w:pPr>
            <w:r>
              <w:rPr>
                <w:rFonts w:eastAsia="Calibri"/>
              </w:rPr>
              <w:t>Mr Clinton Schultz</w:t>
            </w:r>
          </w:p>
          <w:p w:rsidR="005E75B1" w:rsidRDefault="005E75B1" w:rsidP="009E4A38">
            <w:pPr>
              <w:tabs>
                <w:tab w:val="left" w:pos="2975"/>
              </w:tabs>
              <w:spacing w:after="0"/>
              <w:ind w:left="2982"/>
              <w:rPr>
                <w:rFonts w:eastAsia="Calibri"/>
              </w:rPr>
            </w:pPr>
            <w:r>
              <w:rPr>
                <w:rFonts w:eastAsia="Calibri"/>
              </w:rPr>
              <w:t>Dr Kairi Kolves</w:t>
            </w:r>
          </w:p>
          <w:p w:rsidR="005E75B1" w:rsidRPr="007231D9" w:rsidRDefault="005E75B1" w:rsidP="009E4A38">
            <w:pPr>
              <w:tabs>
                <w:tab w:val="left" w:pos="2975"/>
              </w:tabs>
              <w:spacing w:before="120" w:after="0"/>
              <w:rPr>
                <w:rFonts w:eastAsia="Calibri"/>
              </w:rPr>
            </w:pPr>
            <w:r w:rsidRPr="007231D9">
              <w:rPr>
                <w:rFonts w:eastAsia="Calibri"/>
              </w:rPr>
              <w:t>Other government agency:</w:t>
            </w:r>
            <w:r w:rsidRPr="007231D9">
              <w:rPr>
                <w:rFonts w:eastAsia="Calibri"/>
              </w:rPr>
              <w:tab/>
            </w:r>
            <w:r>
              <w:rPr>
                <w:rFonts w:eastAsia="Calibri"/>
              </w:rPr>
              <w:t xml:space="preserve">Professor Stephen Stathis  </w:t>
            </w:r>
          </w:p>
          <w:p w:rsidR="005E75B1" w:rsidRPr="007231D9" w:rsidRDefault="005E75B1" w:rsidP="005E75B1">
            <w:pPr>
              <w:tabs>
                <w:tab w:val="left" w:pos="2975"/>
              </w:tabs>
              <w:spacing w:before="120"/>
              <w:jc w:val="both"/>
              <w:rPr>
                <w:rFonts w:eastAsia="Calibri"/>
              </w:rPr>
            </w:pPr>
            <w:r w:rsidRPr="007231D9">
              <w:rPr>
                <w:rFonts w:eastAsia="Calibri"/>
              </w:rPr>
              <w:t>Departmental officer:</w:t>
            </w:r>
            <w:r w:rsidRPr="007231D9">
              <w:rPr>
                <w:rFonts w:eastAsia="Calibri"/>
              </w:rPr>
              <w:tab/>
            </w:r>
            <w:r>
              <w:rPr>
                <w:rFonts w:eastAsia="Calibri"/>
              </w:rPr>
              <w:t>Ms Bernadette Harvey</w:t>
            </w:r>
          </w:p>
          <w:p w:rsidR="005E75B1" w:rsidRPr="007231D9" w:rsidRDefault="005E75B1" w:rsidP="005E75B1">
            <w:pPr>
              <w:tabs>
                <w:tab w:val="left" w:pos="2975"/>
              </w:tabs>
              <w:spacing w:before="120"/>
              <w:jc w:val="both"/>
              <w:rPr>
                <w:rFonts w:eastAsia="Calibri"/>
              </w:rPr>
            </w:pPr>
            <w:r w:rsidRPr="007231D9">
              <w:rPr>
                <w:rFonts w:eastAsia="Calibri"/>
              </w:rPr>
              <w:t>Meeting date:</w:t>
            </w:r>
            <w:r w:rsidRPr="007231D9">
              <w:rPr>
                <w:rFonts w:eastAsia="Calibri"/>
              </w:rPr>
              <w:tab/>
            </w:r>
            <w:r>
              <w:rPr>
                <w:rFonts w:eastAsia="Calibri"/>
              </w:rPr>
              <w:t>24 August 2017</w:t>
            </w:r>
          </w:p>
          <w:p w:rsidR="005E75B1" w:rsidRPr="007231D9" w:rsidRDefault="005E75B1" w:rsidP="005E75B1">
            <w:pPr>
              <w:tabs>
                <w:tab w:val="left" w:pos="3042"/>
              </w:tabs>
              <w:spacing w:after="0"/>
              <w:jc w:val="both"/>
              <w:rPr>
                <w:rFonts w:eastAsia="Calibri"/>
              </w:rPr>
            </w:pPr>
            <w:r w:rsidRPr="007231D9">
              <w:rPr>
                <w:rFonts w:eastAsia="Calibri"/>
              </w:rPr>
              <w:t>Date report delivered to</w:t>
            </w:r>
          </w:p>
          <w:p w:rsidR="005E75B1" w:rsidRPr="007231D9" w:rsidRDefault="005E75B1" w:rsidP="005E75B1">
            <w:pPr>
              <w:tabs>
                <w:tab w:val="left" w:pos="2975"/>
              </w:tabs>
              <w:jc w:val="both"/>
              <w:rPr>
                <w:rFonts w:eastAsia="Calibri"/>
              </w:rPr>
            </w:pPr>
            <w:r w:rsidRPr="007231D9">
              <w:rPr>
                <w:rFonts w:eastAsia="Calibri"/>
              </w:rPr>
              <w:t>Director-General</w:t>
            </w:r>
            <w:r w:rsidRPr="00DC61FC">
              <w:rPr>
                <w:rFonts w:eastAsia="Calibri"/>
              </w:rPr>
              <w:t>:</w:t>
            </w:r>
            <w:r w:rsidRPr="00DC61FC">
              <w:rPr>
                <w:rFonts w:eastAsia="Calibri"/>
              </w:rPr>
              <w:tab/>
            </w:r>
            <w:r>
              <w:rPr>
                <w:rFonts w:eastAsia="Calibri"/>
              </w:rPr>
              <w:t>3 October 2017</w:t>
            </w:r>
          </w:p>
        </w:tc>
      </w:tr>
      <w:tr w:rsidR="005E75B1" w:rsidRPr="00410545" w:rsidTr="0021051A">
        <w:trPr>
          <w:cantSplit/>
        </w:trPr>
        <w:tc>
          <w:tcPr>
            <w:tcW w:w="1413" w:type="dxa"/>
            <w:shd w:val="clear" w:color="auto" w:fill="auto"/>
          </w:tcPr>
          <w:p w:rsidR="005E75B1" w:rsidRPr="00596CA0" w:rsidRDefault="005E75B1" w:rsidP="005E75B1">
            <w:pPr>
              <w:spacing w:before="120" w:after="0"/>
              <w:jc w:val="both"/>
              <w:rPr>
                <w:rFonts w:cs="Arial"/>
                <w:b/>
              </w:rPr>
            </w:pPr>
            <w:r>
              <w:rPr>
                <w:rFonts w:cs="Arial"/>
                <w:b/>
              </w:rPr>
              <w:lastRenderedPageBreak/>
              <w:t>Panel 40</w:t>
            </w:r>
          </w:p>
        </w:tc>
        <w:tc>
          <w:tcPr>
            <w:tcW w:w="7829" w:type="dxa"/>
            <w:shd w:val="clear" w:color="auto" w:fill="auto"/>
          </w:tcPr>
          <w:p w:rsidR="005E75B1" w:rsidRPr="00596CA0" w:rsidRDefault="005E75B1" w:rsidP="005E75B1">
            <w:pPr>
              <w:tabs>
                <w:tab w:val="left" w:pos="2975"/>
              </w:tabs>
              <w:spacing w:before="120"/>
              <w:rPr>
                <w:rFonts w:eastAsia="Calibri"/>
              </w:rPr>
            </w:pPr>
            <w:r>
              <w:rPr>
                <w:rFonts w:eastAsia="Calibri"/>
              </w:rPr>
              <w:t>Theme:</w:t>
            </w:r>
            <w:r>
              <w:rPr>
                <w:rFonts w:eastAsia="Calibri"/>
              </w:rPr>
              <w:tab/>
              <w:t xml:space="preserve">Accidental </w:t>
            </w:r>
          </w:p>
          <w:p w:rsidR="005E75B1" w:rsidRDefault="005E75B1" w:rsidP="005E75B1">
            <w:pPr>
              <w:tabs>
                <w:tab w:val="left" w:pos="2975"/>
              </w:tabs>
              <w:spacing w:after="0"/>
              <w:jc w:val="both"/>
              <w:rPr>
                <w:rFonts w:eastAsia="Calibri"/>
              </w:rPr>
            </w:pPr>
            <w:r w:rsidRPr="007231D9">
              <w:rPr>
                <w:rFonts w:eastAsia="Calibri"/>
              </w:rPr>
              <w:t>External members:</w:t>
            </w:r>
            <w:r w:rsidRPr="007231D9">
              <w:rPr>
                <w:rFonts w:eastAsia="Calibri"/>
              </w:rPr>
              <w:tab/>
            </w:r>
            <w:r>
              <w:rPr>
                <w:rFonts w:eastAsia="Calibri"/>
              </w:rPr>
              <w:t>Dr Nicola Murdock (Chair)</w:t>
            </w:r>
          </w:p>
          <w:p w:rsidR="005E75B1" w:rsidRDefault="005E75B1" w:rsidP="005E75B1">
            <w:pPr>
              <w:tabs>
                <w:tab w:val="left" w:pos="2975"/>
              </w:tabs>
              <w:spacing w:after="0"/>
              <w:ind w:left="2982"/>
              <w:rPr>
                <w:rFonts w:eastAsia="Calibri"/>
              </w:rPr>
            </w:pPr>
            <w:r>
              <w:rPr>
                <w:rFonts w:eastAsia="Calibri"/>
              </w:rPr>
              <w:t>Ms Shanna Quinn</w:t>
            </w:r>
          </w:p>
          <w:p w:rsidR="005E75B1" w:rsidRDefault="005E75B1" w:rsidP="005E75B1">
            <w:pPr>
              <w:tabs>
                <w:tab w:val="left" w:pos="2975"/>
              </w:tabs>
              <w:spacing w:after="0"/>
              <w:ind w:left="2982"/>
              <w:rPr>
                <w:rFonts w:eastAsia="Calibri"/>
              </w:rPr>
            </w:pPr>
            <w:r>
              <w:rPr>
                <w:rFonts w:eastAsia="Calibri"/>
              </w:rPr>
              <w:t>Ms Susan Teerds</w:t>
            </w:r>
          </w:p>
          <w:p w:rsidR="005E75B1" w:rsidRPr="007231D9" w:rsidRDefault="005E75B1" w:rsidP="005E75B1">
            <w:pPr>
              <w:tabs>
                <w:tab w:val="left" w:pos="2975"/>
              </w:tabs>
              <w:spacing w:after="0"/>
              <w:ind w:left="2982"/>
              <w:rPr>
                <w:rFonts w:eastAsia="Calibri"/>
              </w:rPr>
            </w:pPr>
            <w:r>
              <w:rPr>
                <w:rFonts w:eastAsia="Calibri"/>
              </w:rPr>
              <w:t>Associate Professor Kirsten Vallmuur</w:t>
            </w:r>
          </w:p>
          <w:p w:rsidR="005E75B1" w:rsidRPr="007231D9" w:rsidRDefault="005E75B1" w:rsidP="005E75B1">
            <w:pPr>
              <w:tabs>
                <w:tab w:val="left" w:pos="2975"/>
              </w:tabs>
              <w:spacing w:before="120"/>
              <w:jc w:val="both"/>
              <w:rPr>
                <w:rFonts w:eastAsia="Calibri"/>
              </w:rPr>
            </w:pPr>
            <w:r w:rsidRPr="007231D9">
              <w:rPr>
                <w:rFonts w:eastAsia="Calibri"/>
              </w:rPr>
              <w:t>Other government agency:</w:t>
            </w:r>
            <w:r w:rsidRPr="007231D9">
              <w:rPr>
                <w:rFonts w:eastAsia="Calibri"/>
              </w:rPr>
              <w:tab/>
            </w:r>
            <w:r>
              <w:rPr>
                <w:rFonts w:eastAsia="Calibri"/>
              </w:rPr>
              <w:t>Ms Julie Kinross</w:t>
            </w:r>
          </w:p>
          <w:p w:rsidR="005E75B1" w:rsidRPr="007231D9" w:rsidRDefault="005E75B1" w:rsidP="005E75B1">
            <w:pPr>
              <w:tabs>
                <w:tab w:val="left" w:pos="2975"/>
              </w:tabs>
              <w:spacing w:before="120"/>
              <w:jc w:val="both"/>
              <w:rPr>
                <w:rFonts w:eastAsia="Calibri"/>
              </w:rPr>
            </w:pPr>
            <w:r w:rsidRPr="007231D9">
              <w:rPr>
                <w:rFonts w:eastAsia="Calibri"/>
              </w:rPr>
              <w:t>Departmental officer:</w:t>
            </w:r>
            <w:r w:rsidRPr="007231D9">
              <w:rPr>
                <w:rFonts w:eastAsia="Calibri"/>
              </w:rPr>
              <w:tab/>
            </w:r>
            <w:r>
              <w:rPr>
                <w:rFonts w:eastAsia="Calibri"/>
              </w:rPr>
              <w:t>Mr Phillip Brooks</w:t>
            </w:r>
          </w:p>
          <w:p w:rsidR="005E75B1" w:rsidRPr="007231D9" w:rsidRDefault="005E75B1" w:rsidP="005E75B1">
            <w:pPr>
              <w:tabs>
                <w:tab w:val="left" w:pos="2975"/>
              </w:tabs>
              <w:spacing w:before="120"/>
              <w:jc w:val="both"/>
              <w:rPr>
                <w:rFonts w:eastAsia="Calibri"/>
              </w:rPr>
            </w:pPr>
            <w:r>
              <w:rPr>
                <w:rFonts w:eastAsia="Calibri"/>
              </w:rPr>
              <w:t>Meeting date:</w:t>
            </w:r>
            <w:r>
              <w:rPr>
                <w:rFonts w:eastAsia="Calibri"/>
              </w:rPr>
              <w:tab/>
              <w:t xml:space="preserve">1 September 2017 </w:t>
            </w:r>
          </w:p>
          <w:p w:rsidR="005E75B1" w:rsidRPr="007231D9" w:rsidRDefault="005E75B1" w:rsidP="005E75B1">
            <w:pPr>
              <w:tabs>
                <w:tab w:val="left" w:pos="3042"/>
              </w:tabs>
              <w:spacing w:after="0"/>
              <w:jc w:val="both"/>
              <w:rPr>
                <w:rFonts w:eastAsia="Calibri"/>
              </w:rPr>
            </w:pPr>
            <w:r w:rsidRPr="007231D9">
              <w:rPr>
                <w:rFonts w:eastAsia="Calibri"/>
              </w:rPr>
              <w:t>Date report delivered to</w:t>
            </w:r>
          </w:p>
          <w:p w:rsidR="005E75B1" w:rsidRPr="007231D9" w:rsidRDefault="005E75B1" w:rsidP="005E75B1">
            <w:pPr>
              <w:tabs>
                <w:tab w:val="left" w:pos="2975"/>
              </w:tabs>
              <w:jc w:val="both"/>
              <w:rPr>
                <w:rFonts w:eastAsia="Calibri"/>
              </w:rPr>
            </w:pPr>
            <w:r w:rsidRPr="007231D9">
              <w:rPr>
                <w:rFonts w:eastAsia="Calibri"/>
              </w:rPr>
              <w:t>Director-General</w:t>
            </w:r>
            <w:r w:rsidRPr="00596CA0">
              <w:rPr>
                <w:rFonts w:eastAsia="Calibri"/>
              </w:rPr>
              <w:t>:</w:t>
            </w:r>
            <w:r w:rsidRPr="00596CA0">
              <w:rPr>
                <w:rFonts w:eastAsia="Calibri"/>
              </w:rPr>
              <w:tab/>
            </w:r>
            <w:r>
              <w:rPr>
                <w:rFonts w:eastAsia="Calibri"/>
              </w:rPr>
              <w:t xml:space="preserve">13 November 2017 </w:t>
            </w:r>
          </w:p>
        </w:tc>
      </w:tr>
      <w:tr w:rsidR="005E75B1" w:rsidRPr="00410545" w:rsidTr="0021051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rsidR="005E75B1" w:rsidRPr="000B2CD5" w:rsidRDefault="005E75B1" w:rsidP="005E75B1">
            <w:pPr>
              <w:spacing w:before="120" w:after="0"/>
              <w:jc w:val="both"/>
              <w:rPr>
                <w:rFonts w:cs="Arial"/>
                <w:b/>
              </w:rPr>
            </w:pPr>
            <w:r>
              <w:rPr>
                <w:rFonts w:cs="Arial"/>
                <w:b/>
              </w:rPr>
              <w:t>Panel 41</w:t>
            </w:r>
          </w:p>
        </w:tc>
        <w:tc>
          <w:tcPr>
            <w:tcW w:w="7829" w:type="dxa"/>
            <w:tcBorders>
              <w:top w:val="single" w:sz="4" w:space="0" w:color="auto"/>
              <w:left w:val="single" w:sz="4" w:space="0" w:color="auto"/>
              <w:bottom w:val="single" w:sz="4" w:space="0" w:color="auto"/>
              <w:right w:val="single" w:sz="4" w:space="0" w:color="auto"/>
            </w:tcBorders>
            <w:shd w:val="clear" w:color="auto" w:fill="auto"/>
          </w:tcPr>
          <w:p w:rsidR="005E75B1" w:rsidRPr="000B2CD5" w:rsidRDefault="005E75B1" w:rsidP="005E75B1">
            <w:pPr>
              <w:tabs>
                <w:tab w:val="left" w:pos="2975"/>
              </w:tabs>
              <w:spacing w:before="120"/>
              <w:rPr>
                <w:rFonts w:eastAsia="Calibri"/>
              </w:rPr>
            </w:pPr>
            <w:r>
              <w:rPr>
                <w:rFonts w:eastAsia="Calibri"/>
              </w:rPr>
              <w:t>Theme:</w:t>
            </w:r>
            <w:r>
              <w:rPr>
                <w:rFonts w:eastAsia="Calibri"/>
              </w:rPr>
              <w:tab/>
              <w:t xml:space="preserve">Under 2 </w:t>
            </w:r>
          </w:p>
          <w:p w:rsidR="005E75B1" w:rsidRDefault="005E75B1" w:rsidP="005E75B1">
            <w:pPr>
              <w:tabs>
                <w:tab w:val="left" w:pos="2975"/>
              </w:tabs>
              <w:spacing w:after="0"/>
              <w:jc w:val="both"/>
              <w:rPr>
                <w:rFonts w:eastAsia="Calibri"/>
              </w:rPr>
            </w:pPr>
            <w:r w:rsidRPr="000B2CD5">
              <w:rPr>
                <w:rFonts w:eastAsia="Calibri"/>
              </w:rPr>
              <w:t>External members:</w:t>
            </w:r>
            <w:r w:rsidRPr="000B2CD5">
              <w:rPr>
                <w:rFonts w:eastAsia="Calibri"/>
              </w:rPr>
              <w:tab/>
            </w:r>
            <w:r>
              <w:rPr>
                <w:rFonts w:eastAsia="Calibri"/>
              </w:rPr>
              <w:t>Ms Raelene Ward (Chair)</w:t>
            </w:r>
          </w:p>
          <w:p w:rsidR="005E75B1" w:rsidRDefault="005E75B1" w:rsidP="005E75B1">
            <w:pPr>
              <w:tabs>
                <w:tab w:val="left" w:pos="2975"/>
              </w:tabs>
              <w:spacing w:after="0"/>
              <w:ind w:left="2982"/>
              <w:rPr>
                <w:rFonts w:eastAsia="Calibri"/>
              </w:rPr>
            </w:pPr>
            <w:r>
              <w:rPr>
                <w:rFonts w:eastAsia="Calibri"/>
              </w:rPr>
              <w:t>Professor Rosa Alati</w:t>
            </w:r>
          </w:p>
          <w:p w:rsidR="005E75B1" w:rsidRDefault="005E75B1" w:rsidP="005E75B1">
            <w:pPr>
              <w:tabs>
                <w:tab w:val="left" w:pos="2975"/>
              </w:tabs>
              <w:spacing w:after="0"/>
              <w:ind w:left="2982"/>
              <w:rPr>
                <w:rFonts w:eastAsia="Calibri"/>
              </w:rPr>
            </w:pPr>
            <w:r>
              <w:rPr>
                <w:rFonts w:eastAsia="Calibri"/>
              </w:rPr>
              <w:t>Ms Rebecca Shearman</w:t>
            </w:r>
          </w:p>
          <w:p w:rsidR="005E75B1" w:rsidRPr="007231D9" w:rsidRDefault="005E75B1" w:rsidP="005E75B1">
            <w:pPr>
              <w:tabs>
                <w:tab w:val="left" w:pos="2975"/>
              </w:tabs>
              <w:spacing w:after="0"/>
              <w:ind w:left="2982"/>
              <w:rPr>
                <w:rFonts w:eastAsia="Calibri"/>
              </w:rPr>
            </w:pPr>
            <w:r>
              <w:rPr>
                <w:rFonts w:eastAsia="Calibri"/>
              </w:rPr>
              <w:t>Professor Paul Colditz</w:t>
            </w:r>
          </w:p>
          <w:p w:rsidR="005E75B1" w:rsidRDefault="005E75B1" w:rsidP="005E75B1">
            <w:pPr>
              <w:tabs>
                <w:tab w:val="left" w:pos="2975"/>
              </w:tabs>
              <w:spacing w:after="0"/>
              <w:ind w:left="2880"/>
              <w:rPr>
                <w:rFonts w:eastAsia="Calibri"/>
              </w:rPr>
            </w:pPr>
          </w:p>
          <w:p w:rsidR="005E75B1" w:rsidRDefault="005E75B1" w:rsidP="005E75B1">
            <w:pPr>
              <w:tabs>
                <w:tab w:val="left" w:pos="2975"/>
              </w:tabs>
              <w:spacing w:after="0"/>
              <w:rPr>
                <w:rFonts w:eastAsia="Calibri"/>
              </w:rPr>
            </w:pPr>
            <w:r w:rsidRPr="000B2CD5">
              <w:rPr>
                <w:rFonts w:eastAsia="Calibri"/>
              </w:rPr>
              <w:t>Other government agency:</w:t>
            </w:r>
            <w:r w:rsidRPr="000B2CD5">
              <w:rPr>
                <w:rFonts w:eastAsia="Calibri"/>
              </w:rPr>
              <w:tab/>
            </w:r>
            <w:r>
              <w:rPr>
                <w:rFonts w:eastAsia="Calibri"/>
              </w:rPr>
              <w:t xml:space="preserve">Ms Hayley Stevenson </w:t>
            </w:r>
          </w:p>
          <w:p w:rsidR="005E75B1" w:rsidRDefault="005E75B1" w:rsidP="005E75B1">
            <w:pPr>
              <w:tabs>
                <w:tab w:val="left" w:pos="2975"/>
              </w:tabs>
              <w:spacing w:after="0"/>
              <w:rPr>
                <w:rFonts w:eastAsia="Calibri"/>
              </w:rPr>
            </w:pPr>
          </w:p>
          <w:p w:rsidR="005E75B1" w:rsidRDefault="005E75B1" w:rsidP="005E75B1">
            <w:pPr>
              <w:tabs>
                <w:tab w:val="left" w:pos="2975"/>
              </w:tabs>
              <w:spacing w:after="0"/>
              <w:rPr>
                <w:rFonts w:eastAsia="Calibri"/>
              </w:rPr>
            </w:pPr>
            <w:r w:rsidRPr="000B2CD5">
              <w:rPr>
                <w:rFonts w:eastAsia="Calibri"/>
              </w:rPr>
              <w:t>Departmental officer</w:t>
            </w:r>
            <w:r>
              <w:rPr>
                <w:rFonts w:eastAsia="Calibri"/>
              </w:rPr>
              <w:t>s</w:t>
            </w:r>
            <w:r w:rsidRPr="000B2CD5">
              <w:rPr>
                <w:rFonts w:eastAsia="Calibri"/>
              </w:rPr>
              <w:t>:</w:t>
            </w:r>
            <w:r w:rsidRPr="000B2CD5">
              <w:rPr>
                <w:rFonts w:eastAsia="Calibri"/>
              </w:rPr>
              <w:tab/>
            </w:r>
            <w:r>
              <w:rPr>
                <w:rFonts w:eastAsia="Calibri"/>
              </w:rPr>
              <w:t>Ms Tammy Myles</w:t>
            </w:r>
          </w:p>
          <w:p w:rsidR="005E75B1" w:rsidRPr="000B2CD5" w:rsidRDefault="005E75B1" w:rsidP="005E75B1">
            <w:pPr>
              <w:tabs>
                <w:tab w:val="left" w:pos="2975"/>
              </w:tabs>
              <w:spacing w:after="0"/>
              <w:ind w:left="2982"/>
              <w:rPr>
                <w:rFonts w:eastAsia="Calibri"/>
              </w:rPr>
            </w:pPr>
            <w:r>
              <w:rPr>
                <w:rFonts w:eastAsia="Calibri"/>
              </w:rPr>
              <w:t>Ms Susanne Le Boutillier</w:t>
            </w:r>
          </w:p>
          <w:p w:rsidR="005E75B1" w:rsidRPr="000B2CD5" w:rsidRDefault="005E75B1" w:rsidP="005E75B1">
            <w:pPr>
              <w:tabs>
                <w:tab w:val="left" w:pos="2975"/>
              </w:tabs>
              <w:spacing w:before="120"/>
              <w:rPr>
                <w:rFonts w:eastAsia="Calibri"/>
              </w:rPr>
            </w:pPr>
            <w:r w:rsidRPr="000B2CD5">
              <w:rPr>
                <w:rFonts w:eastAsia="Calibri"/>
              </w:rPr>
              <w:t>Meeting date:</w:t>
            </w:r>
            <w:r w:rsidRPr="000B2CD5">
              <w:rPr>
                <w:rFonts w:eastAsia="Calibri"/>
              </w:rPr>
              <w:tab/>
            </w:r>
            <w:r>
              <w:rPr>
                <w:rFonts w:eastAsia="Calibri"/>
              </w:rPr>
              <w:t>18 September 2017</w:t>
            </w:r>
          </w:p>
          <w:p w:rsidR="005E75B1" w:rsidRPr="000B2CD5" w:rsidRDefault="005E75B1" w:rsidP="005E75B1">
            <w:pPr>
              <w:tabs>
                <w:tab w:val="left" w:pos="2975"/>
              </w:tabs>
              <w:spacing w:before="120" w:after="0"/>
              <w:rPr>
                <w:rFonts w:eastAsia="Calibri"/>
              </w:rPr>
            </w:pPr>
            <w:r w:rsidRPr="000B2CD5">
              <w:rPr>
                <w:rFonts w:eastAsia="Calibri"/>
              </w:rPr>
              <w:t>Date report delivered to</w:t>
            </w:r>
          </w:p>
          <w:p w:rsidR="005E75B1" w:rsidRPr="000B2CD5" w:rsidRDefault="005E75B1" w:rsidP="005E75B1">
            <w:pPr>
              <w:tabs>
                <w:tab w:val="left" w:pos="2975"/>
              </w:tabs>
              <w:rPr>
                <w:rFonts w:eastAsia="Calibri"/>
              </w:rPr>
            </w:pPr>
            <w:r w:rsidRPr="000B2CD5">
              <w:rPr>
                <w:rFonts w:eastAsia="Calibri"/>
              </w:rPr>
              <w:t>Dir</w:t>
            </w:r>
            <w:r>
              <w:rPr>
                <w:rFonts w:eastAsia="Calibri"/>
              </w:rPr>
              <w:t>ector-General:</w:t>
            </w:r>
            <w:r>
              <w:rPr>
                <w:rFonts w:eastAsia="Calibri"/>
              </w:rPr>
              <w:tab/>
              <w:t>27 November 2017</w:t>
            </w:r>
          </w:p>
        </w:tc>
      </w:tr>
      <w:tr w:rsidR="005E75B1" w:rsidRPr="00410545" w:rsidTr="0021051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rsidR="005E75B1" w:rsidRPr="001A1C2A" w:rsidRDefault="005E75B1" w:rsidP="005E75B1">
            <w:pPr>
              <w:spacing w:before="120" w:after="0"/>
              <w:jc w:val="both"/>
              <w:rPr>
                <w:rFonts w:cs="Arial"/>
                <w:b/>
              </w:rPr>
            </w:pPr>
            <w:r w:rsidRPr="001A1C2A">
              <w:rPr>
                <w:rFonts w:cs="Arial"/>
                <w:b/>
              </w:rPr>
              <w:t xml:space="preserve">Panel </w:t>
            </w:r>
            <w:r>
              <w:rPr>
                <w:rFonts w:cs="Arial"/>
                <w:b/>
              </w:rPr>
              <w:t>42</w:t>
            </w:r>
          </w:p>
        </w:tc>
        <w:tc>
          <w:tcPr>
            <w:tcW w:w="7829" w:type="dxa"/>
            <w:tcBorders>
              <w:top w:val="single" w:sz="4" w:space="0" w:color="auto"/>
              <w:left w:val="single" w:sz="4" w:space="0" w:color="auto"/>
              <w:bottom w:val="single" w:sz="4" w:space="0" w:color="auto"/>
              <w:right w:val="single" w:sz="4" w:space="0" w:color="auto"/>
            </w:tcBorders>
            <w:shd w:val="clear" w:color="auto" w:fill="auto"/>
          </w:tcPr>
          <w:p w:rsidR="005E75B1" w:rsidRPr="001A1C2A" w:rsidRDefault="005E75B1" w:rsidP="005E75B1">
            <w:pPr>
              <w:tabs>
                <w:tab w:val="left" w:pos="2975"/>
              </w:tabs>
              <w:spacing w:before="120"/>
              <w:rPr>
                <w:rFonts w:eastAsia="Calibri"/>
              </w:rPr>
            </w:pPr>
            <w:r w:rsidRPr="001A1C2A">
              <w:rPr>
                <w:rFonts w:eastAsia="Calibri"/>
              </w:rPr>
              <w:t>Theme:</w:t>
            </w:r>
            <w:r w:rsidRPr="001A1C2A">
              <w:rPr>
                <w:rFonts w:eastAsia="Calibri"/>
              </w:rPr>
              <w:tab/>
            </w:r>
            <w:r>
              <w:rPr>
                <w:rFonts w:eastAsia="Calibri"/>
              </w:rPr>
              <w:t>Disease and morbid conditions</w:t>
            </w:r>
          </w:p>
          <w:p w:rsidR="005E75B1" w:rsidRDefault="005E75B1" w:rsidP="005E75B1">
            <w:pPr>
              <w:tabs>
                <w:tab w:val="left" w:pos="2975"/>
              </w:tabs>
              <w:spacing w:after="0"/>
              <w:jc w:val="both"/>
              <w:rPr>
                <w:rFonts w:eastAsia="Calibri"/>
              </w:rPr>
            </w:pPr>
            <w:r w:rsidRPr="001A1C2A">
              <w:rPr>
                <w:rFonts w:eastAsia="Calibri"/>
              </w:rPr>
              <w:t>External members:</w:t>
            </w:r>
            <w:r w:rsidRPr="001A1C2A">
              <w:rPr>
                <w:rFonts w:eastAsia="Calibri"/>
              </w:rPr>
              <w:tab/>
            </w:r>
            <w:r>
              <w:rPr>
                <w:rFonts w:eastAsia="Calibri"/>
              </w:rPr>
              <w:t>Mr Clinton Schultz (</w:t>
            </w:r>
            <w:r w:rsidR="006B346E">
              <w:rPr>
                <w:rFonts w:eastAsia="Calibri"/>
              </w:rPr>
              <w:t xml:space="preserve">Meeting </w:t>
            </w:r>
            <w:r>
              <w:rPr>
                <w:rFonts w:eastAsia="Calibri"/>
              </w:rPr>
              <w:t>Chair)</w:t>
            </w:r>
          </w:p>
          <w:p w:rsidR="005E75B1" w:rsidRDefault="005E75B1" w:rsidP="005E75B1">
            <w:pPr>
              <w:tabs>
                <w:tab w:val="left" w:pos="2975"/>
              </w:tabs>
              <w:spacing w:after="0"/>
              <w:ind w:left="2982"/>
              <w:rPr>
                <w:rFonts w:eastAsia="Calibri"/>
              </w:rPr>
            </w:pPr>
            <w:r>
              <w:rPr>
                <w:rFonts w:eastAsia="Calibri"/>
              </w:rPr>
              <w:t>Dr Nicola Murdock (</w:t>
            </w:r>
            <w:r w:rsidR="006B346E">
              <w:rPr>
                <w:rFonts w:eastAsia="Calibri"/>
              </w:rPr>
              <w:t xml:space="preserve">Report </w:t>
            </w:r>
            <w:r>
              <w:rPr>
                <w:rFonts w:eastAsia="Calibri"/>
              </w:rPr>
              <w:t xml:space="preserve">Chair) </w:t>
            </w:r>
          </w:p>
          <w:p w:rsidR="005E75B1" w:rsidRPr="001A1C2A" w:rsidRDefault="005E75B1" w:rsidP="005E75B1">
            <w:pPr>
              <w:tabs>
                <w:tab w:val="left" w:pos="2975"/>
              </w:tabs>
              <w:spacing w:after="0"/>
              <w:ind w:left="2982"/>
              <w:rPr>
                <w:rFonts w:eastAsia="Calibri"/>
              </w:rPr>
            </w:pPr>
            <w:r>
              <w:rPr>
                <w:rFonts w:eastAsia="Calibri"/>
              </w:rPr>
              <w:t>Dr Deborah Walsh</w:t>
            </w:r>
          </w:p>
          <w:p w:rsidR="005E75B1" w:rsidRPr="001A1C2A" w:rsidRDefault="005E75B1" w:rsidP="005E75B1">
            <w:pPr>
              <w:tabs>
                <w:tab w:val="left" w:pos="2975"/>
              </w:tabs>
              <w:spacing w:before="120"/>
              <w:rPr>
                <w:rFonts w:eastAsia="Calibri"/>
              </w:rPr>
            </w:pPr>
            <w:r w:rsidRPr="001A1C2A">
              <w:rPr>
                <w:rFonts w:eastAsia="Calibri"/>
              </w:rPr>
              <w:t>Other government agency:</w:t>
            </w:r>
            <w:r w:rsidRPr="001A1C2A">
              <w:rPr>
                <w:rFonts w:eastAsia="Calibri"/>
              </w:rPr>
              <w:tab/>
            </w:r>
            <w:r>
              <w:rPr>
                <w:rFonts w:eastAsia="Calibri"/>
              </w:rPr>
              <w:t>Professor Stephen Stathis</w:t>
            </w:r>
          </w:p>
          <w:p w:rsidR="005E75B1" w:rsidRPr="001A1C2A" w:rsidRDefault="005E75B1" w:rsidP="005E75B1">
            <w:pPr>
              <w:tabs>
                <w:tab w:val="left" w:pos="2975"/>
              </w:tabs>
              <w:spacing w:before="120"/>
              <w:rPr>
                <w:rFonts w:eastAsia="Calibri"/>
              </w:rPr>
            </w:pPr>
            <w:r w:rsidRPr="001A1C2A">
              <w:rPr>
                <w:rFonts w:eastAsia="Calibri"/>
              </w:rPr>
              <w:t>Departmental officer:</w:t>
            </w:r>
            <w:r w:rsidRPr="001A1C2A">
              <w:rPr>
                <w:rFonts w:eastAsia="Calibri"/>
              </w:rPr>
              <w:tab/>
            </w:r>
            <w:r>
              <w:rPr>
                <w:rFonts w:eastAsia="Calibri"/>
              </w:rPr>
              <w:t>Ms Donna Lockyer</w:t>
            </w:r>
          </w:p>
          <w:p w:rsidR="005E75B1" w:rsidRPr="001A1C2A" w:rsidRDefault="005E75B1" w:rsidP="005E75B1">
            <w:pPr>
              <w:tabs>
                <w:tab w:val="left" w:pos="2975"/>
              </w:tabs>
              <w:spacing w:before="120"/>
              <w:rPr>
                <w:rFonts w:eastAsia="Calibri"/>
              </w:rPr>
            </w:pPr>
            <w:r w:rsidRPr="001A1C2A">
              <w:rPr>
                <w:rFonts w:eastAsia="Calibri"/>
              </w:rPr>
              <w:t>Meeting date:</w:t>
            </w:r>
            <w:r w:rsidRPr="001A1C2A">
              <w:rPr>
                <w:rFonts w:eastAsia="Calibri"/>
              </w:rPr>
              <w:tab/>
            </w:r>
            <w:r>
              <w:rPr>
                <w:rFonts w:eastAsia="Calibri"/>
              </w:rPr>
              <w:t xml:space="preserve">29 September 2017 </w:t>
            </w:r>
          </w:p>
          <w:p w:rsidR="005E75B1" w:rsidRPr="001A1C2A" w:rsidRDefault="005E75B1" w:rsidP="005E75B1">
            <w:pPr>
              <w:tabs>
                <w:tab w:val="left" w:pos="2975"/>
              </w:tabs>
              <w:spacing w:after="0"/>
              <w:rPr>
                <w:rFonts w:eastAsia="Calibri"/>
              </w:rPr>
            </w:pPr>
            <w:r w:rsidRPr="001A1C2A">
              <w:rPr>
                <w:rFonts w:eastAsia="Calibri"/>
              </w:rPr>
              <w:t>Date report delivered to</w:t>
            </w:r>
          </w:p>
          <w:p w:rsidR="005E75B1" w:rsidRPr="001A1C2A" w:rsidRDefault="005E75B1" w:rsidP="005E75B1">
            <w:pPr>
              <w:tabs>
                <w:tab w:val="left" w:pos="2975"/>
              </w:tabs>
              <w:rPr>
                <w:rFonts w:eastAsia="Calibri"/>
              </w:rPr>
            </w:pPr>
            <w:r w:rsidRPr="001A1C2A">
              <w:rPr>
                <w:rFonts w:eastAsia="Calibri"/>
              </w:rPr>
              <w:t>Dir</w:t>
            </w:r>
            <w:r>
              <w:rPr>
                <w:rFonts w:eastAsia="Calibri"/>
              </w:rPr>
              <w:t>ector-General:</w:t>
            </w:r>
            <w:r>
              <w:rPr>
                <w:rFonts w:eastAsia="Calibri"/>
              </w:rPr>
              <w:tab/>
              <w:t>8 December 2017</w:t>
            </w:r>
          </w:p>
        </w:tc>
      </w:tr>
      <w:tr w:rsidR="005E75B1" w:rsidRPr="00410545" w:rsidTr="0021051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rsidR="005E75B1" w:rsidRPr="001A1C2A" w:rsidRDefault="005E75B1" w:rsidP="005E75B1">
            <w:pPr>
              <w:spacing w:before="120" w:after="0"/>
              <w:jc w:val="both"/>
              <w:rPr>
                <w:rFonts w:cs="Arial"/>
                <w:b/>
              </w:rPr>
            </w:pPr>
            <w:r w:rsidRPr="001A1C2A">
              <w:rPr>
                <w:rFonts w:cs="Arial"/>
                <w:b/>
              </w:rPr>
              <w:lastRenderedPageBreak/>
              <w:t xml:space="preserve">Panel </w:t>
            </w:r>
            <w:r>
              <w:rPr>
                <w:rFonts w:cs="Arial"/>
                <w:b/>
              </w:rPr>
              <w:t>43</w:t>
            </w:r>
          </w:p>
        </w:tc>
        <w:tc>
          <w:tcPr>
            <w:tcW w:w="7829" w:type="dxa"/>
            <w:tcBorders>
              <w:top w:val="single" w:sz="4" w:space="0" w:color="auto"/>
              <w:left w:val="single" w:sz="4" w:space="0" w:color="auto"/>
              <w:bottom w:val="single" w:sz="4" w:space="0" w:color="auto"/>
              <w:right w:val="single" w:sz="4" w:space="0" w:color="auto"/>
            </w:tcBorders>
            <w:shd w:val="clear" w:color="auto" w:fill="auto"/>
          </w:tcPr>
          <w:p w:rsidR="005E75B1" w:rsidRPr="001A1C2A" w:rsidRDefault="005E75B1" w:rsidP="005E75B1">
            <w:pPr>
              <w:tabs>
                <w:tab w:val="left" w:pos="2975"/>
              </w:tabs>
              <w:spacing w:before="120"/>
              <w:rPr>
                <w:rFonts w:eastAsia="Calibri"/>
              </w:rPr>
            </w:pPr>
            <w:r w:rsidRPr="001A1C2A">
              <w:rPr>
                <w:rFonts w:eastAsia="Calibri"/>
              </w:rPr>
              <w:t>Theme:</w:t>
            </w:r>
            <w:r w:rsidRPr="001A1C2A">
              <w:rPr>
                <w:rFonts w:eastAsia="Calibri"/>
              </w:rPr>
              <w:tab/>
            </w:r>
            <w:r>
              <w:rPr>
                <w:rFonts w:eastAsia="Calibri"/>
              </w:rPr>
              <w:t>Disease and morbid conditions</w:t>
            </w:r>
          </w:p>
          <w:p w:rsidR="005E75B1" w:rsidRDefault="005E75B1" w:rsidP="005E75B1">
            <w:pPr>
              <w:tabs>
                <w:tab w:val="left" w:pos="2975"/>
              </w:tabs>
              <w:spacing w:after="0"/>
              <w:jc w:val="both"/>
              <w:rPr>
                <w:rFonts w:eastAsia="Calibri"/>
              </w:rPr>
            </w:pPr>
            <w:r w:rsidRPr="001A1C2A">
              <w:rPr>
                <w:rFonts w:eastAsia="Calibri"/>
              </w:rPr>
              <w:t>External members:</w:t>
            </w:r>
            <w:r w:rsidRPr="001A1C2A">
              <w:rPr>
                <w:rFonts w:eastAsia="Calibri"/>
              </w:rPr>
              <w:tab/>
            </w:r>
            <w:r>
              <w:rPr>
                <w:rFonts w:eastAsia="Calibri"/>
              </w:rPr>
              <w:t>Ms Gwenn Murray (Chair)</w:t>
            </w:r>
          </w:p>
          <w:p w:rsidR="005E75B1" w:rsidRPr="007231D9" w:rsidRDefault="005E75B1" w:rsidP="005E75B1">
            <w:pPr>
              <w:tabs>
                <w:tab w:val="left" w:pos="2975"/>
              </w:tabs>
              <w:spacing w:after="0"/>
              <w:ind w:left="2982"/>
              <w:rPr>
                <w:rFonts w:eastAsia="Calibri"/>
              </w:rPr>
            </w:pPr>
            <w:r>
              <w:rPr>
                <w:rFonts w:eastAsia="Calibri"/>
              </w:rPr>
              <w:t xml:space="preserve">Ms Raelene Ward </w:t>
            </w:r>
          </w:p>
          <w:p w:rsidR="005E75B1" w:rsidRPr="007231D9" w:rsidRDefault="005E75B1" w:rsidP="005E75B1">
            <w:pPr>
              <w:tabs>
                <w:tab w:val="left" w:pos="2975"/>
              </w:tabs>
              <w:spacing w:after="0"/>
              <w:jc w:val="both"/>
              <w:rPr>
                <w:rFonts w:eastAsia="Calibri"/>
              </w:rPr>
            </w:pPr>
            <w:r>
              <w:rPr>
                <w:rFonts w:eastAsia="Calibri"/>
              </w:rPr>
              <w:tab/>
              <w:t xml:space="preserve">Professor Clare Tilbury </w:t>
            </w:r>
          </w:p>
          <w:p w:rsidR="005E75B1" w:rsidRPr="001A1C2A" w:rsidRDefault="005E75B1" w:rsidP="005E75B1">
            <w:pPr>
              <w:tabs>
                <w:tab w:val="left" w:pos="2975"/>
              </w:tabs>
              <w:spacing w:before="120"/>
              <w:rPr>
                <w:rFonts w:eastAsia="Calibri"/>
              </w:rPr>
            </w:pPr>
            <w:r w:rsidRPr="001A1C2A">
              <w:rPr>
                <w:rFonts w:eastAsia="Calibri"/>
              </w:rPr>
              <w:t>Other government agency:</w:t>
            </w:r>
            <w:r w:rsidRPr="001A1C2A">
              <w:rPr>
                <w:rFonts w:eastAsia="Calibri"/>
              </w:rPr>
              <w:tab/>
            </w:r>
            <w:r>
              <w:rPr>
                <w:rFonts w:eastAsia="Calibri"/>
              </w:rPr>
              <w:t xml:space="preserve">Ms Hayley Stevenson </w:t>
            </w:r>
          </w:p>
          <w:p w:rsidR="005E75B1" w:rsidRPr="001A1C2A" w:rsidRDefault="005E75B1" w:rsidP="005E75B1">
            <w:pPr>
              <w:tabs>
                <w:tab w:val="left" w:pos="2975"/>
              </w:tabs>
              <w:spacing w:before="120"/>
              <w:rPr>
                <w:rFonts w:eastAsia="Calibri"/>
              </w:rPr>
            </w:pPr>
            <w:r w:rsidRPr="001A1C2A">
              <w:rPr>
                <w:rFonts w:eastAsia="Calibri"/>
              </w:rPr>
              <w:t>Departmental officer:</w:t>
            </w:r>
            <w:r w:rsidRPr="001A1C2A">
              <w:rPr>
                <w:rFonts w:eastAsia="Calibri"/>
              </w:rPr>
              <w:tab/>
            </w:r>
            <w:r>
              <w:rPr>
                <w:rFonts w:eastAsia="Calibri"/>
              </w:rPr>
              <w:t>Professor Karen Nankervis</w:t>
            </w:r>
          </w:p>
          <w:p w:rsidR="005E75B1" w:rsidRPr="001A1C2A" w:rsidRDefault="005E75B1" w:rsidP="005E75B1">
            <w:pPr>
              <w:tabs>
                <w:tab w:val="left" w:pos="2975"/>
              </w:tabs>
              <w:spacing w:before="120"/>
              <w:rPr>
                <w:rFonts w:eastAsia="Calibri"/>
              </w:rPr>
            </w:pPr>
            <w:r w:rsidRPr="001A1C2A">
              <w:rPr>
                <w:rFonts w:eastAsia="Calibri"/>
              </w:rPr>
              <w:t>Meeting date:</w:t>
            </w:r>
            <w:r w:rsidRPr="001A1C2A">
              <w:rPr>
                <w:rFonts w:eastAsia="Calibri"/>
              </w:rPr>
              <w:tab/>
            </w:r>
            <w:r>
              <w:rPr>
                <w:rFonts w:eastAsia="Calibri"/>
              </w:rPr>
              <w:t xml:space="preserve">16 October 2017 </w:t>
            </w:r>
          </w:p>
          <w:p w:rsidR="005E75B1" w:rsidRPr="001A1C2A" w:rsidRDefault="005E75B1" w:rsidP="005E75B1">
            <w:pPr>
              <w:tabs>
                <w:tab w:val="left" w:pos="2975"/>
              </w:tabs>
              <w:spacing w:after="0"/>
              <w:rPr>
                <w:rFonts w:eastAsia="Calibri"/>
              </w:rPr>
            </w:pPr>
            <w:r w:rsidRPr="001A1C2A">
              <w:rPr>
                <w:rFonts w:eastAsia="Calibri"/>
              </w:rPr>
              <w:t>Date report delivered to</w:t>
            </w:r>
          </w:p>
          <w:p w:rsidR="005E75B1" w:rsidRPr="001A1C2A" w:rsidRDefault="005E75B1" w:rsidP="005E75B1">
            <w:pPr>
              <w:tabs>
                <w:tab w:val="left" w:pos="2975"/>
              </w:tabs>
              <w:rPr>
                <w:rFonts w:eastAsia="Calibri"/>
              </w:rPr>
            </w:pPr>
            <w:r w:rsidRPr="001A1C2A">
              <w:rPr>
                <w:rFonts w:eastAsia="Calibri"/>
              </w:rPr>
              <w:t>Di</w:t>
            </w:r>
            <w:r>
              <w:rPr>
                <w:rFonts w:eastAsia="Calibri"/>
              </w:rPr>
              <w:t>rector-General:</w:t>
            </w:r>
            <w:r>
              <w:rPr>
                <w:rFonts w:eastAsia="Calibri"/>
              </w:rPr>
              <w:tab/>
              <w:t>4 December 2017</w:t>
            </w:r>
          </w:p>
        </w:tc>
      </w:tr>
      <w:tr w:rsidR="005E75B1" w:rsidRPr="00410545" w:rsidTr="0021051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rsidR="005E75B1" w:rsidRPr="00AC630B" w:rsidRDefault="005E75B1" w:rsidP="005E75B1">
            <w:pPr>
              <w:spacing w:before="120" w:after="0"/>
              <w:jc w:val="both"/>
              <w:rPr>
                <w:rFonts w:cs="Arial"/>
                <w:b/>
              </w:rPr>
            </w:pPr>
            <w:r w:rsidRPr="00AC630B">
              <w:rPr>
                <w:rFonts w:cs="Arial"/>
                <w:b/>
              </w:rPr>
              <w:t xml:space="preserve">Panel </w:t>
            </w:r>
            <w:r>
              <w:rPr>
                <w:rFonts w:cs="Arial"/>
                <w:b/>
              </w:rPr>
              <w:t>44</w:t>
            </w:r>
          </w:p>
        </w:tc>
        <w:tc>
          <w:tcPr>
            <w:tcW w:w="7829" w:type="dxa"/>
            <w:tcBorders>
              <w:top w:val="single" w:sz="4" w:space="0" w:color="auto"/>
              <w:left w:val="single" w:sz="4" w:space="0" w:color="auto"/>
              <w:bottom w:val="single" w:sz="4" w:space="0" w:color="auto"/>
              <w:right w:val="single" w:sz="4" w:space="0" w:color="auto"/>
            </w:tcBorders>
            <w:shd w:val="clear" w:color="auto" w:fill="auto"/>
          </w:tcPr>
          <w:p w:rsidR="005E75B1" w:rsidRPr="00AC630B" w:rsidRDefault="005E75B1" w:rsidP="005E75B1">
            <w:pPr>
              <w:tabs>
                <w:tab w:val="left" w:pos="2975"/>
              </w:tabs>
              <w:spacing w:before="120"/>
              <w:rPr>
                <w:rFonts w:eastAsia="Calibri"/>
              </w:rPr>
            </w:pPr>
            <w:r w:rsidRPr="00AC630B">
              <w:rPr>
                <w:rFonts w:eastAsia="Calibri"/>
              </w:rPr>
              <w:t>T</w:t>
            </w:r>
            <w:r>
              <w:rPr>
                <w:rFonts w:eastAsia="Calibri"/>
              </w:rPr>
              <w:t>heme:</w:t>
            </w:r>
            <w:r>
              <w:rPr>
                <w:rFonts w:eastAsia="Calibri"/>
              </w:rPr>
              <w:tab/>
              <w:t>Accidental</w:t>
            </w:r>
          </w:p>
          <w:p w:rsidR="005E75B1" w:rsidRDefault="005E75B1" w:rsidP="005E75B1">
            <w:pPr>
              <w:tabs>
                <w:tab w:val="left" w:pos="2975"/>
              </w:tabs>
              <w:spacing w:after="0"/>
              <w:jc w:val="both"/>
              <w:rPr>
                <w:rFonts w:eastAsia="Calibri"/>
              </w:rPr>
            </w:pPr>
            <w:r w:rsidRPr="00AC630B">
              <w:rPr>
                <w:rFonts w:eastAsia="Calibri"/>
              </w:rPr>
              <w:t>External members:</w:t>
            </w:r>
            <w:r w:rsidRPr="00AC630B">
              <w:rPr>
                <w:rFonts w:eastAsia="Calibri"/>
              </w:rPr>
              <w:tab/>
            </w:r>
            <w:r>
              <w:rPr>
                <w:rFonts w:eastAsia="Calibri"/>
              </w:rPr>
              <w:t>Dr Nicola Murdock (Chair)</w:t>
            </w:r>
          </w:p>
          <w:p w:rsidR="005E75B1" w:rsidRDefault="005E75B1" w:rsidP="005E75B1">
            <w:pPr>
              <w:tabs>
                <w:tab w:val="left" w:pos="2975"/>
              </w:tabs>
              <w:spacing w:after="0"/>
              <w:ind w:left="2982"/>
              <w:rPr>
                <w:rFonts w:eastAsia="Calibri"/>
              </w:rPr>
            </w:pPr>
            <w:r>
              <w:rPr>
                <w:rFonts w:eastAsia="Calibri"/>
              </w:rPr>
              <w:t>Ms Susan Teerds</w:t>
            </w:r>
          </w:p>
          <w:p w:rsidR="005E75B1" w:rsidRPr="0071508E" w:rsidRDefault="005E75B1" w:rsidP="005E75B1">
            <w:pPr>
              <w:tabs>
                <w:tab w:val="left" w:pos="2975"/>
              </w:tabs>
              <w:spacing w:after="0"/>
              <w:ind w:left="2982"/>
              <w:rPr>
                <w:rFonts w:eastAsia="Calibri"/>
              </w:rPr>
            </w:pPr>
            <w:r>
              <w:rPr>
                <w:rFonts w:eastAsia="Calibri"/>
              </w:rPr>
              <w:t>Mr Clinton Schultz</w:t>
            </w:r>
            <w:r w:rsidRPr="0071508E">
              <w:rPr>
                <w:rFonts w:eastAsia="Calibri"/>
              </w:rPr>
              <w:tab/>
            </w:r>
          </w:p>
          <w:p w:rsidR="005E75B1" w:rsidRPr="00AC630B" w:rsidRDefault="005E75B1" w:rsidP="005E75B1">
            <w:pPr>
              <w:tabs>
                <w:tab w:val="left" w:pos="2975"/>
              </w:tabs>
              <w:spacing w:before="120"/>
              <w:rPr>
                <w:rFonts w:eastAsia="Calibri"/>
              </w:rPr>
            </w:pPr>
            <w:r w:rsidRPr="00AC630B">
              <w:rPr>
                <w:rFonts w:eastAsia="Calibri"/>
              </w:rPr>
              <w:t>Other government agency:</w:t>
            </w:r>
            <w:r w:rsidRPr="00AC630B">
              <w:rPr>
                <w:rFonts w:eastAsia="Calibri"/>
              </w:rPr>
              <w:tab/>
            </w:r>
            <w:r>
              <w:rPr>
                <w:rFonts w:eastAsia="Calibri"/>
              </w:rPr>
              <w:t xml:space="preserve">Ms Julie Kinross </w:t>
            </w:r>
          </w:p>
          <w:p w:rsidR="005E75B1" w:rsidRPr="00AC630B" w:rsidRDefault="005E75B1" w:rsidP="005E75B1">
            <w:pPr>
              <w:tabs>
                <w:tab w:val="left" w:pos="2975"/>
              </w:tabs>
              <w:spacing w:before="120"/>
              <w:rPr>
                <w:rFonts w:eastAsia="Calibri"/>
              </w:rPr>
            </w:pPr>
            <w:r w:rsidRPr="00AC630B">
              <w:rPr>
                <w:rFonts w:eastAsia="Calibri"/>
              </w:rPr>
              <w:t>Departmental officer:</w:t>
            </w:r>
            <w:r w:rsidRPr="00AC630B">
              <w:rPr>
                <w:rFonts w:eastAsia="Calibri"/>
              </w:rPr>
              <w:tab/>
            </w:r>
            <w:r>
              <w:rPr>
                <w:rFonts w:eastAsia="Calibri"/>
              </w:rPr>
              <w:t>Ms Susanne Le Boutillier</w:t>
            </w:r>
          </w:p>
          <w:p w:rsidR="005E75B1" w:rsidRPr="00AC630B" w:rsidRDefault="005E75B1" w:rsidP="005E75B1">
            <w:pPr>
              <w:tabs>
                <w:tab w:val="left" w:pos="2975"/>
              </w:tabs>
              <w:spacing w:before="120"/>
              <w:rPr>
                <w:rFonts w:eastAsia="Calibri"/>
              </w:rPr>
            </w:pPr>
            <w:r w:rsidRPr="00AC630B">
              <w:rPr>
                <w:rFonts w:eastAsia="Calibri"/>
              </w:rPr>
              <w:t>Meeting date:</w:t>
            </w:r>
            <w:r w:rsidRPr="00AC630B">
              <w:rPr>
                <w:rFonts w:eastAsia="Calibri"/>
              </w:rPr>
              <w:tab/>
            </w:r>
            <w:r>
              <w:rPr>
                <w:rFonts w:eastAsia="Calibri"/>
              </w:rPr>
              <w:t>27 October 2017</w:t>
            </w:r>
          </w:p>
          <w:p w:rsidR="005E75B1" w:rsidRPr="00AC630B" w:rsidRDefault="005E75B1" w:rsidP="005E75B1">
            <w:pPr>
              <w:tabs>
                <w:tab w:val="left" w:pos="2975"/>
              </w:tabs>
              <w:spacing w:after="0"/>
              <w:rPr>
                <w:rFonts w:eastAsia="Calibri"/>
              </w:rPr>
            </w:pPr>
            <w:r w:rsidRPr="00AC630B">
              <w:rPr>
                <w:rFonts w:eastAsia="Calibri"/>
              </w:rPr>
              <w:t>Date report delivered to</w:t>
            </w:r>
          </w:p>
          <w:p w:rsidR="005E75B1" w:rsidRPr="00AC630B" w:rsidRDefault="005E75B1" w:rsidP="005E75B1">
            <w:pPr>
              <w:tabs>
                <w:tab w:val="left" w:pos="2975"/>
              </w:tabs>
              <w:rPr>
                <w:rFonts w:eastAsia="Calibri"/>
              </w:rPr>
            </w:pPr>
            <w:r>
              <w:rPr>
                <w:rFonts w:eastAsia="Calibri"/>
              </w:rPr>
              <w:t>Director-General:</w:t>
            </w:r>
            <w:r>
              <w:rPr>
                <w:rFonts w:eastAsia="Calibri"/>
              </w:rPr>
              <w:tab/>
              <w:t>21 December 2017</w:t>
            </w:r>
          </w:p>
        </w:tc>
      </w:tr>
      <w:tr w:rsidR="005E75B1" w:rsidRPr="00410545" w:rsidTr="0021051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rsidR="005E75B1" w:rsidRPr="009C31A0" w:rsidRDefault="005E75B1" w:rsidP="005E75B1">
            <w:pPr>
              <w:spacing w:before="120" w:after="0"/>
              <w:jc w:val="both"/>
              <w:rPr>
                <w:rFonts w:cs="Arial"/>
                <w:b/>
              </w:rPr>
            </w:pPr>
            <w:r>
              <w:rPr>
                <w:rFonts w:cs="Arial"/>
                <w:b/>
              </w:rPr>
              <w:t>Panel 45</w:t>
            </w:r>
          </w:p>
        </w:tc>
        <w:tc>
          <w:tcPr>
            <w:tcW w:w="7829" w:type="dxa"/>
            <w:tcBorders>
              <w:top w:val="single" w:sz="4" w:space="0" w:color="auto"/>
              <w:left w:val="single" w:sz="4" w:space="0" w:color="auto"/>
              <w:bottom w:val="single" w:sz="4" w:space="0" w:color="auto"/>
              <w:right w:val="single" w:sz="4" w:space="0" w:color="auto"/>
            </w:tcBorders>
            <w:shd w:val="clear" w:color="auto" w:fill="auto"/>
          </w:tcPr>
          <w:p w:rsidR="005E75B1" w:rsidRPr="009C31A0" w:rsidRDefault="005E75B1" w:rsidP="005E75B1">
            <w:pPr>
              <w:tabs>
                <w:tab w:val="left" w:pos="2975"/>
              </w:tabs>
              <w:spacing w:before="120"/>
              <w:rPr>
                <w:rFonts w:eastAsia="Calibri"/>
              </w:rPr>
            </w:pPr>
            <w:r w:rsidRPr="009C31A0">
              <w:rPr>
                <w:rFonts w:eastAsia="Calibri"/>
              </w:rPr>
              <w:t>Theme:</w:t>
            </w:r>
            <w:r w:rsidRPr="009C31A0">
              <w:rPr>
                <w:rFonts w:eastAsia="Calibri"/>
              </w:rPr>
              <w:tab/>
            </w:r>
            <w:r>
              <w:rPr>
                <w:rFonts w:eastAsia="Calibri"/>
              </w:rPr>
              <w:t xml:space="preserve">Under </w:t>
            </w:r>
            <w:r w:rsidR="00074CDA">
              <w:rPr>
                <w:rFonts w:eastAsia="Calibri"/>
              </w:rPr>
              <w:t>2</w:t>
            </w:r>
          </w:p>
          <w:p w:rsidR="005E75B1" w:rsidRDefault="005E75B1" w:rsidP="005E75B1">
            <w:pPr>
              <w:tabs>
                <w:tab w:val="left" w:pos="2975"/>
              </w:tabs>
              <w:spacing w:after="0"/>
              <w:jc w:val="both"/>
              <w:rPr>
                <w:rFonts w:eastAsia="Calibri"/>
              </w:rPr>
            </w:pPr>
            <w:r w:rsidRPr="009C31A0">
              <w:rPr>
                <w:rFonts w:eastAsia="Calibri"/>
              </w:rPr>
              <w:t>External members:</w:t>
            </w:r>
            <w:r w:rsidRPr="009C31A0">
              <w:rPr>
                <w:rFonts w:eastAsia="Calibri"/>
              </w:rPr>
              <w:tab/>
            </w:r>
            <w:r>
              <w:rPr>
                <w:rFonts w:eastAsia="Calibri"/>
              </w:rPr>
              <w:t xml:space="preserve">Ms Shanna Quinn (Chair) </w:t>
            </w:r>
          </w:p>
          <w:p w:rsidR="005E75B1" w:rsidRDefault="005E75B1" w:rsidP="005E75B1">
            <w:pPr>
              <w:tabs>
                <w:tab w:val="left" w:pos="2975"/>
              </w:tabs>
              <w:spacing w:after="0"/>
              <w:ind w:left="2982"/>
              <w:jc w:val="both"/>
              <w:rPr>
                <w:rFonts w:eastAsia="Calibri"/>
              </w:rPr>
            </w:pPr>
            <w:r>
              <w:rPr>
                <w:rFonts w:eastAsia="Calibri"/>
              </w:rPr>
              <w:t xml:space="preserve">Professor Paul Colditz </w:t>
            </w:r>
          </w:p>
          <w:p w:rsidR="005E75B1" w:rsidRPr="0071508E" w:rsidRDefault="005E75B1" w:rsidP="005E75B1">
            <w:pPr>
              <w:tabs>
                <w:tab w:val="left" w:pos="2975"/>
              </w:tabs>
              <w:spacing w:after="0"/>
              <w:ind w:left="2982"/>
              <w:jc w:val="both"/>
              <w:rPr>
                <w:rFonts w:eastAsia="Calibri"/>
              </w:rPr>
            </w:pPr>
            <w:r>
              <w:rPr>
                <w:rFonts w:eastAsia="Calibri"/>
              </w:rPr>
              <w:t xml:space="preserve">Ms Raelene Ward </w:t>
            </w:r>
          </w:p>
          <w:p w:rsidR="005E75B1" w:rsidRPr="009C31A0" w:rsidRDefault="005E75B1" w:rsidP="005E75B1">
            <w:pPr>
              <w:tabs>
                <w:tab w:val="left" w:pos="2975"/>
              </w:tabs>
              <w:spacing w:before="120"/>
              <w:rPr>
                <w:rFonts w:eastAsia="Calibri"/>
              </w:rPr>
            </w:pPr>
            <w:r w:rsidRPr="009C31A0">
              <w:rPr>
                <w:rFonts w:eastAsia="Calibri"/>
              </w:rPr>
              <w:t>Other government agency:</w:t>
            </w:r>
            <w:r w:rsidRPr="009C31A0">
              <w:rPr>
                <w:rFonts w:eastAsia="Calibri"/>
              </w:rPr>
              <w:tab/>
            </w:r>
            <w:r>
              <w:rPr>
                <w:rFonts w:eastAsia="Calibri"/>
              </w:rPr>
              <w:t xml:space="preserve">Detective Senior Sergeant Christopher Hansel </w:t>
            </w:r>
          </w:p>
          <w:p w:rsidR="005E75B1" w:rsidRPr="009C31A0" w:rsidRDefault="005E75B1" w:rsidP="005E75B1">
            <w:pPr>
              <w:tabs>
                <w:tab w:val="left" w:pos="2975"/>
              </w:tabs>
              <w:spacing w:before="120"/>
              <w:rPr>
                <w:rFonts w:eastAsia="Calibri"/>
              </w:rPr>
            </w:pPr>
            <w:r w:rsidRPr="009C31A0">
              <w:rPr>
                <w:rFonts w:eastAsia="Calibri"/>
              </w:rPr>
              <w:t>Departmental officer:</w:t>
            </w:r>
            <w:r w:rsidRPr="009C31A0">
              <w:rPr>
                <w:rFonts w:eastAsia="Calibri"/>
              </w:rPr>
              <w:tab/>
            </w:r>
            <w:r>
              <w:rPr>
                <w:rFonts w:eastAsia="Calibri"/>
              </w:rPr>
              <w:t>Ms Barbara Shaw</w:t>
            </w:r>
          </w:p>
          <w:p w:rsidR="005E75B1" w:rsidRPr="009C31A0" w:rsidRDefault="005E75B1" w:rsidP="005E75B1">
            <w:pPr>
              <w:tabs>
                <w:tab w:val="left" w:pos="2975"/>
              </w:tabs>
              <w:spacing w:before="120"/>
              <w:rPr>
                <w:rFonts w:eastAsia="Calibri"/>
              </w:rPr>
            </w:pPr>
            <w:r w:rsidRPr="009C31A0">
              <w:rPr>
                <w:rFonts w:eastAsia="Calibri"/>
              </w:rPr>
              <w:t>Meeting date:</w:t>
            </w:r>
            <w:r w:rsidRPr="009C31A0">
              <w:rPr>
                <w:rFonts w:eastAsia="Calibri"/>
              </w:rPr>
              <w:tab/>
            </w:r>
            <w:r>
              <w:rPr>
                <w:rFonts w:eastAsia="Calibri"/>
              </w:rPr>
              <w:t xml:space="preserve">6 November 2017 </w:t>
            </w:r>
          </w:p>
          <w:p w:rsidR="005E75B1" w:rsidRPr="009C31A0" w:rsidRDefault="005E75B1" w:rsidP="005E75B1">
            <w:pPr>
              <w:tabs>
                <w:tab w:val="left" w:pos="2975"/>
              </w:tabs>
              <w:spacing w:after="0"/>
              <w:rPr>
                <w:rFonts w:eastAsia="Calibri"/>
              </w:rPr>
            </w:pPr>
            <w:r w:rsidRPr="009C31A0">
              <w:rPr>
                <w:rFonts w:eastAsia="Calibri"/>
              </w:rPr>
              <w:t>Date report delivered to</w:t>
            </w:r>
          </w:p>
          <w:p w:rsidR="005E75B1" w:rsidRPr="009C31A0" w:rsidRDefault="005E75B1" w:rsidP="005E75B1">
            <w:pPr>
              <w:tabs>
                <w:tab w:val="left" w:pos="2975"/>
              </w:tabs>
              <w:rPr>
                <w:rFonts w:eastAsia="Calibri"/>
              </w:rPr>
            </w:pPr>
            <w:r w:rsidRPr="009C31A0">
              <w:rPr>
                <w:rFonts w:eastAsia="Calibri"/>
              </w:rPr>
              <w:t>Di</w:t>
            </w:r>
            <w:r>
              <w:rPr>
                <w:rFonts w:eastAsia="Calibri"/>
              </w:rPr>
              <w:t>rector-General:</w:t>
            </w:r>
            <w:r>
              <w:rPr>
                <w:rFonts w:eastAsia="Calibri"/>
              </w:rPr>
              <w:tab/>
              <w:t>18 January 2018</w:t>
            </w:r>
          </w:p>
        </w:tc>
      </w:tr>
      <w:tr w:rsidR="005E75B1" w:rsidRPr="00410545" w:rsidTr="0021051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rsidR="005E75B1" w:rsidRPr="00E10A9E" w:rsidRDefault="005E75B1" w:rsidP="005E75B1">
            <w:pPr>
              <w:spacing w:before="120" w:after="0"/>
              <w:jc w:val="both"/>
              <w:rPr>
                <w:rFonts w:cs="Arial"/>
                <w:b/>
              </w:rPr>
            </w:pPr>
            <w:r>
              <w:rPr>
                <w:rFonts w:cs="Arial"/>
                <w:b/>
              </w:rPr>
              <w:t>Panel 46</w:t>
            </w:r>
          </w:p>
        </w:tc>
        <w:tc>
          <w:tcPr>
            <w:tcW w:w="7829" w:type="dxa"/>
            <w:tcBorders>
              <w:top w:val="single" w:sz="4" w:space="0" w:color="auto"/>
              <w:left w:val="single" w:sz="4" w:space="0" w:color="auto"/>
              <w:bottom w:val="single" w:sz="4" w:space="0" w:color="auto"/>
              <w:right w:val="single" w:sz="4" w:space="0" w:color="auto"/>
            </w:tcBorders>
            <w:shd w:val="clear" w:color="auto" w:fill="auto"/>
          </w:tcPr>
          <w:p w:rsidR="005E75B1" w:rsidRPr="00E10A9E" w:rsidRDefault="005E75B1" w:rsidP="005E75B1">
            <w:pPr>
              <w:tabs>
                <w:tab w:val="left" w:pos="2975"/>
              </w:tabs>
              <w:spacing w:before="120"/>
              <w:rPr>
                <w:rFonts w:eastAsia="Calibri"/>
              </w:rPr>
            </w:pPr>
            <w:r w:rsidRPr="00E10A9E">
              <w:rPr>
                <w:rFonts w:eastAsia="Calibri"/>
              </w:rPr>
              <w:t>Theme:</w:t>
            </w:r>
            <w:r w:rsidRPr="00E10A9E">
              <w:rPr>
                <w:rFonts w:eastAsia="Calibri"/>
              </w:rPr>
              <w:tab/>
            </w:r>
            <w:r w:rsidR="00074CDA">
              <w:rPr>
                <w:rFonts w:eastAsia="Calibri"/>
              </w:rPr>
              <w:t>Un</w:t>
            </w:r>
            <w:r w:rsidR="00DF0854">
              <w:rPr>
                <w:rFonts w:eastAsia="Calibri"/>
              </w:rPr>
              <w:t>-</w:t>
            </w:r>
            <w:r w:rsidR="00074CDA">
              <w:rPr>
                <w:rFonts w:eastAsia="Calibri"/>
              </w:rPr>
              <w:t>themed</w:t>
            </w:r>
          </w:p>
          <w:p w:rsidR="005E75B1" w:rsidRDefault="005E75B1" w:rsidP="005E75B1">
            <w:pPr>
              <w:tabs>
                <w:tab w:val="left" w:pos="2975"/>
              </w:tabs>
              <w:spacing w:after="0"/>
              <w:jc w:val="both"/>
              <w:rPr>
                <w:rFonts w:eastAsia="Calibri"/>
              </w:rPr>
            </w:pPr>
            <w:r w:rsidRPr="00E10A9E">
              <w:rPr>
                <w:rFonts w:eastAsia="Calibri"/>
              </w:rPr>
              <w:t>External members:</w:t>
            </w:r>
            <w:r w:rsidRPr="00E10A9E">
              <w:rPr>
                <w:rFonts w:eastAsia="Calibri"/>
              </w:rPr>
              <w:tab/>
            </w:r>
            <w:r>
              <w:rPr>
                <w:rFonts w:eastAsia="Calibri"/>
              </w:rPr>
              <w:t>Dr Nicola Murdock (Chair)</w:t>
            </w:r>
          </w:p>
          <w:p w:rsidR="005E75B1" w:rsidRDefault="005E75B1" w:rsidP="005E75B1">
            <w:pPr>
              <w:tabs>
                <w:tab w:val="left" w:pos="2975"/>
              </w:tabs>
              <w:spacing w:after="0"/>
              <w:ind w:left="2982"/>
              <w:jc w:val="both"/>
              <w:rPr>
                <w:rFonts w:eastAsia="Calibri"/>
              </w:rPr>
            </w:pPr>
            <w:r>
              <w:rPr>
                <w:rFonts w:eastAsia="Calibri"/>
              </w:rPr>
              <w:t>Ms Annette Sheffield</w:t>
            </w:r>
          </w:p>
          <w:p w:rsidR="005E75B1" w:rsidRPr="0071508E" w:rsidRDefault="005E75B1" w:rsidP="005E75B1">
            <w:pPr>
              <w:tabs>
                <w:tab w:val="left" w:pos="2975"/>
              </w:tabs>
              <w:spacing w:after="0"/>
              <w:ind w:left="2982"/>
              <w:jc w:val="both"/>
              <w:rPr>
                <w:rFonts w:eastAsia="Calibri"/>
              </w:rPr>
            </w:pPr>
            <w:r>
              <w:rPr>
                <w:rFonts w:eastAsia="Calibri"/>
              </w:rPr>
              <w:t xml:space="preserve">Ms Raelene Ward </w:t>
            </w:r>
          </w:p>
          <w:p w:rsidR="005E75B1" w:rsidRPr="00E10A9E" w:rsidRDefault="005E75B1" w:rsidP="005E75B1">
            <w:pPr>
              <w:tabs>
                <w:tab w:val="left" w:pos="2975"/>
              </w:tabs>
              <w:spacing w:before="120"/>
              <w:rPr>
                <w:rFonts w:eastAsia="Calibri"/>
              </w:rPr>
            </w:pPr>
            <w:r w:rsidRPr="00E10A9E">
              <w:rPr>
                <w:rFonts w:eastAsia="Calibri"/>
              </w:rPr>
              <w:t>Other government agency:</w:t>
            </w:r>
            <w:r w:rsidRPr="00E10A9E">
              <w:rPr>
                <w:rFonts w:eastAsia="Calibri"/>
              </w:rPr>
              <w:tab/>
            </w:r>
            <w:r>
              <w:rPr>
                <w:rFonts w:eastAsia="Calibri"/>
              </w:rPr>
              <w:t xml:space="preserve">Detective Senior Sergeant Glenn Horan </w:t>
            </w:r>
          </w:p>
          <w:p w:rsidR="005E75B1" w:rsidRPr="00E10A9E" w:rsidRDefault="005E75B1" w:rsidP="005E75B1">
            <w:pPr>
              <w:tabs>
                <w:tab w:val="left" w:pos="2975"/>
              </w:tabs>
              <w:spacing w:before="120"/>
              <w:rPr>
                <w:rFonts w:eastAsia="Calibri"/>
              </w:rPr>
            </w:pPr>
            <w:r w:rsidRPr="00E10A9E">
              <w:rPr>
                <w:rFonts w:eastAsia="Calibri"/>
              </w:rPr>
              <w:t>Departmental officer:</w:t>
            </w:r>
            <w:r w:rsidRPr="00E10A9E">
              <w:rPr>
                <w:rFonts w:eastAsia="Calibri"/>
              </w:rPr>
              <w:tab/>
            </w:r>
            <w:r>
              <w:rPr>
                <w:rFonts w:eastAsia="Calibri"/>
              </w:rPr>
              <w:t>Ms Bernadette Harvey</w:t>
            </w:r>
          </w:p>
          <w:p w:rsidR="005E75B1" w:rsidRPr="00E10A9E" w:rsidRDefault="005E75B1" w:rsidP="005E75B1">
            <w:pPr>
              <w:tabs>
                <w:tab w:val="left" w:pos="2975"/>
              </w:tabs>
              <w:spacing w:before="120"/>
              <w:rPr>
                <w:rFonts w:eastAsia="Calibri"/>
              </w:rPr>
            </w:pPr>
            <w:r>
              <w:rPr>
                <w:rFonts w:eastAsia="Calibri"/>
              </w:rPr>
              <w:t>Meeting date:</w:t>
            </w:r>
            <w:r>
              <w:rPr>
                <w:rFonts w:eastAsia="Calibri"/>
              </w:rPr>
              <w:tab/>
              <w:t xml:space="preserve">17 November 2017 </w:t>
            </w:r>
          </w:p>
          <w:p w:rsidR="005E75B1" w:rsidRPr="00E10A9E" w:rsidRDefault="005E75B1" w:rsidP="005E75B1">
            <w:pPr>
              <w:tabs>
                <w:tab w:val="left" w:pos="2975"/>
              </w:tabs>
              <w:spacing w:after="0"/>
              <w:rPr>
                <w:rFonts w:eastAsia="Calibri"/>
              </w:rPr>
            </w:pPr>
            <w:r w:rsidRPr="00E10A9E">
              <w:rPr>
                <w:rFonts w:eastAsia="Calibri"/>
              </w:rPr>
              <w:t>Date report delivered to</w:t>
            </w:r>
          </w:p>
          <w:p w:rsidR="005E75B1" w:rsidRPr="00E10A9E" w:rsidRDefault="005E75B1" w:rsidP="005E75B1">
            <w:pPr>
              <w:tabs>
                <w:tab w:val="left" w:pos="2975"/>
              </w:tabs>
              <w:rPr>
                <w:rFonts w:eastAsia="Calibri"/>
              </w:rPr>
            </w:pPr>
            <w:r>
              <w:rPr>
                <w:rFonts w:eastAsia="Calibri"/>
              </w:rPr>
              <w:t>Director-General:</w:t>
            </w:r>
            <w:r>
              <w:rPr>
                <w:rFonts w:eastAsia="Calibri"/>
              </w:rPr>
              <w:tab/>
              <w:t xml:space="preserve">19 February 2018 </w:t>
            </w:r>
          </w:p>
        </w:tc>
      </w:tr>
      <w:tr w:rsidR="005E75B1" w:rsidRPr="00410545" w:rsidTr="0021051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rsidR="005E75B1" w:rsidRPr="00D83A85" w:rsidRDefault="005E75B1" w:rsidP="005E75B1">
            <w:pPr>
              <w:spacing w:before="120" w:after="0"/>
              <w:jc w:val="both"/>
              <w:rPr>
                <w:rFonts w:cs="Arial"/>
                <w:b/>
              </w:rPr>
            </w:pPr>
            <w:r>
              <w:rPr>
                <w:rFonts w:cs="Arial"/>
                <w:b/>
              </w:rPr>
              <w:lastRenderedPageBreak/>
              <w:t>Panel 47</w:t>
            </w:r>
          </w:p>
        </w:tc>
        <w:tc>
          <w:tcPr>
            <w:tcW w:w="7829" w:type="dxa"/>
            <w:tcBorders>
              <w:top w:val="single" w:sz="4" w:space="0" w:color="auto"/>
              <w:left w:val="single" w:sz="4" w:space="0" w:color="auto"/>
              <w:bottom w:val="single" w:sz="4" w:space="0" w:color="auto"/>
              <w:right w:val="single" w:sz="4" w:space="0" w:color="auto"/>
            </w:tcBorders>
            <w:shd w:val="clear" w:color="auto" w:fill="auto"/>
          </w:tcPr>
          <w:p w:rsidR="005E75B1" w:rsidRPr="00D83A85" w:rsidRDefault="005E75B1" w:rsidP="005E75B1">
            <w:pPr>
              <w:tabs>
                <w:tab w:val="left" w:pos="2975"/>
              </w:tabs>
              <w:spacing w:before="120"/>
              <w:rPr>
                <w:rFonts w:eastAsia="Calibri"/>
              </w:rPr>
            </w:pPr>
            <w:r w:rsidRPr="00D83A85">
              <w:rPr>
                <w:rFonts w:eastAsia="Calibri"/>
              </w:rPr>
              <w:t>Theme:</w:t>
            </w:r>
            <w:r w:rsidRPr="00D83A85">
              <w:rPr>
                <w:rFonts w:eastAsia="Calibri"/>
              </w:rPr>
              <w:tab/>
            </w:r>
            <w:r w:rsidR="008670DF">
              <w:rPr>
                <w:rFonts w:eastAsia="Calibri"/>
              </w:rPr>
              <w:t>Un</w:t>
            </w:r>
            <w:r w:rsidR="00DF0854">
              <w:rPr>
                <w:rFonts w:eastAsia="Calibri"/>
              </w:rPr>
              <w:t>-</w:t>
            </w:r>
            <w:r w:rsidR="008670DF">
              <w:rPr>
                <w:rFonts w:eastAsia="Calibri"/>
              </w:rPr>
              <w:t>themed</w:t>
            </w:r>
            <w:r>
              <w:rPr>
                <w:rFonts w:eastAsia="Calibri"/>
              </w:rPr>
              <w:t xml:space="preserve"> </w:t>
            </w:r>
          </w:p>
          <w:p w:rsidR="005E75B1" w:rsidRDefault="005E75B1" w:rsidP="005E75B1">
            <w:pPr>
              <w:tabs>
                <w:tab w:val="left" w:pos="2975"/>
              </w:tabs>
              <w:spacing w:after="0"/>
              <w:jc w:val="both"/>
              <w:rPr>
                <w:rFonts w:eastAsia="Calibri"/>
              </w:rPr>
            </w:pPr>
            <w:r w:rsidRPr="00D83A85">
              <w:rPr>
                <w:rFonts w:eastAsia="Calibri"/>
              </w:rPr>
              <w:t>External members:</w:t>
            </w:r>
            <w:r w:rsidRPr="00D83A85">
              <w:rPr>
                <w:rFonts w:eastAsia="Calibri"/>
              </w:rPr>
              <w:tab/>
            </w:r>
            <w:r>
              <w:rPr>
                <w:rFonts w:eastAsia="Calibri"/>
              </w:rPr>
              <w:t xml:space="preserve">Ms Shanna Quinn (Chair) </w:t>
            </w:r>
          </w:p>
          <w:p w:rsidR="005E75B1" w:rsidRDefault="005E75B1" w:rsidP="005E75B1">
            <w:pPr>
              <w:tabs>
                <w:tab w:val="left" w:pos="2975"/>
              </w:tabs>
              <w:spacing w:after="0"/>
              <w:ind w:left="2982"/>
              <w:jc w:val="both"/>
              <w:rPr>
                <w:rFonts w:eastAsia="Calibri"/>
              </w:rPr>
            </w:pPr>
            <w:r>
              <w:rPr>
                <w:rFonts w:eastAsia="Calibri"/>
              </w:rPr>
              <w:t xml:space="preserve">Professor Cindy Shannon </w:t>
            </w:r>
          </w:p>
          <w:p w:rsidR="005E75B1" w:rsidRPr="00D83A85" w:rsidRDefault="005E75B1" w:rsidP="005E75B1">
            <w:pPr>
              <w:tabs>
                <w:tab w:val="left" w:pos="2975"/>
              </w:tabs>
              <w:spacing w:after="0"/>
              <w:ind w:left="2982"/>
              <w:jc w:val="both"/>
              <w:rPr>
                <w:rFonts w:eastAsia="Calibri"/>
              </w:rPr>
            </w:pPr>
            <w:r>
              <w:rPr>
                <w:rFonts w:eastAsia="Calibri"/>
              </w:rPr>
              <w:t xml:space="preserve">Ms Annette Sheffield </w:t>
            </w:r>
          </w:p>
          <w:p w:rsidR="005E75B1" w:rsidRPr="00D83A85" w:rsidRDefault="005E75B1" w:rsidP="005E75B1">
            <w:pPr>
              <w:tabs>
                <w:tab w:val="left" w:pos="2975"/>
              </w:tabs>
              <w:spacing w:before="120"/>
              <w:rPr>
                <w:rFonts w:eastAsia="Calibri"/>
              </w:rPr>
            </w:pPr>
            <w:r w:rsidRPr="00D83A85">
              <w:rPr>
                <w:rFonts w:eastAsia="Calibri"/>
              </w:rPr>
              <w:t>Other government agency:</w:t>
            </w:r>
            <w:r w:rsidRPr="00D83A85">
              <w:rPr>
                <w:rFonts w:eastAsia="Calibri"/>
              </w:rPr>
              <w:tab/>
            </w:r>
            <w:r>
              <w:rPr>
                <w:rFonts w:eastAsia="Calibri"/>
              </w:rPr>
              <w:t xml:space="preserve">Ms Anne Edwards </w:t>
            </w:r>
          </w:p>
          <w:p w:rsidR="005E75B1" w:rsidRPr="00D83A85" w:rsidRDefault="005E75B1" w:rsidP="005E75B1">
            <w:pPr>
              <w:tabs>
                <w:tab w:val="left" w:pos="2975"/>
              </w:tabs>
              <w:spacing w:before="120"/>
              <w:rPr>
                <w:rFonts w:eastAsia="Calibri"/>
              </w:rPr>
            </w:pPr>
            <w:r w:rsidRPr="00D83A85">
              <w:rPr>
                <w:rFonts w:eastAsia="Calibri"/>
              </w:rPr>
              <w:t>Departmental officer:</w:t>
            </w:r>
            <w:r w:rsidRPr="00D83A85">
              <w:rPr>
                <w:rFonts w:eastAsia="Calibri"/>
              </w:rPr>
              <w:tab/>
            </w:r>
            <w:r>
              <w:rPr>
                <w:rFonts w:eastAsia="Calibri"/>
              </w:rPr>
              <w:t xml:space="preserve">Donna Lockyer (apologies) </w:t>
            </w:r>
          </w:p>
          <w:p w:rsidR="005E75B1" w:rsidRPr="00D83A85" w:rsidRDefault="005E75B1" w:rsidP="005E75B1">
            <w:pPr>
              <w:tabs>
                <w:tab w:val="left" w:pos="2975"/>
              </w:tabs>
              <w:spacing w:before="120"/>
              <w:rPr>
                <w:rFonts w:eastAsia="Calibri"/>
              </w:rPr>
            </w:pPr>
            <w:r w:rsidRPr="00D83A85">
              <w:rPr>
                <w:rFonts w:eastAsia="Calibri"/>
              </w:rPr>
              <w:t>Meeting date</w:t>
            </w:r>
            <w:r>
              <w:rPr>
                <w:rFonts w:eastAsia="Calibri"/>
              </w:rPr>
              <w:t>s</w:t>
            </w:r>
            <w:r w:rsidRPr="00D83A85">
              <w:rPr>
                <w:rFonts w:eastAsia="Calibri"/>
              </w:rPr>
              <w:t>:</w:t>
            </w:r>
            <w:r w:rsidRPr="00D83A85">
              <w:rPr>
                <w:rFonts w:eastAsia="Calibri"/>
              </w:rPr>
              <w:tab/>
            </w:r>
            <w:r>
              <w:rPr>
                <w:rFonts w:eastAsia="Calibri"/>
              </w:rPr>
              <w:t>11 December 2017 and 3 January 2018</w:t>
            </w:r>
          </w:p>
          <w:p w:rsidR="005E75B1" w:rsidRPr="00D83A85" w:rsidRDefault="005E75B1" w:rsidP="005E75B1">
            <w:pPr>
              <w:tabs>
                <w:tab w:val="left" w:pos="2975"/>
              </w:tabs>
              <w:spacing w:after="0"/>
              <w:rPr>
                <w:rFonts w:eastAsia="Calibri"/>
              </w:rPr>
            </w:pPr>
            <w:r w:rsidRPr="00D83A85">
              <w:rPr>
                <w:rFonts w:eastAsia="Calibri"/>
              </w:rPr>
              <w:t>Date report delivered to</w:t>
            </w:r>
          </w:p>
          <w:p w:rsidR="005E75B1" w:rsidRPr="00D83A85" w:rsidRDefault="005E75B1" w:rsidP="005E75B1">
            <w:pPr>
              <w:tabs>
                <w:tab w:val="left" w:pos="2975"/>
              </w:tabs>
              <w:rPr>
                <w:rFonts w:eastAsia="Calibri"/>
              </w:rPr>
            </w:pPr>
            <w:r w:rsidRPr="00D83A85">
              <w:rPr>
                <w:rFonts w:eastAsia="Calibri"/>
              </w:rPr>
              <w:t>Director-General:</w:t>
            </w:r>
            <w:r w:rsidRPr="00D83A85">
              <w:rPr>
                <w:rFonts w:eastAsia="Calibri"/>
              </w:rPr>
              <w:tab/>
            </w:r>
            <w:r>
              <w:rPr>
                <w:rFonts w:eastAsia="Calibri"/>
              </w:rPr>
              <w:t>27 February 2018</w:t>
            </w:r>
          </w:p>
        </w:tc>
      </w:tr>
      <w:tr w:rsidR="005E75B1" w:rsidRPr="00410545" w:rsidTr="0021051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rsidR="005E75B1" w:rsidRPr="000824AE" w:rsidRDefault="005E75B1" w:rsidP="005E75B1">
            <w:pPr>
              <w:spacing w:before="120" w:after="0"/>
              <w:jc w:val="both"/>
              <w:rPr>
                <w:rFonts w:cs="Arial"/>
                <w:b/>
              </w:rPr>
            </w:pPr>
            <w:r w:rsidRPr="000824AE">
              <w:rPr>
                <w:rFonts w:cs="Arial"/>
                <w:b/>
              </w:rPr>
              <w:t xml:space="preserve">Panel </w:t>
            </w:r>
            <w:r>
              <w:rPr>
                <w:rFonts w:cs="Arial"/>
                <w:b/>
              </w:rPr>
              <w:t>48</w:t>
            </w:r>
          </w:p>
        </w:tc>
        <w:tc>
          <w:tcPr>
            <w:tcW w:w="7829" w:type="dxa"/>
            <w:tcBorders>
              <w:top w:val="single" w:sz="4" w:space="0" w:color="auto"/>
              <w:left w:val="single" w:sz="4" w:space="0" w:color="auto"/>
              <w:bottom w:val="single" w:sz="4" w:space="0" w:color="auto"/>
              <w:right w:val="single" w:sz="4" w:space="0" w:color="auto"/>
            </w:tcBorders>
            <w:shd w:val="clear" w:color="auto" w:fill="auto"/>
          </w:tcPr>
          <w:p w:rsidR="005E75B1" w:rsidRPr="000824AE" w:rsidRDefault="005E75B1" w:rsidP="005E75B1">
            <w:pPr>
              <w:tabs>
                <w:tab w:val="left" w:pos="2975"/>
              </w:tabs>
              <w:spacing w:before="120"/>
              <w:rPr>
                <w:rFonts w:eastAsia="Calibri"/>
              </w:rPr>
            </w:pPr>
            <w:r w:rsidRPr="000824AE">
              <w:rPr>
                <w:rFonts w:eastAsia="Calibri"/>
              </w:rPr>
              <w:t>Theme:</w:t>
            </w:r>
            <w:r w:rsidRPr="000824AE">
              <w:rPr>
                <w:rFonts w:eastAsia="Calibri"/>
              </w:rPr>
              <w:tab/>
            </w:r>
            <w:r>
              <w:rPr>
                <w:rFonts w:eastAsia="Calibri"/>
              </w:rPr>
              <w:t xml:space="preserve">Disease and morbid condition </w:t>
            </w:r>
          </w:p>
          <w:p w:rsidR="005E75B1" w:rsidRDefault="005E75B1" w:rsidP="000C74FC">
            <w:pPr>
              <w:tabs>
                <w:tab w:val="left" w:pos="2975"/>
              </w:tabs>
              <w:spacing w:after="0"/>
              <w:jc w:val="both"/>
              <w:rPr>
                <w:rFonts w:eastAsia="Calibri"/>
              </w:rPr>
            </w:pPr>
            <w:r w:rsidRPr="000824AE">
              <w:rPr>
                <w:rFonts w:eastAsia="Calibri"/>
              </w:rPr>
              <w:t>External members:</w:t>
            </w:r>
            <w:r w:rsidRPr="000824AE">
              <w:rPr>
                <w:rFonts w:eastAsia="Calibri"/>
              </w:rPr>
              <w:tab/>
            </w:r>
            <w:r>
              <w:rPr>
                <w:rFonts w:eastAsia="Calibri"/>
              </w:rPr>
              <w:t xml:space="preserve">Ms Shanna Quinn </w:t>
            </w:r>
            <w:r w:rsidR="000C74FC">
              <w:rPr>
                <w:rFonts w:eastAsia="Calibri"/>
              </w:rPr>
              <w:t>(Chair)</w:t>
            </w:r>
          </w:p>
          <w:p w:rsidR="000C74FC" w:rsidRDefault="000C74FC" w:rsidP="005E75B1">
            <w:pPr>
              <w:tabs>
                <w:tab w:val="left" w:pos="2975"/>
              </w:tabs>
              <w:spacing w:after="0"/>
              <w:ind w:left="2982"/>
              <w:jc w:val="both"/>
              <w:rPr>
                <w:rFonts w:eastAsia="Calibri"/>
              </w:rPr>
            </w:pPr>
            <w:r>
              <w:rPr>
                <w:rFonts w:eastAsia="Calibri"/>
              </w:rPr>
              <w:t xml:space="preserve">Dr Nicola Murdock </w:t>
            </w:r>
          </w:p>
          <w:p w:rsidR="005E75B1" w:rsidRDefault="005E75B1" w:rsidP="005E75B1">
            <w:pPr>
              <w:tabs>
                <w:tab w:val="left" w:pos="2975"/>
              </w:tabs>
              <w:spacing w:after="0"/>
              <w:ind w:left="2982"/>
              <w:jc w:val="both"/>
              <w:rPr>
                <w:rFonts w:eastAsia="Calibri"/>
              </w:rPr>
            </w:pPr>
            <w:r>
              <w:rPr>
                <w:rFonts w:eastAsia="Calibri"/>
              </w:rPr>
              <w:t xml:space="preserve">Professor Rosa Alati </w:t>
            </w:r>
          </w:p>
          <w:p w:rsidR="005E75B1" w:rsidRDefault="005E75B1" w:rsidP="005E75B1">
            <w:pPr>
              <w:tabs>
                <w:tab w:val="left" w:pos="2975"/>
              </w:tabs>
              <w:spacing w:after="0"/>
              <w:ind w:left="2982"/>
              <w:jc w:val="both"/>
              <w:rPr>
                <w:rFonts w:eastAsia="Calibri"/>
              </w:rPr>
            </w:pPr>
            <w:r>
              <w:rPr>
                <w:rFonts w:eastAsia="Calibri"/>
              </w:rPr>
              <w:t xml:space="preserve">Dr Deborah Walsh </w:t>
            </w:r>
          </w:p>
          <w:p w:rsidR="005E75B1" w:rsidRPr="000824AE" w:rsidRDefault="005E75B1" w:rsidP="005E75B1">
            <w:pPr>
              <w:tabs>
                <w:tab w:val="left" w:pos="2975"/>
              </w:tabs>
              <w:spacing w:after="0"/>
              <w:ind w:left="2982"/>
              <w:jc w:val="both"/>
              <w:rPr>
                <w:rFonts w:eastAsia="Calibri"/>
              </w:rPr>
            </w:pPr>
            <w:r>
              <w:rPr>
                <w:rFonts w:eastAsia="Calibri"/>
              </w:rPr>
              <w:t xml:space="preserve">Ms Raelene Ward </w:t>
            </w:r>
          </w:p>
          <w:p w:rsidR="005E75B1" w:rsidRPr="000824AE" w:rsidRDefault="005E75B1" w:rsidP="005E75B1">
            <w:pPr>
              <w:tabs>
                <w:tab w:val="left" w:pos="2975"/>
              </w:tabs>
              <w:spacing w:before="120"/>
              <w:rPr>
                <w:rFonts w:eastAsia="Calibri"/>
              </w:rPr>
            </w:pPr>
            <w:r w:rsidRPr="000824AE">
              <w:rPr>
                <w:rFonts w:eastAsia="Calibri"/>
              </w:rPr>
              <w:t>Other government agency:</w:t>
            </w:r>
            <w:r w:rsidRPr="000824AE">
              <w:rPr>
                <w:rFonts w:eastAsia="Calibri"/>
              </w:rPr>
              <w:tab/>
            </w:r>
            <w:r>
              <w:rPr>
                <w:rFonts w:eastAsia="Calibri"/>
              </w:rPr>
              <w:t xml:space="preserve">Ms Julie Kinross </w:t>
            </w:r>
          </w:p>
          <w:p w:rsidR="005E75B1" w:rsidRPr="000824AE" w:rsidRDefault="005E75B1" w:rsidP="005E75B1">
            <w:pPr>
              <w:tabs>
                <w:tab w:val="left" w:pos="2975"/>
              </w:tabs>
              <w:spacing w:before="120"/>
              <w:rPr>
                <w:rFonts w:eastAsia="Calibri"/>
              </w:rPr>
            </w:pPr>
            <w:r w:rsidRPr="000824AE">
              <w:rPr>
                <w:rFonts w:eastAsia="Calibri"/>
              </w:rPr>
              <w:t>Departmental officer:</w:t>
            </w:r>
            <w:r w:rsidRPr="000824AE">
              <w:rPr>
                <w:rFonts w:eastAsia="Calibri"/>
              </w:rPr>
              <w:tab/>
            </w:r>
            <w:r>
              <w:rPr>
                <w:rFonts w:eastAsia="Calibri"/>
              </w:rPr>
              <w:t xml:space="preserve">Ms Megan Giles </w:t>
            </w:r>
          </w:p>
          <w:p w:rsidR="005E75B1" w:rsidRPr="000824AE" w:rsidRDefault="005E75B1" w:rsidP="005E75B1">
            <w:pPr>
              <w:tabs>
                <w:tab w:val="left" w:pos="2975"/>
              </w:tabs>
              <w:spacing w:before="120"/>
              <w:rPr>
                <w:rFonts w:eastAsia="Calibri"/>
              </w:rPr>
            </w:pPr>
            <w:r w:rsidRPr="000824AE">
              <w:rPr>
                <w:rFonts w:eastAsia="Calibri"/>
              </w:rPr>
              <w:t>Meeting date:</w:t>
            </w:r>
            <w:r w:rsidRPr="000824AE">
              <w:rPr>
                <w:rFonts w:eastAsia="Calibri"/>
              </w:rPr>
              <w:tab/>
            </w:r>
            <w:r>
              <w:rPr>
                <w:rFonts w:eastAsia="Calibri"/>
              </w:rPr>
              <w:t xml:space="preserve">28 November 2017 </w:t>
            </w:r>
          </w:p>
          <w:p w:rsidR="005E75B1" w:rsidRPr="00120419" w:rsidRDefault="005E75B1" w:rsidP="00CD69FA">
            <w:pPr>
              <w:tabs>
                <w:tab w:val="left" w:pos="2975"/>
              </w:tabs>
              <w:spacing w:after="0"/>
              <w:rPr>
                <w:rFonts w:eastAsia="Calibri"/>
              </w:rPr>
            </w:pPr>
            <w:r w:rsidRPr="00120419">
              <w:rPr>
                <w:rFonts w:eastAsia="Calibri"/>
              </w:rPr>
              <w:t>Date report</w:t>
            </w:r>
            <w:r w:rsidR="001F1D91">
              <w:rPr>
                <w:rFonts w:eastAsia="Calibri"/>
              </w:rPr>
              <w:t>s</w:t>
            </w:r>
            <w:r w:rsidRPr="00120419">
              <w:rPr>
                <w:rFonts w:eastAsia="Calibri"/>
              </w:rPr>
              <w:t xml:space="preserve"> delivered to</w:t>
            </w:r>
          </w:p>
          <w:p w:rsidR="00911314" w:rsidRDefault="005E75B1" w:rsidP="00CD69FA">
            <w:pPr>
              <w:tabs>
                <w:tab w:val="left" w:pos="2975"/>
              </w:tabs>
              <w:spacing w:after="0"/>
              <w:rPr>
                <w:rFonts w:eastAsia="Calibri"/>
              </w:rPr>
            </w:pPr>
            <w:r w:rsidRPr="00120419">
              <w:rPr>
                <w:rFonts w:eastAsia="Calibri"/>
              </w:rPr>
              <w:t>Director-General</w:t>
            </w:r>
          </w:p>
          <w:p w:rsidR="00911314" w:rsidRDefault="00911314" w:rsidP="00CD69FA">
            <w:pPr>
              <w:tabs>
                <w:tab w:val="left" w:pos="2975"/>
              </w:tabs>
              <w:spacing w:after="0"/>
              <w:rPr>
                <w:rFonts w:eastAsia="Calibri"/>
              </w:rPr>
            </w:pPr>
            <w:r>
              <w:rPr>
                <w:rFonts w:eastAsia="Calibri"/>
              </w:rPr>
              <w:t>and Director of Child</w:t>
            </w:r>
          </w:p>
          <w:p w:rsidR="005E75B1" w:rsidRPr="000824AE" w:rsidRDefault="00911314" w:rsidP="000864DC">
            <w:pPr>
              <w:tabs>
                <w:tab w:val="left" w:pos="2975"/>
              </w:tabs>
              <w:rPr>
                <w:rFonts w:eastAsia="Calibri"/>
              </w:rPr>
            </w:pPr>
            <w:r>
              <w:rPr>
                <w:rFonts w:eastAsia="Calibri"/>
              </w:rPr>
              <w:t>Protection Litigation</w:t>
            </w:r>
            <w:r w:rsidR="000864DC">
              <w:rPr>
                <w:rFonts w:eastAsia="Calibri"/>
              </w:rPr>
              <w:t xml:space="preserve"> </w:t>
            </w:r>
            <w:r w:rsidR="00121828">
              <w:rPr>
                <w:rFonts w:eastAsia="Calibri"/>
              </w:rPr>
              <w:tab/>
            </w:r>
            <w:r w:rsidR="005E75B1">
              <w:rPr>
                <w:rFonts w:eastAsia="Calibri"/>
              </w:rPr>
              <w:t xml:space="preserve">27 February 2018 </w:t>
            </w:r>
          </w:p>
        </w:tc>
      </w:tr>
      <w:tr w:rsidR="00316080" w:rsidRPr="001F1D91" w:rsidTr="00316080">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rsidR="00316080" w:rsidRPr="001F1D91" w:rsidRDefault="00316080" w:rsidP="007274B8">
            <w:pPr>
              <w:spacing w:before="120" w:after="0"/>
              <w:jc w:val="both"/>
              <w:rPr>
                <w:rFonts w:cs="Arial"/>
                <w:b/>
              </w:rPr>
            </w:pPr>
            <w:r w:rsidRPr="001F1D91">
              <w:rPr>
                <w:rFonts w:cs="Arial"/>
                <w:b/>
              </w:rPr>
              <w:t xml:space="preserve">Panel 54 </w:t>
            </w:r>
          </w:p>
        </w:tc>
        <w:tc>
          <w:tcPr>
            <w:tcW w:w="7829" w:type="dxa"/>
            <w:tcBorders>
              <w:top w:val="single" w:sz="4" w:space="0" w:color="auto"/>
              <w:left w:val="single" w:sz="4" w:space="0" w:color="auto"/>
              <w:bottom w:val="single" w:sz="4" w:space="0" w:color="auto"/>
              <w:right w:val="single" w:sz="4" w:space="0" w:color="auto"/>
            </w:tcBorders>
            <w:shd w:val="clear" w:color="auto" w:fill="auto"/>
          </w:tcPr>
          <w:p w:rsidR="00316080" w:rsidRPr="001F1D91" w:rsidRDefault="00316080" w:rsidP="00DF0854">
            <w:pPr>
              <w:spacing w:before="120"/>
              <w:jc w:val="both"/>
              <w:rPr>
                <w:rFonts w:eastAsia="Calibri"/>
              </w:rPr>
            </w:pPr>
            <w:r w:rsidRPr="001F1D91">
              <w:rPr>
                <w:rFonts w:eastAsia="Calibri"/>
              </w:rPr>
              <w:t>Theme:</w:t>
            </w:r>
            <w:r w:rsidRPr="001F1D91">
              <w:rPr>
                <w:rFonts w:eastAsia="Calibri"/>
              </w:rPr>
              <w:tab/>
            </w:r>
            <w:r>
              <w:rPr>
                <w:rFonts w:eastAsia="Calibri"/>
              </w:rPr>
              <w:tab/>
            </w:r>
            <w:r>
              <w:rPr>
                <w:rFonts w:eastAsia="Calibri"/>
              </w:rPr>
              <w:tab/>
              <w:t>Serious injury</w:t>
            </w:r>
            <w:r w:rsidRPr="001F1D91">
              <w:rPr>
                <w:rFonts w:eastAsia="Calibri"/>
              </w:rPr>
              <w:t xml:space="preserve"> </w:t>
            </w:r>
          </w:p>
          <w:p w:rsidR="00316080" w:rsidRDefault="00316080" w:rsidP="00DF0854">
            <w:pPr>
              <w:spacing w:after="0"/>
              <w:jc w:val="both"/>
              <w:rPr>
                <w:rFonts w:eastAsia="Calibri"/>
              </w:rPr>
            </w:pPr>
            <w:r w:rsidRPr="001F1D91">
              <w:rPr>
                <w:rFonts w:eastAsia="Calibri"/>
              </w:rPr>
              <w:t>External members:</w:t>
            </w:r>
            <w:r w:rsidRPr="001F1D91">
              <w:rPr>
                <w:rFonts w:eastAsia="Calibri"/>
              </w:rPr>
              <w:tab/>
            </w:r>
            <w:r>
              <w:rPr>
                <w:rFonts w:eastAsia="Calibri"/>
              </w:rPr>
              <w:tab/>
              <w:t>Dr Nicola Murdock</w:t>
            </w:r>
            <w:r w:rsidRPr="001F1D91">
              <w:rPr>
                <w:rFonts w:eastAsia="Calibri"/>
              </w:rPr>
              <w:t xml:space="preserve"> (Chair)</w:t>
            </w:r>
          </w:p>
          <w:p w:rsidR="00316080" w:rsidRPr="001F1D91" w:rsidRDefault="00A20A0E" w:rsidP="00DF0854">
            <w:pPr>
              <w:spacing w:after="0"/>
              <w:jc w:val="both"/>
              <w:rPr>
                <w:rFonts w:eastAsia="Calibri"/>
              </w:rPr>
            </w:pPr>
            <w:r>
              <w:rPr>
                <w:rFonts w:eastAsia="Calibri"/>
              </w:rPr>
              <w:tab/>
            </w:r>
            <w:r>
              <w:rPr>
                <w:rFonts w:eastAsia="Calibri"/>
              </w:rPr>
              <w:tab/>
            </w:r>
            <w:r>
              <w:rPr>
                <w:rFonts w:eastAsia="Calibri"/>
              </w:rPr>
              <w:tab/>
            </w:r>
            <w:r>
              <w:rPr>
                <w:rFonts w:eastAsia="Calibri"/>
              </w:rPr>
              <w:tab/>
            </w:r>
            <w:r w:rsidR="00316080">
              <w:rPr>
                <w:rFonts w:eastAsia="Calibri"/>
              </w:rPr>
              <w:t>Ms Raelene Ward</w:t>
            </w:r>
          </w:p>
          <w:p w:rsidR="00316080" w:rsidRPr="001F1D91" w:rsidRDefault="00A20A0E" w:rsidP="00DF0854">
            <w:pPr>
              <w:spacing w:after="0"/>
              <w:jc w:val="both"/>
              <w:rPr>
                <w:rFonts w:eastAsia="Calibri"/>
              </w:rPr>
            </w:pPr>
            <w:r>
              <w:rPr>
                <w:rFonts w:eastAsia="Calibri"/>
              </w:rPr>
              <w:tab/>
            </w:r>
            <w:r>
              <w:rPr>
                <w:rFonts w:eastAsia="Calibri"/>
              </w:rPr>
              <w:tab/>
            </w:r>
            <w:r>
              <w:rPr>
                <w:rFonts w:eastAsia="Calibri"/>
              </w:rPr>
              <w:tab/>
            </w:r>
            <w:r>
              <w:rPr>
                <w:rFonts w:eastAsia="Calibri"/>
              </w:rPr>
              <w:tab/>
            </w:r>
            <w:r w:rsidR="00316080">
              <w:rPr>
                <w:rFonts w:eastAsia="Calibri"/>
              </w:rPr>
              <w:t>Dr Kairi Kolves</w:t>
            </w:r>
          </w:p>
          <w:p w:rsidR="00316080" w:rsidRPr="001F1D91" w:rsidRDefault="00316080" w:rsidP="00316080">
            <w:pPr>
              <w:spacing w:before="120" w:after="0"/>
              <w:jc w:val="both"/>
              <w:rPr>
                <w:rFonts w:eastAsia="Calibri"/>
              </w:rPr>
            </w:pPr>
            <w:r w:rsidRPr="001F1D91">
              <w:rPr>
                <w:rFonts w:eastAsia="Calibri"/>
              </w:rPr>
              <w:t>Other government agency:</w:t>
            </w:r>
            <w:r w:rsidRPr="001F1D91">
              <w:rPr>
                <w:rFonts w:eastAsia="Calibri"/>
              </w:rPr>
              <w:tab/>
            </w:r>
            <w:r>
              <w:rPr>
                <w:rFonts w:eastAsia="Calibri"/>
              </w:rPr>
              <w:t>Ms Hayley Stevenson</w:t>
            </w:r>
          </w:p>
          <w:p w:rsidR="00316080" w:rsidRPr="001F1D91" w:rsidRDefault="00316080" w:rsidP="00316080">
            <w:pPr>
              <w:spacing w:before="120" w:after="0"/>
              <w:jc w:val="both"/>
              <w:rPr>
                <w:rFonts w:eastAsia="Calibri"/>
              </w:rPr>
            </w:pPr>
            <w:r w:rsidRPr="001F1D91">
              <w:rPr>
                <w:rFonts w:eastAsia="Calibri"/>
              </w:rPr>
              <w:t>Departmental officer:</w:t>
            </w:r>
            <w:r w:rsidRPr="001F1D91">
              <w:rPr>
                <w:rFonts w:eastAsia="Calibri"/>
              </w:rPr>
              <w:tab/>
            </w:r>
            <w:r w:rsidR="00A20A0E">
              <w:rPr>
                <w:rFonts w:eastAsia="Calibri"/>
              </w:rPr>
              <w:tab/>
            </w:r>
            <w:r w:rsidRPr="001F1D91">
              <w:rPr>
                <w:rFonts w:eastAsia="Calibri"/>
              </w:rPr>
              <w:t xml:space="preserve">Ms </w:t>
            </w:r>
            <w:r>
              <w:rPr>
                <w:rFonts w:eastAsia="Calibri"/>
              </w:rPr>
              <w:t>Tammy Myles</w:t>
            </w:r>
          </w:p>
          <w:p w:rsidR="00316080" w:rsidRPr="001F1D91" w:rsidRDefault="00316080" w:rsidP="00316080">
            <w:pPr>
              <w:spacing w:before="120" w:after="0"/>
              <w:jc w:val="both"/>
              <w:rPr>
                <w:rFonts w:eastAsia="Calibri"/>
              </w:rPr>
            </w:pPr>
            <w:r w:rsidRPr="001F1D91">
              <w:rPr>
                <w:rFonts w:eastAsia="Calibri"/>
              </w:rPr>
              <w:t>Meeting date:</w:t>
            </w:r>
            <w:r w:rsidRPr="001F1D91">
              <w:rPr>
                <w:rFonts w:eastAsia="Calibri"/>
              </w:rPr>
              <w:tab/>
            </w:r>
            <w:r w:rsidR="00A20A0E">
              <w:rPr>
                <w:rFonts w:eastAsia="Calibri"/>
              </w:rPr>
              <w:tab/>
            </w:r>
            <w:r w:rsidR="00A20A0E">
              <w:rPr>
                <w:rFonts w:eastAsia="Calibri"/>
              </w:rPr>
              <w:tab/>
            </w:r>
            <w:r>
              <w:rPr>
                <w:rFonts w:eastAsia="Calibri"/>
              </w:rPr>
              <w:t>30</w:t>
            </w:r>
            <w:r w:rsidRPr="001F1D91">
              <w:rPr>
                <w:rFonts w:eastAsia="Calibri"/>
              </w:rPr>
              <w:t xml:space="preserve"> January 2018</w:t>
            </w:r>
          </w:p>
          <w:p w:rsidR="00316080" w:rsidRPr="001F1D91" w:rsidRDefault="00316080" w:rsidP="00316080">
            <w:pPr>
              <w:spacing w:before="120" w:after="0"/>
              <w:jc w:val="both"/>
              <w:rPr>
                <w:rFonts w:eastAsia="Calibri"/>
              </w:rPr>
            </w:pPr>
            <w:r w:rsidRPr="001F1D91">
              <w:rPr>
                <w:rFonts w:eastAsia="Calibri"/>
              </w:rPr>
              <w:t>Date report delivered to</w:t>
            </w:r>
          </w:p>
          <w:p w:rsidR="00316080" w:rsidRPr="001F1D91" w:rsidRDefault="00316080" w:rsidP="00A20A0E">
            <w:pPr>
              <w:jc w:val="both"/>
              <w:rPr>
                <w:rFonts w:eastAsia="Calibri"/>
              </w:rPr>
            </w:pPr>
            <w:r w:rsidRPr="001F1D91">
              <w:rPr>
                <w:rFonts w:eastAsia="Calibri"/>
              </w:rPr>
              <w:t>Director-General:</w:t>
            </w:r>
            <w:r w:rsidR="00A20A0E">
              <w:rPr>
                <w:rFonts w:eastAsia="Calibri"/>
              </w:rPr>
              <w:tab/>
            </w:r>
            <w:r w:rsidR="00A20A0E">
              <w:rPr>
                <w:rFonts w:eastAsia="Calibri"/>
              </w:rPr>
              <w:tab/>
            </w:r>
            <w:r w:rsidRPr="001F1D91">
              <w:rPr>
                <w:rFonts w:eastAsia="Calibri"/>
              </w:rPr>
              <w:t xml:space="preserve"> </w:t>
            </w:r>
            <w:r>
              <w:rPr>
                <w:rFonts w:eastAsia="Calibri"/>
              </w:rPr>
              <w:t xml:space="preserve">27 February </w:t>
            </w:r>
            <w:r w:rsidRPr="001F1D91">
              <w:rPr>
                <w:rFonts w:eastAsia="Calibri"/>
              </w:rPr>
              <w:t>2018</w:t>
            </w:r>
            <w:r w:rsidRPr="001F1D91">
              <w:rPr>
                <w:rFonts w:eastAsia="Calibri"/>
              </w:rPr>
              <w:tab/>
            </w:r>
          </w:p>
        </w:tc>
      </w:tr>
      <w:tr w:rsidR="005E75B1" w:rsidRPr="00410545" w:rsidTr="0021051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rsidR="005E75B1" w:rsidRPr="00A23D62" w:rsidRDefault="005E75B1" w:rsidP="005E75B1">
            <w:pPr>
              <w:spacing w:before="120" w:after="0"/>
              <w:jc w:val="both"/>
              <w:rPr>
                <w:rFonts w:cs="Arial"/>
                <w:b/>
              </w:rPr>
            </w:pPr>
            <w:r>
              <w:rPr>
                <w:rFonts w:cs="Arial"/>
                <w:b/>
              </w:rPr>
              <w:lastRenderedPageBreak/>
              <w:t>Panel 50</w:t>
            </w:r>
          </w:p>
        </w:tc>
        <w:tc>
          <w:tcPr>
            <w:tcW w:w="7829" w:type="dxa"/>
            <w:tcBorders>
              <w:top w:val="single" w:sz="4" w:space="0" w:color="auto"/>
              <w:left w:val="single" w:sz="4" w:space="0" w:color="auto"/>
              <w:bottom w:val="single" w:sz="4" w:space="0" w:color="auto"/>
              <w:right w:val="single" w:sz="4" w:space="0" w:color="auto"/>
            </w:tcBorders>
            <w:shd w:val="clear" w:color="auto" w:fill="auto"/>
          </w:tcPr>
          <w:p w:rsidR="005E75B1" w:rsidRPr="00A23D62" w:rsidRDefault="005E75B1" w:rsidP="005E75B1">
            <w:pPr>
              <w:tabs>
                <w:tab w:val="left" w:pos="2975"/>
              </w:tabs>
              <w:spacing w:before="120"/>
              <w:rPr>
                <w:rFonts w:eastAsia="Calibri"/>
              </w:rPr>
            </w:pPr>
            <w:r w:rsidRPr="00A23D62">
              <w:rPr>
                <w:rFonts w:eastAsia="Calibri"/>
              </w:rPr>
              <w:t>Theme:</w:t>
            </w:r>
            <w:r w:rsidRPr="00A23D62">
              <w:rPr>
                <w:rFonts w:eastAsia="Calibri"/>
              </w:rPr>
              <w:tab/>
            </w:r>
            <w:r>
              <w:rPr>
                <w:rFonts w:eastAsia="Calibri"/>
              </w:rPr>
              <w:t xml:space="preserve">0-4 years </w:t>
            </w:r>
          </w:p>
          <w:p w:rsidR="005E75B1" w:rsidRDefault="005E75B1" w:rsidP="005E75B1">
            <w:pPr>
              <w:tabs>
                <w:tab w:val="left" w:pos="2975"/>
              </w:tabs>
              <w:spacing w:after="0"/>
              <w:jc w:val="both"/>
              <w:rPr>
                <w:rFonts w:eastAsia="Calibri"/>
              </w:rPr>
            </w:pPr>
            <w:r w:rsidRPr="00A23D62">
              <w:rPr>
                <w:rFonts w:eastAsia="Calibri"/>
              </w:rPr>
              <w:t>External members:</w:t>
            </w:r>
            <w:r w:rsidRPr="00A23D62">
              <w:rPr>
                <w:rFonts w:eastAsia="Calibri"/>
              </w:rPr>
              <w:tab/>
            </w:r>
            <w:r>
              <w:rPr>
                <w:rFonts w:eastAsia="Calibri"/>
              </w:rPr>
              <w:t>Ms Annette Sheffield (Chair)</w:t>
            </w:r>
          </w:p>
          <w:p w:rsidR="005E75B1" w:rsidRDefault="005E75B1" w:rsidP="005E75B1">
            <w:pPr>
              <w:tabs>
                <w:tab w:val="left" w:pos="2975"/>
              </w:tabs>
              <w:spacing w:after="0"/>
              <w:jc w:val="both"/>
              <w:rPr>
                <w:rFonts w:eastAsia="Calibri"/>
              </w:rPr>
            </w:pPr>
            <w:r>
              <w:rPr>
                <w:rFonts w:eastAsia="Calibri"/>
              </w:rPr>
              <w:t xml:space="preserve">                                                 Ms Susan Teerds</w:t>
            </w:r>
          </w:p>
          <w:p w:rsidR="005E75B1" w:rsidRPr="0071508E" w:rsidRDefault="005E75B1" w:rsidP="005E75B1">
            <w:pPr>
              <w:tabs>
                <w:tab w:val="left" w:pos="2975"/>
              </w:tabs>
              <w:spacing w:after="0"/>
              <w:jc w:val="both"/>
              <w:rPr>
                <w:rFonts w:eastAsia="Calibri"/>
              </w:rPr>
            </w:pPr>
            <w:r>
              <w:rPr>
                <w:rFonts w:eastAsia="Calibri"/>
              </w:rPr>
              <w:t xml:space="preserve">                                                 Professor Cindy Shannon</w:t>
            </w:r>
          </w:p>
          <w:p w:rsidR="005E75B1" w:rsidRPr="00A23D62" w:rsidRDefault="005E75B1" w:rsidP="005E75B1">
            <w:pPr>
              <w:tabs>
                <w:tab w:val="left" w:pos="2975"/>
              </w:tabs>
              <w:spacing w:before="120"/>
              <w:rPr>
                <w:rFonts w:eastAsia="Calibri"/>
              </w:rPr>
            </w:pPr>
            <w:r w:rsidRPr="00A23D62">
              <w:rPr>
                <w:rFonts w:eastAsia="Calibri"/>
              </w:rPr>
              <w:t>Other government agency:</w:t>
            </w:r>
            <w:r w:rsidRPr="00A23D62">
              <w:rPr>
                <w:rFonts w:eastAsia="Calibri"/>
              </w:rPr>
              <w:tab/>
            </w:r>
            <w:r>
              <w:rPr>
                <w:rFonts w:eastAsia="Calibri"/>
              </w:rPr>
              <w:t>Mr Graham Kraak</w:t>
            </w:r>
          </w:p>
          <w:p w:rsidR="005E75B1" w:rsidRPr="00A23D62" w:rsidRDefault="005E75B1" w:rsidP="005E75B1">
            <w:pPr>
              <w:tabs>
                <w:tab w:val="left" w:pos="2975"/>
              </w:tabs>
              <w:spacing w:before="120"/>
              <w:rPr>
                <w:rFonts w:eastAsia="Calibri"/>
              </w:rPr>
            </w:pPr>
            <w:r w:rsidRPr="00A23D62">
              <w:rPr>
                <w:rFonts w:eastAsia="Calibri"/>
              </w:rPr>
              <w:t>Departmental officer:</w:t>
            </w:r>
            <w:r w:rsidRPr="00A23D62">
              <w:rPr>
                <w:rFonts w:eastAsia="Calibri"/>
              </w:rPr>
              <w:tab/>
            </w:r>
            <w:r>
              <w:rPr>
                <w:rFonts w:eastAsia="Calibri"/>
              </w:rPr>
              <w:t>Ms Bernadette Harvey</w:t>
            </w:r>
          </w:p>
          <w:p w:rsidR="005E75B1" w:rsidRPr="00A23D62" w:rsidRDefault="005E75B1" w:rsidP="005E75B1">
            <w:pPr>
              <w:tabs>
                <w:tab w:val="left" w:pos="2975"/>
              </w:tabs>
              <w:spacing w:before="120"/>
              <w:rPr>
                <w:rFonts w:eastAsia="Calibri"/>
              </w:rPr>
            </w:pPr>
            <w:r w:rsidRPr="00A23D62">
              <w:rPr>
                <w:rFonts w:eastAsia="Calibri"/>
              </w:rPr>
              <w:t>Meeting date:</w:t>
            </w:r>
            <w:r w:rsidRPr="00A23D62">
              <w:rPr>
                <w:rFonts w:eastAsia="Calibri"/>
              </w:rPr>
              <w:tab/>
            </w:r>
            <w:r>
              <w:rPr>
                <w:rFonts w:eastAsia="Calibri"/>
              </w:rPr>
              <w:t>18 January 2018</w:t>
            </w:r>
          </w:p>
          <w:p w:rsidR="005E75B1" w:rsidRPr="00C636C9" w:rsidRDefault="005E75B1" w:rsidP="005E75B1">
            <w:pPr>
              <w:tabs>
                <w:tab w:val="left" w:pos="2975"/>
              </w:tabs>
              <w:spacing w:after="0"/>
              <w:rPr>
                <w:rFonts w:eastAsia="Calibri"/>
              </w:rPr>
            </w:pPr>
            <w:r w:rsidRPr="00C636C9">
              <w:rPr>
                <w:rFonts w:eastAsia="Calibri"/>
              </w:rPr>
              <w:t>Date report delivered to</w:t>
            </w:r>
          </w:p>
          <w:p w:rsidR="005E75B1" w:rsidRPr="00A23D62" w:rsidRDefault="005E75B1" w:rsidP="005E75B1">
            <w:pPr>
              <w:tabs>
                <w:tab w:val="left" w:pos="2975"/>
              </w:tabs>
              <w:rPr>
                <w:rFonts w:eastAsia="Calibri"/>
              </w:rPr>
            </w:pPr>
            <w:r w:rsidRPr="00C636C9">
              <w:rPr>
                <w:rFonts w:eastAsia="Calibri"/>
              </w:rPr>
              <w:t>Director-General:</w:t>
            </w:r>
            <w:r>
              <w:rPr>
                <w:rFonts w:eastAsia="Calibri"/>
              </w:rPr>
              <w:t xml:space="preserve">                      29 March 2018</w:t>
            </w:r>
            <w:r w:rsidRPr="0027688D">
              <w:rPr>
                <w:rFonts w:eastAsia="Calibri"/>
              </w:rPr>
              <w:tab/>
            </w:r>
          </w:p>
        </w:tc>
      </w:tr>
      <w:tr w:rsidR="006E510D" w:rsidRPr="001F1D91" w:rsidTr="0021051A">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rsidR="006E510D" w:rsidRPr="001F1D91" w:rsidRDefault="006E510D" w:rsidP="005E75B1">
            <w:pPr>
              <w:spacing w:before="120" w:after="0"/>
              <w:jc w:val="both"/>
              <w:rPr>
                <w:rFonts w:cs="Arial"/>
                <w:b/>
              </w:rPr>
            </w:pPr>
            <w:r w:rsidRPr="001F1D91">
              <w:rPr>
                <w:rFonts w:cs="Arial"/>
                <w:b/>
              </w:rPr>
              <w:t>Panel 52</w:t>
            </w:r>
          </w:p>
        </w:tc>
        <w:tc>
          <w:tcPr>
            <w:tcW w:w="7829" w:type="dxa"/>
            <w:tcBorders>
              <w:top w:val="single" w:sz="4" w:space="0" w:color="auto"/>
              <w:left w:val="single" w:sz="4" w:space="0" w:color="auto"/>
              <w:bottom w:val="single" w:sz="4" w:space="0" w:color="auto"/>
              <w:right w:val="single" w:sz="4" w:space="0" w:color="auto"/>
            </w:tcBorders>
            <w:shd w:val="clear" w:color="auto" w:fill="auto"/>
          </w:tcPr>
          <w:p w:rsidR="006E510D" w:rsidRPr="001F1D91" w:rsidRDefault="006E510D" w:rsidP="006E510D">
            <w:pPr>
              <w:tabs>
                <w:tab w:val="left" w:pos="2975"/>
              </w:tabs>
              <w:spacing w:before="120"/>
              <w:rPr>
                <w:rFonts w:eastAsia="Calibri"/>
              </w:rPr>
            </w:pPr>
            <w:r w:rsidRPr="001F1D91">
              <w:rPr>
                <w:rFonts w:eastAsia="Calibri"/>
              </w:rPr>
              <w:t>Theme:</w:t>
            </w:r>
            <w:r w:rsidRPr="001F1D91">
              <w:rPr>
                <w:rFonts w:eastAsia="Calibri"/>
              </w:rPr>
              <w:tab/>
            </w:r>
            <w:r w:rsidR="002C63F0">
              <w:rPr>
                <w:rFonts w:eastAsia="Calibri"/>
              </w:rPr>
              <w:t>Under 1</w:t>
            </w:r>
          </w:p>
          <w:p w:rsidR="006E510D" w:rsidRPr="001F1D91" w:rsidRDefault="006E510D" w:rsidP="006E510D">
            <w:pPr>
              <w:tabs>
                <w:tab w:val="left" w:pos="2975"/>
              </w:tabs>
              <w:spacing w:after="0"/>
              <w:jc w:val="both"/>
              <w:rPr>
                <w:rFonts w:eastAsia="Calibri"/>
              </w:rPr>
            </w:pPr>
            <w:r w:rsidRPr="001F1D91">
              <w:rPr>
                <w:rFonts w:eastAsia="Calibri"/>
              </w:rPr>
              <w:t>External members:</w:t>
            </w:r>
            <w:r w:rsidRPr="001F1D91">
              <w:rPr>
                <w:rFonts w:eastAsia="Calibri"/>
              </w:rPr>
              <w:tab/>
            </w:r>
            <w:r w:rsidR="008D2AA3">
              <w:rPr>
                <w:rFonts w:eastAsia="Calibri"/>
              </w:rPr>
              <w:t>Dr Nicola Murdock</w:t>
            </w:r>
            <w:r w:rsidRPr="001F1D91">
              <w:rPr>
                <w:rFonts w:eastAsia="Calibri"/>
              </w:rPr>
              <w:t xml:space="preserve"> (Chair)</w:t>
            </w:r>
          </w:p>
          <w:p w:rsidR="006E510D" w:rsidRPr="001F1D91" w:rsidRDefault="006E510D" w:rsidP="006E510D">
            <w:pPr>
              <w:tabs>
                <w:tab w:val="left" w:pos="2975"/>
              </w:tabs>
              <w:spacing w:after="0"/>
              <w:jc w:val="both"/>
              <w:rPr>
                <w:rFonts w:eastAsia="Calibri"/>
              </w:rPr>
            </w:pPr>
            <w:r w:rsidRPr="001F1D91">
              <w:rPr>
                <w:rFonts w:eastAsia="Calibri"/>
              </w:rPr>
              <w:t xml:space="preserve">                                                 </w:t>
            </w:r>
            <w:r w:rsidR="008D2AA3">
              <w:rPr>
                <w:rFonts w:eastAsia="Calibri"/>
              </w:rPr>
              <w:t>Mr Clinton Schultz</w:t>
            </w:r>
          </w:p>
          <w:p w:rsidR="006E510D" w:rsidRPr="001F1D91" w:rsidRDefault="006E510D" w:rsidP="006E510D">
            <w:pPr>
              <w:tabs>
                <w:tab w:val="left" w:pos="2975"/>
              </w:tabs>
              <w:spacing w:after="0"/>
              <w:jc w:val="both"/>
              <w:rPr>
                <w:rFonts w:eastAsia="Calibri"/>
              </w:rPr>
            </w:pPr>
            <w:r w:rsidRPr="001F1D91">
              <w:rPr>
                <w:rFonts w:eastAsia="Calibri"/>
              </w:rPr>
              <w:t xml:space="preserve">                                                 Professor </w:t>
            </w:r>
            <w:r w:rsidR="008D2AA3">
              <w:rPr>
                <w:rFonts w:eastAsia="Calibri"/>
              </w:rPr>
              <w:t>Paul Colditz</w:t>
            </w:r>
          </w:p>
          <w:p w:rsidR="006E510D" w:rsidRPr="001F1D91" w:rsidRDefault="008D2AA3" w:rsidP="006E510D">
            <w:pPr>
              <w:tabs>
                <w:tab w:val="left" w:pos="2975"/>
              </w:tabs>
              <w:spacing w:after="0"/>
              <w:jc w:val="both"/>
              <w:rPr>
                <w:rFonts w:eastAsia="Calibri"/>
              </w:rPr>
            </w:pPr>
            <w:r>
              <w:rPr>
                <w:rFonts w:eastAsia="Calibri"/>
              </w:rPr>
              <w:tab/>
              <w:t>Ms Laurel Downey</w:t>
            </w:r>
          </w:p>
          <w:p w:rsidR="006E510D" w:rsidRPr="001F1D91" w:rsidRDefault="006E510D" w:rsidP="006E510D">
            <w:pPr>
              <w:tabs>
                <w:tab w:val="left" w:pos="2975"/>
              </w:tabs>
              <w:spacing w:before="120"/>
              <w:rPr>
                <w:rFonts w:eastAsia="Calibri"/>
              </w:rPr>
            </w:pPr>
            <w:r w:rsidRPr="001F1D91">
              <w:rPr>
                <w:rFonts w:eastAsia="Calibri"/>
              </w:rPr>
              <w:t>Other government agency:</w:t>
            </w:r>
            <w:r w:rsidRPr="001F1D91">
              <w:rPr>
                <w:rFonts w:eastAsia="Calibri"/>
              </w:rPr>
              <w:tab/>
            </w:r>
            <w:r w:rsidR="008D2AA3">
              <w:rPr>
                <w:rFonts w:eastAsia="Calibri"/>
              </w:rPr>
              <w:t>Ms Anne Edwards</w:t>
            </w:r>
          </w:p>
          <w:p w:rsidR="006E510D" w:rsidRPr="001F1D91" w:rsidRDefault="006E510D" w:rsidP="006E510D">
            <w:pPr>
              <w:tabs>
                <w:tab w:val="left" w:pos="2975"/>
              </w:tabs>
              <w:spacing w:before="120"/>
              <w:rPr>
                <w:rFonts w:eastAsia="Calibri"/>
              </w:rPr>
            </w:pPr>
            <w:r w:rsidRPr="001F1D91">
              <w:rPr>
                <w:rFonts w:eastAsia="Calibri"/>
              </w:rPr>
              <w:t>Departmental officer:</w:t>
            </w:r>
            <w:r w:rsidRPr="001F1D91">
              <w:rPr>
                <w:rFonts w:eastAsia="Calibri"/>
              </w:rPr>
              <w:tab/>
              <w:t xml:space="preserve">Ms </w:t>
            </w:r>
            <w:r w:rsidR="008D2AA3">
              <w:rPr>
                <w:rFonts w:eastAsia="Calibri"/>
              </w:rPr>
              <w:t>Donna Lockyer</w:t>
            </w:r>
          </w:p>
          <w:p w:rsidR="006E510D" w:rsidRPr="001F1D91" w:rsidRDefault="006E510D" w:rsidP="006E510D">
            <w:pPr>
              <w:tabs>
                <w:tab w:val="left" w:pos="2975"/>
              </w:tabs>
              <w:spacing w:before="120"/>
              <w:rPr>
                <w:rFonts w:eastAsia="Calibri"/>
              </w:rPr>
            </w:pPr>
            <w:r w:rsidRPr="001F1D91">
              <w:rPr>
                <w:rFonts w:eastAsia="Calibri"/>
              </w:rPr>
              <w:t>Meeting date:</w:t>
            </w:r>
            <w:r w:rsidRPr="001F1D91">
              <w:rPr>
                <w:rFonts w:eastAsia="Calibri"/>
              </w:rPr>
              <w:tab/>
            </w:r>
            <w:r w:rsidR="007E37C1" w:rsidRPr="001F1D91">
              <w:rPr>
                <w:rFonts w:eastAsia="Calibri"/>
              </w:rPr>
              <w:t>1</w:t>
            </w:r>
            <w:r w:rsidR="007E37C1">
              <w:rPr>
                <w:rFonts w:eastAsia="Calibri"/>
              </w:rPr>
              <w:t xml:space="preserve">3 February </w:t>
            </w:r>
            <w:r w:rsidRPr="001F1D91">
              <w:rPr>
                <w:rFonts w:eastAsia="Calibri"/>
              </w:rPr>
              <w:t>2018</w:t>
            </w:r>
          </w:p>
          <w:p w:rsidR="006E510D" w:rsidRPr="001F1D91" w:rsidRDefault="006E510D" w:rsidP="006E510D">
            <w:pPr>
              <w:tabs>
                <w:tab w:val="left" w:pos="2975"/>
              </w:tabs>
              <w:spacing w:after="0"/>
              <w:rPr>
                <w:rFonts w:eastAsia="Calibri"/>
              </w:rPr>
            </w:pPr>
            <w:r w:rsidRPr="001F1D91">
              <w:rPr>
                <w:rFonts w:eastAsia="Calibri"/>
              </w:rPr>
              <w:t>Date report delivered to</w:t>
            </w:r>
          </w:p>
          <w:p w:rsidR="006E510D" w:rsidRPr="001F1D91" w:rsidRDefault="006E510D" w:rsidP="00A20A0E">
            <w:pPr>
              <w:tabs>
                <w:tab w:val="left" w:pos="2975"/>
              </w:tabs>
              <w:rPr>
                <w:rFonts w:eastAsia="Calibri"/>
              </w:rPr>
            </w:pPr>
            <w:r w:rsidRPr="001F1D91">
              <w:rPr>
                <w:rFonts w:eastAsia="Calibri"/>
              </w:rPr>
              <w:t>Director-General:</w:t>
            </w:r>
            <w:r w:rsidR="00A20A0E">
              <w:rPr>
                <w:rFonts w:eastAsia="Calibri"/>
              </w:rPr>
              <w:t xml:space="preserve"> </w:t>
            </w:r>
            <w:r w:rsidR="00A20A0E">
              <w:rPr>
                <w:rFonts w:eastAsia="Calibri"/>
              </w:rPr>
              <w:tab/>
            </w:r>
            <w:r w:rsidR="009A7EE3">
              <w:rPr>
                <w:rFonts w:eastAsia="Calibri"/>
              </w:rPr>
              <w:t>3 May</w:t>
            </w:r>
            <w:r w:rsidRPr="001F1D91">
              <w:rPr>
                <w:rFonts w:eastAsia="Calibri"/>
              </w:rPr>
              <w:t xml:space="preserve"> 2018</w:t>
            </w:r>
            <w:r w:rsidRPr="001F1D91">
              <w:rPr>
                <w:rFonts w:eastAsia="Calibri"/>
              </w:rPr>
              <w:tab/>
            </w:r>
          </w:p>
        </w:tc>
      </w:tr>
      <w:tr w:rsidR="001F1D91" w:rsidRPr="00410545" w:rsidTr="001F1D91">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rsidR="001F1D91" w:rsidRPr="001F1D91" w:rsidRDefault="001F1D91" w:rsidP="007274B8">
            <w:pPr>
              <w:spacing w:before="120" w:after="0"/>
              <w:jc w:val="both"/>
              <w:rPr>
                <w:rFonts w:cs="Arial"/>
                <w:b/>
              </w:rPr>
            </w:pPr>
            <w:r w:rsidRPr="001F1D91">
              <w:rPr>
                <w:rFonts w:cs="Arial"/>
                <w:b/>
              </w:rPr>
              <w:t>Panel 49</w:t>
            </w:r>
          </w:p>
        </w:tc>
        <w:tc>
          <w:tcPr>
            <w:tcW w:w="7829" w:type="dxa"/>
            <w:tcBorders>
              <w:top w:val="single" w:sz="4" w:space="0" w:color="auto"/>
              <w:left w:val="single" w:sz="4" w:space="0" w:color="auto"/>
              <w:bottom w:val="single" w:sz="4" w:space="0" w:color="auto"/>
              <w:right w:val="single" w:sz="4" w:space="0" w:color="auto"/>
            </w:tcBorders>
            <w:shd w:val="clear" w:color="auto" w:fill="auto"/>
          </w:tcPr>
          <w:p w:rsidR="001F1D91" w:rsidRPr="001F1D91" w:rsidRDefault="001F1D91" w:rsidP="007274B8">
            <w:pPr>
              <w:tabs>
                <w:tab w:val="left" w:pos="2975"/>
              </w:tabs>
              <w:spacing w:before="120"/>
              <w:rPr>
                <w:rFonts w:eastAsia="Calibri"/>
              </w:rPr>
            </w:pPr>
            <w:r w:rsidRPr="001F1D91">
              <w:rPr>
                <w:rFonts w:eastAsia="Calibri"/>
              </w:rPr>
              <w:t>Theme:</w:t>
            </w:r>
            <w:r w:rsidRPr="001F1D91">
              <w:rPr>
                <w:rFonts w:eastAsia="Calibri"/>
              </w:rPr>
              <w:tab/>
              <w:t>Serious Injur</w:t>
            </w:r>
            <w:r w:rsidR="00993E90">
              <w:rPr>
                <w:rFonts w:eastAsia="Calibri"/>
              </w:rPr>
              <w:t>ies</w:t>
            </w:r>
            <w:r w:rsidRPr="001F1D91">
              <w:rPr>
                <w:rFonts w:eastAsia="Calibri"/>
              </w:rPr>
              <w:t xml:space="preserve"> </w:t>
            </w:r>
          </w:p>
          <w:p w:rsidR="001F1D91" w:rsidRPr="001F1D91" w:rsidRDefault="001F1D91" w:rsidP="00DF0854">
            <w:pPr>
              <w:tabs>
                <w:tab w:val="left" w:pos="2975"/>
              </w:tabs>
              <w:spacing w:after="0"/>
              <w:rPr>
                <w:rFonts w:eastAsia="Calibri"/>
              </w:rPr>
            </w:pPr>
            <w:r w:rsidRPr="001F1D91">
              <w:rPr>
                <w:rFonts w:eastAsia="Calibri"/>
              </w:rPr>
              <w:t>External members:</w:t>
            </w:r>
            <w:r w:rsidRPr="001F1D91">
              <w:rPr>
                <w:rFonts w:eastAsia="Calibri"/>
              </w:rPr>
              <w:tab/>
              <w:t>Dr Nicola Murdock (Chair)</w:t>
            </w:r>
          </w:p>
          <w:p w:rsidR="001F1D91" w:rsidRPr="001F1D91" w:rsidRDefault="00653E9D" w:rsidP="00DF0854">
            <w:pPr>
              <w:tabs>
                <w:tab w:val="left" w:pos="2975"/>
              </w:tabs>
              <w:spacing w:after="0"/>
              <w:rPr>
                <w:rFonts w:eastAsia="Calibri"/>
              </w:rPr>
            </w:pPr>
            <w:r>
              <w:rPr>
                <w:rFonts w:eastAsia="Calibri"/>
              </w:rPr>
              <w:tab/>
            </w:r>
            <w:r w:rsidR="001F1D91" w:rsidRPr="001F1D91">
              <w:rPr>
                <w:rFonts w:eastAsia="Calibri"/>
              </w:rPr>
              <w:t>Professor Rosa Alati</w:t>
            </w:r>
          </w:p>
          <w:p w:rsidR="001F1D91" w:rsidRPr="001F1D91" w:rsidRDefault="00653E9D" w:rsidP="00DF0854">
            <w:pPr>
              <w:tabs>
                <w:tab w:val="left" w:pos="2975"/>
              </w:tabs>
              <w:spacing w:after="0"/>
              <w:rPr>
                <w:rFonts w:eastAsia="Calibri"/>
              </w:rPr>
            </w:pPr>
            <w:r>
              <w:rPr>
                <w:rFonts w:eastAsia="Calibri"/>
              </w:rPr>
              <w:tab/>
            </w:r>
            <w:r w:rsidR="001F1D91" w:rsidRPr="001F1D91">
              <w:rPr>
                <w:rFonts w:eastAsia="Calibri"/>
              </w:rPr>
              <w:t xml:space="preserve">Ms Raelene Ward </w:t>
            </w:r>
          </w:p>
          <w:p w:rsidR="001F1D91" w:rsidRPr="001F1D91" w:rsidRDefault="001F1D91" w:rsidP="00DF0854">
            <w:pPr>
              <w:tabs>
                <w:tab w:val="left" w:pos="2975"/>
              </w:tabs>
              <w:spacing w:before="120" w:after="0"/>
              <w:rPr>
                <w:rFonts w:eastAsia="Calibri"/>
              </w:rPr>
            </w:pPr>
            <w:r w:rsidRPr="001F1D91">
              <w:rPr>
                <w:rFonts w:eastAsia="Calibri"/>
              </w:rPr>
              <w:t>Other government agency:</w:t>
            </w:r>
            <w:r w:rsidRPr="001F1D91">
              <w:rPr>
                <w:rFonts w:eastAsia="Calibri"/>
              </w:rPr>
              <w:tab/>
              <w:t>Mr Peter Henderson</w:t>
            </w:r>
          </w:p>
          <w:p w:rsidR="001F1D91" w:rsidRPr="001F1D91" w:rsidRDefault="00653E9D" w:rsidP="00DF0854">
            <w:pPr>
              <w:tabs>
                <w:tab w:val="left" w:pos="2975"/>
              </w:tabs>
              <w:rPr>
                <w:rFonts w:eastAsia="Calibri"/>
              </w:rPr>
            </w:pPr>
            <w:r>
              <w:rPr>
                <w:rFonts w:eastAsia="Calibri"/>
              </w:rPr>
              <w:tab/>
            </w:r>
            <w:r w:rsidR="001F1D91" w:rsidRPr="001F1D91">
              <w:rPr>
                <w:rFonts w:eastAsia="Calibri"/>
              </w:rPr>
              <w:t xml:space="preserve">Professor Stephen Stathis </w:t>
            </w:r>
          </w:p>
          <w:p w:rsidR="001F1D91" w:rsidRPr="001F1D91" w:rsidRDefault="001F1D91" w:rsidP="007274B8">
            <w:pPr>
              <w:tabs>
                <w:tab w:val="left" w:pos="2975"/>
              </w:tabs>
              <w:spacing w:before="120"/>
              <w:rPr>
                <w:rFonts w:eastAsia="Calibri"/>
              </w:rPr>
            </w:pPr>
            <w:r w:rsidRPr="001F1D91">
              <w:rPr>
                <w:rFonts w:eastAsia="Calibri"/>
              </w:rPr>
              <w:t>Departmental officer:</w:t>
            </w:r>
            <w:r w:rsidRPr="001F1D91">
              <w:rPr>
                <w:rFonts w:eastAsia="Calibri"/>
              </w:rPr>
              <w:tab/>
              <w:t>Ms Susanne Le Boutillier</w:t>
            </w:r>
          </w:p>
          <w:p w:rsidR="001F1D91" w:rsidRPr="001F1D91" w:rsidRDefault="001F1D91" w:rsidP="007274B8">
            <w:pPr>
              <w:tabs>
                <w:tab w:val="left" w:pos="2975"/>
              </w:tabs>
              <w:spacing w:before="120"/>
              <w:rPr>
                <w:rFonts w:eastAsia="Calibri"/>
              </w:rPr>
            </w:pPr>
            <w:r w:rsidRPr="001F1D91">
              <w:rPr>
                <w:rFonts w:eastAsia="Calibri"/>
              </w:rPr>
              <w:t>Meeting date:</w:t>
            </w:r>
            <w:r w:rsidRPr="001F1D91">
              <w:rPr>
                <w:rFonts w:eastAsia="Calibri"/>
              </w:rPr>
              <w:tab/>
              <w:t>8 March 2018</w:t>
            </w:r>
          </w:p>
          <w:p w:rsidR="001F1D91" w:rsidRPr="001F1D91" w:rsidRDefault="001F1D91" w:rsidP="008D2AA3">
            <w:pPr>
              <w:tabs>
                <w:tab w:val="left" w:pos="2975"/>
              </w:tabs>
              <w:spacing w:before="120" w:after="0"/>
              <w:rPr>
                <w:rFonts w:eastAsia="Calibri"/>
              </w:rPr>
            </w:pPr>
            <w:r w:rsidRPr="001F1D91">
              <w:rPr>
                <w:rFonts w:eastAsia="Calibri"/>
              </w:rPr>
              <w:t>Date report delivered to</w:t>
            </w:r>
          </w:p>
          <w:p w:rsidR="001F1D91" w:rsidRPr="001F1D91" w:rsidRDefault="001F1D91" w:rsidP="00A20A0E">
            <w:pPr>
              <w:tabs>
                <w:tab w:val="left" w:pos="2975"/>
              </w:tabs>
              <w:rPr>
                <w:rFonts w:eastAsia="Calibri"/>
              </w:rPr>
            </w:pPr>
            <w:r w:rsidRPr="001F1D91">
              <w:rPr>
                <w:rFonts w:eastAsia="Calibri"/>
              </w:rPr>
              <w:t>Director-General:</w:t>
            </w:r>
            <w:r w:rsidRPr="001F1D91">
              <w:rPr>
                <w:rFonts w:eastAsia="Calibri"/>
              </w:rPr>
              <w:tab/>
              <w:t>8 June 2018</w:t>
            </w:r>
          </w:p>
        </w:tc>
      </w:tr>
    </w:tbl>
    <w:p w:rsidR="0021051A" w:rsidRDefault="0021051A" w:rsidP="0071508E">
      <w:pPr>
        <w:pStyle w:val="Heading1"/>
        <w:spacing w:before="480"/>
        <w:sectPr w:rsidR="0021051A" w:rsidSect="00591B31">
          <w:headerReference w:type="default" r:id="rId19"/>
          <w:pgSz w:w="11906" w:h="16838" w:code="9"/>
          <w:pgMar w:top="2098" w:right="1418" w:bottom="1418" w:left="1418" w:header="426" w:footer="450" w:gutter="0"/>
          <w:cols w:space="708"/>
          <w:titlePg/>
          <w:docGrid w:linePitch="360"/>
        </w:sectPr>
      </w:pPr>
    </w:p>
    <w:p w:rsidR="00011292" w:rsidRPr="0006191B" w:rsidRDefault="00011292" w:rsidP="0071508E">
      <w:pPr>
        <w:pStyle w:val="Heading1"/>
        <w:spacing w:before="480"/>
      </w:pPr>
      <w:bookmarkStart w:id="106" w:name="_Toc524517398"/>
      <w:r w:rsidRPr="0073301E">
        <w:lastRenderedPageBreak/>
        <w:t xml:space="preserve">Appendix </w:t>
      </w:r>
      <w:r w:rsidR="00254CFB">
        <w:t>B</w:t>
      </w:r>
      <w:bookmarkStart w:id="107" w:name="_Toc424043191"/>
      <w:bookmarkStart w:id="108" w:name="_Toc424043278"/>
      <w:bookmarkStart w:id="109" w:name="_Toc463008565"/>
      <w:bookmarkStart w:id="110" w:name="_Toc463343813"/>
      <w:r w:rsidR="000338CB">
        <w:t xml:space="preserve">: </w:t>
      </w:r>
      <w:r w:rsidRPr="0006191B">
        <w:t xml:space="preserve">External </w:t>
      </w:r>
      <w:r w:rsidR="0079245F">
        <w:t>m</w:t>
      </w:r>
      <w:r w:rsidRPr="0006191B">
        <w:t>embers</w:t>
      </w:r>
      <w:bookmarkEnd w:id="106"/>
      <w:bookmarkEnd w:id="107"/>
      <w:bookmarkEnd w:id="108"/>
      <w:bookmarkEnd w:id="109"/>
      <w:bookmarkEnd w:id="110"/>
    </w:p>
    <w:p w:rsidR="0025694A" w:rsidRPr="0079245F" w:rsidRDefault="0025694A" w:rsidP="00B00EAB">
      <w:pPr>
        <w:pStyle w:val="Level1"/>
        <w:tabs>
          <w:tab w:val="left" w:pos="-1440"/>
        </w:tabs>
        <w:spacing w:after="120"/>
        <w:jc w:val="both"/>
        <w:rPr>
          <w:rFonts w:ascii="Arial" w:hAnsi="Arial" w:cs="Arial"/>
          <w:b/>
          <w:sz w:val="24"/>
          <w:szCs w:val="24"/>
          <w:lang w:val="en-AU"/>
        </w:rPr>
      </w:pPr>
      <w:bookmarkStart w:id="111" w:name="_Toc424043204"/>
      <w:bookmarkStart w:id="112" w:name="_Toc424043291"/>
      <w:bookmarkStart w:id="113" w:name="_Toc463008566"/>
      <w:bookmarkStart w:id="114" w:name="_Toc463343814"/>
      <w:bookmarkStart w:id="115" w:name="_Toc488996504"/>
      <w:r w:rsidRPr="0079245F">
        <w:rPr>
          <w:rFonts w:ascii="Arial" w:hAnsi="Arial" w:cs="Arial"/>
          <w:b/>
          <w:sz w:val="24"/>
          <w:szCs w:val="24"/>
          <w:lang w:val="en-AU"/>
        </w:rPr>
        <w:t xml:space="preserve">Dr Nicola Murdock </w:t>
      </w:r>
      <w:r w:rsidR="009868D1" w:rsidRPr="0079245F">
        <w:rPr>
          <w:rFonts w:ascii="Arial" w:hAnsi="Arial" w:cs="Arial"/>
          <w:b/>
          <w:sz w:val="24"/>
          <w:szCs w:val="24"/>
          <w:lang w:val="en-AU"/>
        </w:rPr>
        <w:t>– Chair</w:t>
      </w:r>
    </w:p>
    <w:p w:rsidR="0025694A" w:rsidRPr="001C559E" w:rsidRDefault="0025694A" w:rsidP="0079245F">
      <w:pPr>
        <w:pStyle w:val="Level1"/>
        <w:tabs>
          <w:tab w:val="left" w:pos="-1440"/>
        </w:tabs>
        <w:spacing w:after="120"/>
        <w:ind w:left="0" w:firstLine="0"/>
        <w:jc w:val="both"/>
        <w:rPr>
          <w:rFonts w:ascii="Arial" w:hAnsi="Arial" w:cs="Arial"/>
          <w:sz w:val="22"/>
          <w:szCs w:val="22"/>
          <w:lang w:val="en-AU"/>
        </w:rPr>
      </w:pPr>
      <w:r w:rsidRPr="001C559E">
        <w:rPr>
          <w:rFonts w:ascii="Arial" w:hAnsi="Arial" w:cs="Arial"/>
          <w:sz w:val="22"/>
          <w:szCs w:val="22"/>
          <w:lang w:val="en-AU"/>
        </w:rPr>
        <w:t>Qualified as a doctor specialising in paediatrics and with experience in medical administration. Dr Murdock has worked in medicine since 1984 in both the United Kingdom and Australia, including work in regional Australia. She has worked for many years in developing and improving hospital systems and reports that her focus is on building partnerships and developing innovative solutions to healthcare problems, particularly in service redesign.</w:t>
      </w:r>
    </w:p>
    <w:p w:rsidR="0025694A" w:rsidRPr="0079245F" w:rsidRDefault="0025694A" w:rsidP="00A77E0E">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 xml:space="preserve">Ms Shanna Quinn </w:t>
      </w:r>
      <w:r w:rsidR="009868D1" w:rsidRPr="0079245F">
        <w:rPr>
          <w:rFonts w:ascii="Arial" w:hAnsi="Arial" w:cs="Arial"/>
          <w:b/>
          <w:sz w:val="24"/>
          <w:szCs w:val="24"/>
          <w:lang w:val="en-AU"/>
        </w:rPr>
        <w:t>– Deputy Chair</w:t>
      </w:r>
    </w:p>
    <w:p w:rsidR="0025694A" w:rsidRPr="001C559E" w:rsidRDefault="0025694A" w:rsidP="00A77E0E">
      <w:pPr>
        <w:pStyle w:val="Level1"/>
        <w:tabs>
          <w:tab w:val="left" w:pos="-1440"/>
        </w:tabs>
        <w:spacing w:after="120"/>
        <w:ind w:left="0" w:firstLine="0"/>
        <w:jc w:val="both"/>
        <w:rPr>
          <w:rFonts w:ascii="Arial" w:hAnsi="Arial" w:cs="Arial"/>
          <w:sz w:val="22"/>
          <w:szCs w:val="22"/>
          <w:lang w:val="en-AU"/>
        </w:rPr>
      </w:pPr>
      <w:r w:rsidRPr="001C559E">
        <w:rPr>
          <w:rFonts w:ascii="Arial" w:hAnsi="Arial" w:cs="Arial"/>
          <w:sz w:val="22"/>
          <w:szCs w:val="22"/>
          <w:lang w:val="en-AU"/>
        </w:rPr>
        <w:t>With qualifications in law, social work and mediation, Ms Quinn has over 35 years’ experience in the fields of child and family welfare, in the capacity of practitioner, investigator and advocate. Ms Quinn is a practicing Barrister and has 25 years of experience in the field of dispute resolution, both as a mediator and trainer and has mediation, negotiation and facilitation skills with individuals, groups and organisations. Ms Quinn has a well-developed appreciation of the significant impact culture, race, language and socio-economic context has on parenting, communication, behaviour, conflict resolution and values.</w:t>
      </w:r>
    </w:p>
    <w:p w:rsidR="0025694A" w:rsidRPr="0079245F" w:rsidRDefault="0025694A" w:rsidP="00A77E0E">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 xml:space="preserve">Professor Clare Tilbury </w:t>
      </w:r>
      <w:r w:rsidR="00986835" w:rsidRPr="0079245F">
        <w:rPr>
          <w:rFonts w:ascii="Arial" w:hAnsi="Arial" w:cs="Arial"/>
          <w:b/>
          <w:sz w:val="24"/>
          <w:szCs w:val="24"/>
          <w:lang w:val="en-AU"/>
        </w:rPr>
        <w:t>– Deputy Chair</w:t>
      </w:r>
    </w:p>
    <w:p w:rsidR="0025694A" w:rsidRPr="001C559E" w:rsidRDefault="0025694A" w:rsidP="00A77E0E">
      <w:pPr>
        <w:pStyle w:val="Level1"/>
        <w:spacing w:after="120"/>
        <w:ind w:left="0" w:firstLine="0"/>
        <w:jc w:val="both"/>
        <w:rPr>
          <w:rFonts w:ascii="Arial" w:hAnsi="Arial" w:cs="Arial"/>
          <w:sz w:val="22"/>
          <w:szCs w:val="22"/>
          <w:lang w:val="en-AU"/>
        </w:rPr>
      </w:pPr>
      <w:r w:rsidRPr="001C559E">
        <w:rPr>
          <w:rFonts w:ascii="Arial" w:hAnsi="Arial" w:cs="Arial"/>
          <w:sz w:val="22"/>
          <w:szCs w:val="22"/>
          <w:lang w:val="en-AU"/>
        </w:rPr>
        <w:t>Currently a Professor with the School of Human Services and Social Work at Griffith University and has 30 years’ experience as a social work practitioner, researcher and educator. Professor Tilbury has worked in a range of positions with children and their families in both government and academic environments.</w:t>
      </w:r>
    </w:p>
    <w:p w:rsidR="0025694A" w:rsidRPr="0079245F" w:rsidRDefault="0025694A" w:rsidP="00A77E0E">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Ms Annette Sheffield</w:t>
      </w:r>
      <w:r w:rsidR="00B00EAB" w:rsidRPr="0079245F">
        <w:rPr>
          <w:rFonts w:ascii="Arial" w:hAnsi="Arial" w:cs="Arial"/>
          <w:b/>
          <w:sz w:val="24"/>
          <w:szCs w:val="24"/>
          <w:lang w:val="en-AU"/>
        </w:rPr>
        <w:t xml:space="preserve"> </w:t>
      </w:r>
      <w:r w:rsidR="00986835" w:rsidRPr="0079245F">
        <w:rPr>
          <w:rFonts w:ascii="Arial" w:hAnsi="Arial" w:cs="Arial"/>
          <w:b/>
          <w:sz w:val="24"/>
          <w:szCs w:val="24"/>
          <w:lang w:val="en-AU"/>
        </w:rPr>
        <w:t>– Deputy Chair</w:t>
      </w:r>
    </w:p>
    <w:p w:rsidR="0025694A" w:rsidRPr="001C559E" w:rsidRDefault="0025694A" w:rsidP="00A77E0E">
      <w:pPr>
        <w:pStyle w:val="Level1"/>
        <w:spacing w:after="120"/>
        <w:ind w:left="0" w:firstLine="0"/>
        <w:jc w:val="both"/>
        <w:rPr>
          <w:rFonts w:ascii="Arial" w:hAnsi="Arial" w:cs="Arial"/>
          <w:sz w:val="22"/>
          <w:szCs w:val="22"/>
          <w:lang w:val="en-AU"/>
        </w:rPr>
      </w:pPr>
      <w:r w:rsidRPr="001C559E">
        <w:rPr>
          <w:rFonts w:ascii="Arial" w:hAnsi="Arial" w:cs="Arial"/>
          <w:sz w:val="22"/>
          <w:szCs w:val="22"/>
          <w:lang w:val="en-AU"/>
        </w:rPr>
        <w:t xml:space="preserve">Ms Sheffield has previous experience as a frontline child protection officer, SCAN representative, and Registrar of the former child protection information system, and as Family Court Counsellor / Expert Witness and Child Health A/Senior Social Worker. Between 2003 and 2013, Ms Sheffield completed over 30 external case reviews for the </w:t>
      </w:r>
      <w:r w:rsidR="008D33D4">
        <w:rPr>
          <w:rFonts w:ascii="Arial" w:hAnsi="Arial" w:cs="Arial"/>
          <w:sz w:val="22"/>
          <w:szCs w:val="22"/>
          <w:lang w:val="en-AU"/>
        </w:rPr>
        <w:t xml:space="preserve">former </w:t>
      </w:r>
      <w:r w:rsidRPr="001C559E">
        <w:rPr>
          <w:rFonts w:ascii="Arial" w:hAnsi="Arial" w:cs="Arial"/>
          <w:sz w:val="22"/>
          <w:szCs w:val="22"/>
          <w:lang w:val="en-AU"/>
        </w:rPr>
        <w:t>Department of Communities, Child Safety and Disability Services. She holds a Master of Social Administration and is currently an Ordinary Member (sessional) of the Queensland Civil and Administrative Tribunal.</w:t>
      </w:r>
    </w:p>
    <w:p w:rsidR="0025694A" w:rsidRPr="0079245F" w:rsidRDefault="0025694A" w:rsidP="00A77E0E">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 xml:space="preserve">Ms Gwenn Murray </w:t>
      </w:r>
      <w:r w:rsidR="00986835" w:rsidRPr="0079245F">
        <w:rPr>
          <w:rFonts w:ascii="Arial" w:hAnsi="Arial" w:cs="Arial"/>
          <w:b/>
          <w:sz w:val="24"/>
          <w:szCs w:val="24"/>
          <w:lang w:val="en-AU"/>
        </w:rPr>
        <w:t>– Deputy Chair</w:t>
      </w:r>
    </w:p>
    <w:p w:rsidR="002666D6" w:rsidRPr="00A77E0E" w:rsidRDefault="00EC0695" w:rsidP="00A77E0E">
      <w:pPr>
        <w:pStyle w:val="Level1"/>
        <w:spacing w:after="120"/>
        <w:ind w:left="0" w:firstLine="0"/>
        <w:jc w:val="both"/>
        <w:rPr>
          <w:rFonts w:ascii="Arial" w:hAnsi="Arial" w:cs="Arial"/>
          <w:sz w:val="22"/>
          <w:szCs w:val="22"/>
          <w:lang w:val="en-AU"/>
        </w:rPr>
      </w:pPr>
      <w:r w:rsidRPr="00EC0695">
        <w:rPr>
          <w:rFonts w:ascii="Arial" w:hAnsi="Arial" w:cs="Arial"/>
          <w:sz w:val="22"/>
          <w:szCs w:val="22"/>
          <w:lang w:val="en-AU"/>
        </w:rPr>
        <w:t>Ms Murray is a Member of the Queensland Civil and Administrative Tribunal (primarily hearing reviews of child protection decisions and blue card decisions) and previously a member of the Mental Health Review Tribunal. She has been a consultant criminologist in private practice for 20 years with specialist skills in child protection and youth justice. She was the Director of the Youth Advocacy Centre and Chair of the National Children’s and Youth Law Centre.  She has undertaken many reviews of child deaths, complex case reviews and large system audits and reviews across Australia. This includes the Qld Foster Care Audit during the CMC Enquiry into the Abuse of Children in Foster Care.  She won a child protection award for this work.</w:t>
      </w:r>
    </w:p>
    <w:p w:rsidR="00BD25A2" w:rsidRDefault="00BD25A2" w:rsidP="00A77E0E">
      <w:pPr>
        <w:pStyle w:val="Level1"/>
        <w:tabs>
          <w:tab w:val="left" w:pos="-1440"/>
        </w:tabs>
        <w:spacing w:after="120"/>
        <w:jc w:val="both"/>
        <w:rPr>
          <w:rFonts w:ascii="Arial" w:hAnsi="Arial" w:cs="Arial"/>
          <w:b/>
          <w:sz w:val="24"/>
          <w:szCs w:val="24"/>
          <w:lang w:val="en-AU"/>
        </w:rPr>
      </w:pPr>
    </w:p>
    <w:p w:rsidR="00BD25A2" w:rsidRDefault="00BD25A2" w:rsidP="00A77E0E">
      <w:pPr>
        <w:pStyle w:val="Level1"/>
        <w:tabs>
          <w:tab w:val="left" w:pos="-1440"/>
        </w:tabs>
        <w:spacing w:after="120"/>
        <w:jc w:val="both"/>
        <w:rPr>
          <w:rFonts w:ascii="Arial" w:hAnsi="Arial" w:cs="Arial"/>
          <w:b/>
          <w:sz w:val="24"/>
          <w:szCs w:val="24"/>
          <w:lang w:val="en-AU"/>
        </w:rPr>
      </w:pPr>
    </w:p>
    <w:p w:rsidR="0025694A" w:rsidRPr="0079245F" w:rsidRDefault="0025694A" w:rsidP="00A77E0E">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 xml:space="preserve">Mr Clinton Schultz (identifies as Aboriginal) </w:t>
      </w:r>
      <w:r w:rsidR="00986835" w:rsidRPr="0079245F">
        <w:rPr>
          <w:rFonts w:ascii="Arial" w:hAnsi="Arial" w:cs="Arial"/>
          <w:b/>
          <w:sz w:val="24"/>
          <w:szCs w:val="24"/>
          <w:lang w:val="en-AU"/>
        </w:rPr>
        <w:t xml:space="preserve">– Deputy Chair </w:t>
      </w:r>
    </w:p>
    <w:p w:rsidR="001C559E" w:rsidRPr="001C559E" w:rsidRDefault="0025694A" w:rsidP="00A77E0E">
      <w:pPr>
        <w:pStyle w:val="Level1"/>
        <w:spacing w:after="120"/>
        <w:ind w:left="0" w:firstLine="0"/>
        <w:jc w:val="both"/>
        <w:rPr>
          <w:rFonts w:ascii="Arial" w:hAnsi="Arial" w:cs="Arial"/>
          <w:sz w:val="22"/>
          <w:szCs w:val="22"/>
          <w:lang w:val="en-AU"/>
        </w:rPr>
      </w:pPr>
      <w:r w:rsidRPr="001C559E">
        <w:rPr>
          <w:rFonts w:ascii="Arial" w:hAnsi="Arial" w:cs="Arial"/>
          <w:sz w:val="22"/>
          <w:szCs w:val="22"/>
          <w:lang w:val="en-AU"/>
        </w:rPr>
        <w:t xml:space="preserve">A registered psychologist, currently employed by Griffith University School of Public Health as Lecturer of Aboriginal and Torres Strait Islander Health. Mr Schultz is a Lead Facilitator of the </w:t>
      </w:r>
      <w:r w:rsidRPr="001C559E">
        <w:rPr>
          <w:rFonts w:ascii="Arial" w:hAnsi="Arial" w:cs="Arial"/>
          <w:sz w:val="22"/>
          <w:szCs w:val="22"/>
          <w:lang w:val="en-AU"/>
        </w:rPr>
        <w:lastRenderedPageBreak/>
        <w:t>Australian Indigenous Psychologists Association's Cultural competence training for mental health practitioners. He is the author and facilitator of "Forming Culturally Responsive Practice", a Royal Australian College of General Practitioners’ accredited cultural competence training package. He has an honours degree in psychology.</w:t>
      </w:r>
    </w:p>
    <w:p w:rsidR="0025694A" w:rsidRPr="0079245F" w:rsidRDefault="0025694A" w:rsidP="00A77E0E">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 xml:space="preserve">Professor Rosa Alati </w:t>
      </w:r>
    </w:p>
    <w:p w:rsidR="0025694A" w:rsidRPr="001C559E" w:rsidRDefault="0025694A" w:rsidP="00A77E0E">
      <w:pPr>
        <w:pStyle w:val="Level1"/>
        <w:tabs>
          <w:tab w:val="left" w:pos="-1440"/>
        </w:tabs>
        <w:spacing w:after="120"/>
        <w:ind w:left="0" w:firstLine="0"/>
        <w:jc w:val="both"/>
        <w:rPr>
          <w:rFonts w:ascii="Arial" w:hAnsi="Arial" w:cs="Arial"/>
          <w:sz w:val="22"/>
          <w:szCs w:val="22"/>
          <w:lang w:val="en-AU"/>
        </w:rPr>
      </w:pPr>
      <w:r w:rsidRPr="001C559E">
        <w:rPr>
          <w:rFonts w:ascii="Arial" w:hAnsi="Arial" w:cs="Arial"/>
          <w:sz w:val="22"/>
          <w:szCs w:val="22"/>
          <w:lang w:val="en-AU"/>
        </w:rPr>
        <w:t>Has a distinguished research background in life-course epidemiology of drug and alcohol use problems. She is Professor at the School of Public Health &amp; Centre for Youth Substance Abuse Research at the University of Queensland. In the last 10 years, she has worked collaboratively with national and international teams in the fields of maternal substance use, offspring outcomes and related aspects of developmental and life-course epidemiology, particularly in relation to psychosocial health and wellbeing. She also has a background in Indigenous health research, with a focus on alcohol and drug studies in urban and remote Aboriginal communities. Professor Alati identifies as from a culturally and linguistically diverse background.</w:t>
      </w:r>
    </w:p>
    <w:p w:rsidR="0025694A" w:rsidRPr="0079245F" w:rsidRDefault="0025694A" w:rsidP="009868D1">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 xml:space="preserve">Professor Paul Colditz </w:t>
      </w:r>
    </w:p>
    <w:p w:rsidR="0025694A" w:rsidRPr="001C559E" w:rsidRDefault="0025694A" w:rsidP="0079245F">
      <w:pPr>
        <w:pStyle w:val="Level1"/>
        <w:tabs>
          <w:tab w:val="left" w:pos="-1440"/>
        </w:tabs>
        <w:spacing w:after="120"/>
        <w:ind w:left="0" w:firstLine="0"/>
        <w:jc w:val="both"/>
        <w:rPr>
          <w:rFonts w:ascii="Arial" w:hAnsi="Arial" w:cs="Arial"/>
          <w:sz w:val="22"/>
          <w:szCs w:val="22"/>
          <w:lang w:val="en-AU"/>
        </w:rPr>
      </w:pPr>
      <w:r w:rsidRPr="001C559E">
        <w:rPr>
          <w:rFonts w:ascii="Arial" w:hAnsi="Arial" w:cs="Arial"/>
          <w:sz w:val="22"/>
          <w:szCs w:val="22"/>
          <w:lang w:val="en-AU"/>
        </w:rPr>
        <w:t>A practicing neonatologist with a Doctor of Philosophy in Medicine from the University of Oxford, UK. He is currently the Foundation Professor of Perinatal Medicine at the University of Queensland (UQ) and for the past 20 years has been Director of the Perinatal Research Centre, and more recently, Deputy Director (Clinical) of the UQ’s Centre for Clinical Research. His research focuses on clinically important perinatal health problems and translation to clinical practice. It includes investigations relating to seizure identification and prevention, brain injury and neuroprotection, body composition and neural plasticity and pathways to improving neurodevelopmental outcomes. Professor Colditz is currently a board member of the Red Nose Board (both national and Queensland).</w:t>
      </w:r>
    </w:p>
    <w:p w:rsidR="0025694A" w:rsidRPr="0079245F" w:rsidRDefault="0025694A" w:rsidP="009868D1">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 xml:space="preserve">Mr Bryan Cook </w:t>
      </w:r>
    </w:p>
    <w:p w:rsidR="0025694A" w:rsidRPr="001C559E" w:rsidRDefault="0025694A" w:rsidP="0079245F">
      <w:pPr>
        <w:pStyle w:val="Level1"/>
        <w:tabs>
          <w:tab w:val="left" w:pos="-1440"/>
        </w:tabs>
        <w:spacing w:after="120"/>
        <w:ind w:left="0" w:firstLine="0"/>
        <w:jc w:val="both"/>
        <w:rPr>
          <w:rFonts w:ascii="Arial" w:hAnsi="Arial" w:cs="Arial"/>
          <w:sz w:val="22"/>
          <w:szCs w:val="22"/>
          <w:lang w:val="en-AU"/>
        </w:rPr>
      </w:pPr>
      <w:r w:rsidRPr="001C559E">
        <w:rPr>
          <w:rFonts w:ascii="Arial" w:hAnsi="Arial" w:cs="Arial"/>
          <w:sz w:val="22"/>
          <w:szCs w:val="22"/>
          <w:lang w:val="en-AU"/>
        </w:rPr>
        <w:t>A consultant conducting and managing workplace investigations for state and local government authorities by undertaking complex investigations into suspected official misconduct, grievances (bullying and harassment) and complex workplace issues involving senior management as well as professional misconduct, particularly in the health sector. Previous work included being an Investigator/Reviewing Officer at the Crime and Misconduct Commission and investigating organised crime, child abuse and juvenile crime.</w:t>
      </w:r>
    </w:p>
    <w:p w:rsidR="0025694A" w:rsidRPr="0079245F" w:rsidRDefault="0025694A" w:rsidP="009868D1">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 xml:space="preserve">Ms Laurel Downey </w:t>
      </w:r>
    </w:p>
    <w:p w:rsidR="0025694A" w:rsidRPr="001C559E" w:rsidRDefault="0025694A" w:rsidP="0079245F">
      <w:pPr>
        <w:pStyle w:val="Level1"/>
        <w:tabs>
          <w:tab w:val="left" w:pos="-1440"/>
        </w:tabs>
        <w:spacing w:after="120"/>
        <w:ind w:left="0" w:firstLine="0"/>
        <w:jc w:val="both"/>
        <w:rPr>
          <w:rFonts w:ascii="Arial" w:hAnsi="Arial" w:cs="Arial"/>
          <w:sz w:val="22"/>
          <w:szCs w:val="22"/>
          <w:lang w:val="en-AU"/>
        </w:rPr>
      </w:pPr>
      <w:r w:rsidRPr="001C559E">
        <w:rPr>
          <w:rFonts w:ascii="Arial" w:hAnsi="Arial" w:cs="Arial"/>
          <w:sz w:val="22"/>
          <w:szCs w:val="22"/>
          <w:lang w:val="en-AU"/>
        </w:rPr>
        <w:t>Chief Executive Officer of Catalyst Child and Family Services, a not for profit organisation that provides clinical and out-of-home care services to children and their families involved with child protection services in far north Queensland. Catalyst currently runs three therapeutic residential services for young people with complex to extreme emotional and behavioural difficulties. Ms Downey is currently completing a PhD program with the La Trobe University, School of Allied Health, Social Work and Social Policy. This research project is designed to take the first steps towards an evidence base for the Spiral to Recovery, a practice framework for therapeutic care of children and young people. Ms Downey is from a regional area.</w:t>
      </w:r>
    </w:p>
    <w:p w:rsidR="002666D6" w:rsidRDefault="002666D6">
      <w:pPr>
        <w:spacing w:after="0"/>
        <w:rPr>
          <w:rFonts w:cs="Arial"/>
          <w:b/>
          <w:sz w:val="24"/>
        </w:rPr>
      </w:pPr>
      <w:r>
        <w:rPr>
          <w:rFonts w:cs="Arial"/>
          <w:b/>
          <w:sz w:val="24"/>
        </w:rPr>
        <w:br w:type="page"/>
      </w:r>
    </w:p>
    <w:p w:rsidR="0025694A" w:rsidRPr="0079245F" w:rsidRDefault="0025694A" w:rsidP="009868D1">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lastRenderedPageBreak/>
        <w:t xml:space="preserve">Dr Kairi Kõlves </w:t>
      </w:r>
    </w:p>
    <w:p w:rsidR="0025694A" w:rsidRPr="001C559E" w:rsidRDefault="0025694A" w:rsidP="0079245F">
      <w:pPr>
        <w:pStyle w:val="Level1"/>
        <w:tabs>
          <w:tab w:val="left" w:pos="-1440"/>
        </w:tabs>
        <w:spacing w:after="120"/>
        <w:ind w:left="0" w:firstLine="0"/>
        <w:jc w:val="both"/>
        <w:rPr>
          <w:rFonts w:ascii="Arial" w:hAnsi="Arial" w:cs="Arial"/>
          <w:sz w:val="22"/>
          <w:szCs w:val="22"/>
          <w:lang w:val="en-AU"/>
        </w:rPr>
      </w:pPr>
      <w:r w:rsidRPr="001C559E">
        <w:rPr>
          <w:rFonts w:ascii="Arial" w:hAnsi="Arial" w:cs="Arial"/>
          <w:sz w:val="22"/>
          <w:szCs w:val="22"/>
          <w:lang w:val="en-AU"/>
        </w:rPr>
        <w:t>A Principal Research Fellow and Lecturer at the Australian Institute for Suicide Research and Prevention (AISRAP) at Griffith University. She has been working in suicide research and prevention since 1998. Between 1999 and 2008, she worked at the Estonian-Swedish Mental Health and Suicidology Institute in Estonia and joined AISRAP team in 2008. She has been involved in different Australian, Estonian and international projects and has published over 60 peer reviewed papers, several chapters and reports on suicide research and prevention. Dr Kõlves identifies as from a culturally and linguistically diverse background.</w:t>
      </w:r>
    </w:p>
    <w:p w:rsidR="0025694A" w:rsidRPr="0079245F" w:rsidRDefault="0025694A" w:rsidP="009868D1">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 xml:space="preserve">Ms Margie Kruger </w:t>
      </w:r>
    </w:p>
    <w:p w:rsidR="0025694A" w:rsidRPr="001C559E" w:rsidRDefault="0025694A" w:rsidP="0079245F">
      <w:pPr>
        <w:pStyle w:val="Level1"/>
        <w:tabs>
          <w:tab w:val="left" w:pos="-1440"/>
        </w:tabs>
        <w:spacing w:after="120"/>
        <w:ind w:left="0" w:firstLine="0"/>
        <w:jc w:val="both"/>
        <w:rPr>
          <w:rFonts w:ascii="Arial" w:hAnsi="Arial" w:cs="Arial"/>
          <w:sz w:val="22"/>
          <w:szCs w:val="22"/>
          <w:lang w:val="en-AU"/>
        </w:rPr>
      </w:pPr>
      <w:r w:rsidRPr="001C559E">
        <w:rPr>
          <w:rFonts w:ascii="Arial" w:hAnsi="Arial" w:cs="Arial"/>
          <w:sz w:val="22"/>
          <w:szCs w:val="22"/>
          <w:lang w:val="en-AU"/>
        </w:rPr>
        <w:t>Member of the Queensland Law Society Family Law Committee, former President of the Child Protection Practitioners Association of Queensland, and former member of the Queensland Children Services Tribunal and the Queensland Law Society Children’s Committee. Ms Kruger worked in various child protection roles prior to commencing practice as a lawyer in 2000. Since this time she has practiced in the area of family law and child protection law and has been recognised as a recommended Queensland Family Lawyer.</w:t>
      </w:r>
    </w:p>
    <w:p w:rsidR="0025694A" w:rsidRPr="0079245F" w:rsidRDefault="0025694A" w:rsidP="009868D1">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 xml:space="preserve">Ms Kathryn McMillan QC </w:t>
      </w:r>
    </w:p>
    <w:p w:rsidR="0025694A" w:rsidRPr="001C559E" w:rsidRDefault="0025694A" w:rsidP="0079245F">
      <w:pPr>
        <w:pStyle w:val="Level1"/>
        <w:tabs>
          <w:tab w:val="left" w:pos="-1440"/>
        </w:tabs>
        <w:spacing w:after="120"/>
        <w:ind w:left="0" w:firstLine="0"/>
        <w:jc w:val="both"/>
        <w:rPr>
          <w:rFonts w:ascii="Arial" w:hAnsi="Arial" w:cs="Arial"/>
          <w:sz w:val="22"/>
          <w:szCs w:val="22"/>
          <w:lang w:val="en-AU"/>
        </w:rPr>
      </w:pPr>
      <w:r w:rsidRPr="001C559E">
        <w:rPr>
          <w:rFonts w:ascii="Arial" w:hAnsi="Arial" w:cs="Arial"/>
          <w:sz w:val="22"/>
          <w:szCs w:val="22"/>
          <w:lang w:val="en-AU"/>
        </w:rPr>
        <w:t>Barrister practicing primarily in the areas of alternative dispute resolution, civil and human rights/discrimination, family law and child protection law as well as Coronial Inquests and work on behalf of the Australian Health Practitioner Regulation Agency and the medical and other statutory boards in the Queensland Civil and Administrative Tribunal.</w:t>
      </w:r>
    </w:p>
    <w:p w:rsidR="0025694A" w:rsidRPr="0079245F" w:rsidRDefault="0025694A" w:rsidP="009868D1">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 xml:space="preserve">Professor Cindy Shannon (identifies as Aboriginal) </w:t>
      </w:r>
    </w:p>
    <w:p w:rsidR="0025694A" w:rsidRPr="001C559E" w:rsidRDefault="0025694A" w:rsidP="0079245F">
      <w:pPr>
        <w:jc w:val="both"/>
      </w:pPr>
      <w:r w:rsidRPr="001C559E">
        <w:rPr>
          <w:rFonts w:cs="Arial"/>
          <w:szCs w:val="22"/>
        </w:rPr>
        <w:t>Professor Shannon is the Pro-Vice-Chancellor (Indigenous Education) at The University of Queensland and is also currently the Director of the Poche Centre for Indigenous Health (established in late 2014). Professor Shannon was previously the Director of the Centre for Indigenous Health at The University of Queensland and guided the development and implementation of Australia’s first degree level program that specifically targeted Aboriginal health workers. Professor Shannon has contributed to Indigenous health policy development and implementation nationally and undertaken a number of independent primary health care service reviews, including a major report for the 2003 interdepartmental review of primary health care service delivery to Aboriginal and Torres Strait Islander communities.</w:t>
      </w:r>
    </w:p>
    <w:p w:rsidR="0025694A" w:rsidRPr="0079245F" w:rsidRDefault="0025694A" w:rsidP="009868D1">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 xml:space="preserve">Ms Rebecca Shearman </w:t>
      </w:r>
    </w:p>
    <w:p w:rsidR="0025694A" w:rsidRPr="001C559E" w:rsidRDefault="0025694A" w:rsidP="0079245F">
      <w:pPr>
        <w:jc w:val="both"/>
      </w:pPr>
      <w:r w:rsidRPr="001C559E">
        <w:rPr>
          <w:rFonts w:cs="Arial"/>
          <w:szCs w:val="22"/>
        </w:rPr>
        <w:t>Is the Team Leader of the Brisbane Domestic Violence Service, and prior to that was the Operations Manager of the Domestic Violence Action Centre for over 10 years. She is a trained social worker and has a degree in psychology. Ms Shearman was a member of the department’s Domestic and Family Violence Strategy Implementation Advisory Group from 2010-2012. Ms Shearman has been the Co-convenor of the state-wide Domestic Violence Court Assistance Network for the past 5 years, and currently sits on the Women's Legal Service Management Committee.</w:t>
      </w:r>
    </w:p>
    <w:p w:rsidR="0025694A" w:rsidRPr="0079245F" w:rsidRDefault="0025694A" w:rsidP="009868D1">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 xml:space="preserve">Professor Annabel Taylor </w:t>
      </w:r>
    </w:p>
    <w:p w:rsidR="0025694A" w:rsidRPr="001C559E" w:rsidRDefault="0025694A" w:rsidP="0079245F">
      <w:pPr>
        <w:pStyle w:val="Level1"/>
        <w:tabs>
          <w:tab w:val="left" w:pos="-1440"/>
        </w:tabs>
        <w:spacing w:after="120"/>
        <w:ind w:left="0" w:firstLine="0"/>
        <w:jc w:val="both"/>
        <w:rPr>
          <w:rFonts w:ascii="Arial" w:hAnsi="Arial" w:cs="Arial"/>
          <w:sz w:val="22"/>
          <w:szCs w:val="22"/>
          <w:lang w:val="en-AU"/>
        </w:rPr>
      </w:pPr>
      <w:r w:rsidRPr="001C559E">
        <w:rPr>
          <w:rFonts w:ascii="Arial" w:hAnsi="Arial" w:cs="Arial"/>
          <w:sz w:val="22"/>
          <w:szCs w:val="22"/>
          <w:lang w:val="en-AU"/>
        </w:rPr>
        <w:t>Research Professor of Gendered Violence, Central Queensland University. Professor Taylor was the Former Director of the Queensland Domestic and Family Violence Research Centre, Central Queensland University and Former Director of the Te Awatea Violence Research Centre at the University of Canterbury, NZ. Prior to this, Professor Taylor had an extensive research and academic background in partnering with community and government sectors to support research needs and interests aimed at reducing violence and child abuse.</w:t>
      </w:r>
    </w:p>
    <w:p w:rsidR="002666D6" w:rsidRDefault="002666D6">
      <w:pPr>
        <w:spacing w:after="0"/>
        <w:rPr>
          <w:rFonts w:cs="Arial"/>
          <w:b/>
          <w:sz w:val="24"/>
        </w:rPr>
      </w:pPr>
      <w:r>
        <w:rPr>
          <w:rFonts w:cs="Arial"/>
          <w:b/>
          <w:sz w:val="24"/>
        </w:rPr>
        <w:br w:type="page"/>
      </w:r>
    </w:p>
    <w:p w:rsidR="0025694A" w:rsidRPr="0079245F" w:rsidRDefault="0025694A" w:rsidP="009868D1">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lastRenderedPageBreak/>
        <w:t xml:space="preserve">Ms Elizabeth Taylor (Betty) </w:t>
      </w:r>
    </w:p>
    <w:p w:rsidR="0025694A" w:rsidRPr="001C559E" w:rsidRDefault="0025694A" w:rsidP="0079245F">
      <w:pPr>
        <w:pStyle w:val="Level1"/>
        <w:tabs>
          <w:tab w:val="left" w:pos="-1440"/>
        </w:tabs>
        <w:spacing w:after="120"/>
        <w:ind w:left="0" w:firstLine="0"/>
        <w:jc w:val="both"/>
        <w:rPr>
          <w:rFonts w:ascii="Arial" w:hAnsi="Arial" w:cs="Arial"/>
          <w:sz w:val="22"/>
          <w:szCs w:val="22"/>
          <w:lang w:val="en-AU"/>
        </w:rPr>
      </w:pPr>
      <w:r w:rsidRPr="001C559E">
        <w:rPr>
          <w:rFonts w:ascii="Arial" w:hAnsi="Arial" w:cs="Arial"/>
          <w:sz w:val="22"/>
          <w:szCs w:val="22"/>
          <w:lang w:val="en-AU"/>
        </w:rPr>
        <w:t>An independent consultant who specialises in developing services, programs and training in the area of domestic violence and sexual assault. Ms Taylor is a board member of the Gold Coast Centre Against Sexual Violence, a founding member of the Domestic Violence Death Review Action Group and a member of the Queensland Domestic and Family Violence Research Advisory Committee.</w:t>
      </w:r>
    </w:p>
    <w:p w:rsidR="0025694A" w:rsidRPr="0079245F" w:rsidRDefault="0025694A" w:rsidP="009868D1">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 xml:space="preserve">Ms Susan Teerds </w:t>
      </w:r>
    </w:p>
    <w:p w:rsidR="0025694A" w:rsidRPr="001C559E" w:rsidRDefault="0025694A" w:rsidP="0079245F">
      <w:pPr>
        <w:pStyle w:val="Level1"/>
        <w:tabs>
          <w:tab w:val="left" w:pos="-1440"/>
        </w:tabs>
        <w:spacing w:after="120"/>
        <w:ind w:left="0" w:firstLine="0"/>
        <w:jc w:val="both"/>
        <w:rPr>
          <w:rFonts w:ascii="Arial" w:hAnsi="Arial" w:cs="Arial"/>
          <w:sz w:val="22"/>
          <w:szCs w:val="22"/>
          <w:lang w:val="en-AU"/>
        </w:rPr>
      </w:pPr>
      <w:r w:rsidRPr="001C559E">
        <w:rPr>
          <w:rFonts w:ascii="Arial" w:hAnsi="Arial" w:cs="Arial"/>
          <w:sz w:val="22"/>
          <w:szCs w:val="22"/>
          <w:lang w:val="en-AU"/>
        </w:rPr>
        <w:t>The Chief Executive Officer of Kidsafe Queensland. Ms Teerds is on the Child Restraint, Education and Safe Travel Committee, Queensland Council of Injury Prevention (QCIP), the QCIP Consumer Product Injury Research Advisory Group and is also an advisor for the collaborative researching the development of a sustainable prospective data collection system to identify cases and risk factors for low speed vehicle run-over incidents. Key focus areas for Kidsafe include: Road Safety, Home Safety, School Safety, Playground Safety and Child Car Restraints for children with disabilities or medical conditions.</w:t>
      </w:r>
    </w:p>
    <w:p w:rsidR="0025694A" w:rsidRPr="0079245F" w:rsidRDefault="0025694A" w:rsidP="009868D1">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 xml:space="preserve">Associate Professor Kirsten Vallmuur </w:t>
      </w:r>
    </w:p>
    <w:p w:rsidR="0025694A" w:rsidRPr="001C559E" w:rsidRDefault="00EC0695" w:rsidP="0079245F">
      <w:pPr>
        <w:pStyle w:val="Level1"/>
        <w:tabs>
          <w:tab w:val="left" w:pos="-1440"/>
        </w:tabs>
        <w:spacing w:after="120"/>
        <w:ind w:left="0" w:firstLine="0"/>
        <w:jc w:val="both"/>
        <w:rPr>
          <w:rFonts w:ascii="Arial" w:hAnsi="Arial" w:cs="Arial"/>
          <w:sz w:val="22"/>
          <w:szCs w:val="22"/>
          <w:lang w:val="en-AU"/>
        </w:rPr>
      </w:pPr>
      <w:r w:rsidRPr="00FC2A2D">
        <w:rPr>
          <w:rFonts w:ascii="Arial" w:hAnsi="Arial" w:cs="Arial"/>
          <w:sz w:val="22"/>
          <w:szCs w:val="22"/>
          <w:lang w:val="en-AU"/>
        </w:rPr>
        <w:t>Associate Professor Kirsten Vallmuur is a Principal Research Fellow supported by a Motor Accident Insurance Commission funded research fellowship within the Australian Centre for Health Services Innovation at Queensland University of Technology.  She is currently leading the Queensland State</w:t>
      </w:r>
      <w:r w:rsidR="00BD25A2">
        <w:rPr>
          <w:rFonts w:ascii="Arial" w:hAnsi="Arial" w:cs="Arial"/>
          <w:sz w:val="22"/>
          <w:szCs w:val="22"/>
          <w:lang w:val="en-AU"/>
        </w:rPr>
        <w:t>-</w:t>
      </w:r>
      <w:r w:rsidRPr="00FC2A2D">
        <w:rPr>
          <w:rFonts w:ascii="Arial" w:hAnsi="Arial" w:cs="Arial"/>
          <w:sz w:val="22"/>
          <w:szCs w:val="22"/>
          <w:lang w:val="en-AU"/>
        </w:rPr>
        <w:t>wide Trauma Data Warehouse development project in collaboration with Queensland Health and the Motor Accident Insurance Commission. She is a previous Australian Research Council Future Fellow where she worked in the Centre for Accident Research and Road Safety. She has expertise in the analysis and understanding of morbidity and mortality coded data sets, injury surveillance systems, trauma data linkage, health classifications and injury classifications. She has conducted numerous collaborative health data research projects with internal and external university based researchers, government and non-government agencies in the following areas: Consumer product safety injury surveillance, External cause of injury classifications, Injury surveillance using emergency department hospital and mortality data, Morbidity and mortality data quality, Child abuse documentation coding and reporting, Identification of occupational injury in health databases, Identification of alcohol-related injury in health databases.</w:t>
      </w:r>
    </w:p>
    <w:p w:rsidR="0025694A" w:rsidRPr="0079245F" w:rsidRDefault="0025694A" w:rsidP="009868D1">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Dr Deborah Walsh</w:t>
      </w:r>
    </w:p>
    <w:p w:rsidR="0025694A" w:rsidRPr="001C559E" w:rsidRDefault="0025694A" w:rsidP="0079245F">
      <w:pPr>
        <w:pStyle w:val="Level1"/>
        <w:tabs>
          <w:tab w:val="left" w:pos="-1440"/>
        </w:tabs>
        <w:spacing w:after="120"/>
        <w:ind w:left="0" w:firstLine="0"/>
        <w:jc w:val="both"/>
        <w:rPr>
          <w:rFonts w:ascii="Arial" w:hAnsi="Arial" w:cs="Arial"/>
          <w:sz w:val="22"/>
          <w:szCs w:val="22"/>
          <w:lang w:val="en-AU"/>
        </w:rPr>
      </w:pPr>
      <w:r w:rsidRPr="001C559E">
        <w:rPr>
          <w:rFonts w:ascii="Arial" w:hAnsi="Arial" w:cs="Arial"/>
          <w:sz w:val="22"/>
          <w:szCs w:val="22"/>
          <w:lang w:val="en-AU"/>
        </w:rPr>
        <w:t>A domestic and family violence specialist practitioner (social work) and researcher. She developed one of Australia’s first risk assessment frameworks for use in family violence work and continues to provide training and consultancy to the health and welfare sector in Australia. Dr Walsh conducted a landmark Australian study on the level, extent and nature of violence against women during pregnancy. She is currently a Lecturer at the School of Nursing, Midwifery and Social Work, Faculty of Health and Behavioural Sciences at the University of Queensland.</w:t>
      </w:r>
    </w:p>
    <w:p w:rsidR="0025694A" w:rsidRPr="0079245F" w:rsidRDefault="0025694A" w:rsidP="009868D1">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t>Ms Raelene Ward</w:t>
      </w:r>
      <w:r w:rsidR="00B00EAB" w:rsidRPr="0079245F">
        <w:rPr>
          <w:rFonts w:ascii="Arial" w:hAnsi="Arial" w:cs="Arial"/>
          <w:b/>
          <w:sz w:val="24"/>
          <w:szCs w:val="24"/>
          <w:lang w:val="en-AU"/>
        </w:rPr>
        <w:t xml:space="preserve"> (identifies as Aboriginal)</w:t>
      </w:r>
    </w:p>
    <w:p w:rsidR="0025694A" w:rsidRPr="001C559E" w:rsidRDefault="0025694A" w:rsidP="0079245F">
      <w:pPr>
        <w:pStyle w:val="Level1"/>
        <w:tabs>
          <w:tab w:val="left" w:pos="-1440"/>
        </w:tabs>
        <w:spacing w:after="120"/>
        <w:ind w:left="0" w:firstLine="0"/>
        <w:jc w:val="both"/>
        <w:rPr>
          <w:rFonts w:ascii="Arial" w:hAnsi="Arial" w:cs="Arial"/>
          <w:sz w:val="22"/>
          <w:szCs w:val="22"/>
          <w:lang w:val="en-AU"/>
        </w:rPr>
      </w:pPr>
      <w:r w:rsidRPr="001C559E">
        <w:rPr>
          <w:rFonts w:ascii="Arial" w:hAnsi="Arial" w:cs="Arial"/>
          <w:sz w:val="22"/>
          <w:szCs w:val="22"/>
          <w:lang w:val="en-AU"/>
        </w:rPr>
        <w:t>Raelene has completed her PhD into Aboriginal suicide and is currently awaiting confirmation. She is a Registered Nurse, holds a Masters in Health and is a Lecturer in Indigenous Nursing and an Aboriginal Researcher with the School of Health, Nursing and Midwifery at the University of Southern Queensland. She is currently a community representative on the Darling Downs-West Moreton Human Research Ethics Committee. Ms Ward is from a regional area.</w:t>
      </w:r>
    </w:p>
    <w:p w:rsidR="00BD25A2" w:rsidRDefault="00BD25A2" w:rsidP="009868D1">
      <w:pPr>
        <w:pStyle w:val="Level1"/>
        <w:tabs>
          <w:tab w:val="left" w:pos="-1440"/>
        </w:tabs>
        <w:spacing w:after="120"/>
        <w:jc w:val="both"/>
        <w:rPr>
          <w:rFonts w:ascii="Arial" w:hAnsi="Arial" w:cs="Arial"/>
          <w:b/>
          <w:sz w:val="24"/>
          <w:szCs w:val="24"/>
          <w:lang w:val="en-AU"/>
        </w:rPr>
      </w:pPr>
    </w:p>
    <w:p w:rsidR="00BD25A2" w:rsidRDefault="00BD25A2" w:rsidP="009868D1">
      <w:pPr>
        <w:pStyle w:val="Level1"/>
        <w:tabs>
          <w:tab w:val="left" w:pos="-1440"/>
        </w:tabs>
        <w:spacing w:after="120"/>
        <w:jc w:val="both"/>
        <w:rPr>
          <w:rFonts w:ascii="Arial" w:hAnsi="Arial" w:cs="Arial"/>
          <w:b/>
          <w:sz w:val="24"/>
          <w:szCs w:val="24"/>
          <w:lang w:val="en-AU"/>
        </w:rPr>
      </w:pPr>
    </w:p>
    <w:p w:rsidR="0025694A" w:rsidRPr="0079245F" w:rsidRDefault="0025694A" w:rsidP="009868D1">
      <w:pPr>
        <w:pStyle w:val="Level1"/>
        <w:tabs>
          <w:tab w:val="left" w:pos="-1440"/>
        </w:tabs>
        <w:spacing w:after="120"/>
        <w:jc w:val="both"/>
        <w:rPr>
          <w:rFonts w:ascii="Arial" w:hAnsi="Arial" w:cs="Arial"/>
          <w:b/>
          <w:sz w:val="24"/>
          <w:szCs w:val="24"/>
          <w:lang w:val="en-AU"/>
        </w:rPr>
      </w:pPr>
      <w:r w:rsidRPr="0079245F">
        <w:rPr>
          <w:rFonts w:ascii="Arial" w:hAnsi="Arial" w:cs="Arial"/>
          <w:b/>
          <w:sz w:val="24"/>
          <w:szCs w:val="24"/>
          <w:lang w:val="en-AU"/>
        </w:rPr>
        <w:lastRenderedPageBreak/>
        <w:t xml:space="preserve">Professor Jeanine Young </w:t>
      </w:r>
    </w:p>
    <w:p w:rsidR="0025694A" w:rsidRPr="001C559E" w:rsidRDefault="0025694A" w:rsidP="00B00EAB">
      <w:pPr>
        <w:pStyle w:val="Level1"/>
        <w:tabs>
          <w:tab w:val="left" w:pos="-1440"/>
        </w:tabs>
        <w:spacing w:after="120"/>
        <w:ind w:left="0" w:firstLine="0"/>
        <w:jc w:val="both"/>
        <w:rPr>
          <w:rFonts w:ascii="Arial" w:hAnsi="Arial" w:cs="Arial"/>
          <w:sz w:val="22"/>
          <w:szCs w:val="22"/>
          <w:lang w:val="en-AU"/>
        </w:rPr>
      </w:pPr>
      <w:r w:rsidRPr="001C559E">
        <w:rPr>
          <w:rFonts w:ascii="Arial" w:hAnsi="Arial" w:cs="Arial"/>
          <w:sz w:val="22"/>
          <w:szCs w:val="22"/>
          <w:lang w:val="en-AU"/>
        </w:rPr>
        <w:t>A Registered Nurse, Registered Midwife and qualified neonatal nurse. She completed her PhD in infant care practices and their relationship with risk factors for Sudden Infant Death Syndrome (SIDS). She has worked in Australia and the United Kingdom in neonatal intensive care, acute paediatrics and community child health. Professor Young has established a research program to investigate Queensland’s relatively high infant mortality rate, with a particular focus on developing evidence-based strategies and educational resources to assist health professionals in delivering Safe Sleeping messages to parents with young infants and to address Close the Gap targets to reduce Aboriginal and Torres Strait Islander infant mortality. She chairs the Red Nose National Scientific Advisory Committee which works to ensure that safe sleeping public health recommendations are evidence-based.</w:t>
      </w:r>
    </w:p>
    <w:p w:rsidR="002F0D7F" w:rsidRPr="001C559E" w:rsidRDefault="002F0D7F" w:rsidP="00B00EAB">
      <w:pPr>
        <w:pStyle w:val="Heading1"/>
        <w:spacing w:after="120"/>
        <w:rPr>
          <w:sz w:val="22"/>
          <w:szCs w:val="22"/>
        </w:rPr>
        <w:sectPr w:rsidR="002F0D7F" w:rsidRPr="001C559E" w:rsidSect="00591B31">
          <w:pgSz w:w="11906" w:h="16838" w:code="9"/>
          <w:pgMar w:top="2098" w:right="1418" w:bottom="1418" w:left="1418" w:header="426" w:footer="450" w:gutter="0"/>
          <w:cols w:space="708"/>
          <w:titlePg/>
          <w:docGrid w:linePitch="360"/>
        </w:sectPr>
      </w:pPr>
    </w:p>
    <w:p w:rsidR="00011292" w:rsidRPr="00D34C95" w:rsidRDefault="00D127D1" w:rsidP="0055322E">
      <w:pPr>
        <w:pStyle w:val="Heading1"/>
        <w:spacing w:before="360"/>
      </w:pPr>
      <w:bookmarkStart w:id="116" w:name="_Toc524517399"/>
      <w:r>
        <w:lastRenderedPageBreak/>
        <w:t>Appendix C</w:t>
      </w:r>
      <w:r w:rsidR="000338CB">
        <w:t xml:space="preserve">: </w:t>
      </w:r>
      <w:r w:rsidR="00501894">
        <w:t>Public Service</w:t>
      </w:r>
      <w:r w:rsidR="00501894" w:rsidRPr="00D34C95">
        <w:t xml:space="preserve"> </w:t>
      </w:r>
      <w:r w:rsidR="000078D7" w:rsidRPr="00D34C95">
        <w:t>m</w:t>
      </w:r>
      <w:r w:rsidR="00011292" w:rsidRPr="00D34C95">
        <w:t>embers</w:t>
      </w:r>
      <w:bookmarkEnd w:id="1"/>
      <w:bookmarkEnd w:id="2"/>
      <w:bookmarkEnd w:id="3"/>
      <w:bookmarkEnd w:id="4"/>
      <w:bookmarkEnd w:id="5"/>
      <w:bookmarkEnd w:id="6"/>
      <w:bookmarkEnd w:id="7"/>
      <w:bookmarkEnd w:id="111"/>
      <w:bookmarkEnd w:id="112"/>
      <w:bookmarkEnd w:id="113"/>
      <w:bookmarkEnd w:id="114"/>
      <w:bookmarkEnd w:id="115"/>
      <w:bookmarkEnd w:id="116"/>
    </w:p>
    <w:p w:rsidR="00011292" w:rsidRPr="00D34C95" w:rsidRDefault="00011292" w:rsidP="00D34C95">
      <w:pPr>
        <w:spacing w:before="240" w:after="60"/>
        <w:jc w:val="both"/>
        <w:rPr>
          <w:rFonts w:cs="Arial"/>
          <w:b/>
          <w:bCs/>
          <w:sz w:val="24"/>
        </w:rPr>
      </w:pPr>
      <w:bookmarkStart w:id="117" w:name="_Toc424043205"/>
      <w:bookmarkStart w:id="118" w:name="_Toc424043292"/>
      <w:r w:rsidRPr="00D34C95">
        <w:rPr>
          <w:rFonts w:cs="Arial"/>
          <w:b/>
          <w:bCs/>
          <w:sz w:val="24"/>
        </w:rPr>
        <w:t xml:space="preserve">Departmental </w:t>
      </w:r>
      <w:r w:rsidR="000078D7" w:rsidRPr="00D34C95">
        <w:rPr>
          <w:rFonts w:cs="Arial"/>
          <w:b/>
          <w:bCs/>
          <w:sz w:val="24"/>
        </w:rPr>
        <w:t>m</w:t>
      </w:r>
      <w:r w:rsidRPr="00D34C95">
        <w:rPr>
          <w:rFonts w:cs="Arial"/>
          <w:b/>
          <w:bCs/>
          <w:sz w:val="24"/>
        </w:rPr>
        <w:t>embers</w:t>
      </w:r>
      <w:bookmarkEnd w:id="117"/>
      <w:bookmarkEnd w:id="118"/>
    </w:p>
    <w:p w:rsidR="00011292" w:rsidRPr="007B159B" w:rsidRDefault="00011292" w:rsidP="00380686">
      <w:pPr>
        <w:spacing w:after="0"/>
        <w:jc w:val="both"/>
        <w:rPr>
          <w:rFonts w:cs="Arial"/>
        </w:rPr>
      </w:pPr>
      <w:r w:rsidRPr="007B159B">
        <w:rPr>
          <w:rFonts w:cs="Arial"/>
        </w:rPr>
        <w:t xml:space="preserve">The following </w:t>
      </w:r>
      <w:r w:rsidR="00D238BD">
        <w:rPr>
          <w:rFonts w:cs="Arial"/>
        </w:rPr>
        <w:t>public service officers</w:t>
      </w:r>
      <w:r w:rsidR="00D238BD" w:rsidRPr="007B159B">
        <w:rPr>
          <w:rFonts w:cs="Arial"/>
        </w:rPr>
        <w:t xml:space="preserve"> </w:t>
      </w:r>
      <w:r w:rsidRPr="007B159B">
        <w:rPr>
          <w:rFonts w:cs="Arial"/>
        </w:rPr>
        <w:t xml:space="preserve">within the Department of </w:t>
      </w:r>
      <w:r w:rsidR="000C7E7D">
        <w:rPr>
          <w:rFonts w:cs="Arial"/>
        </w:rPr>
        <w:t>Child Safety, Youth and Women are</w:t>
      </w:r>
      <w:r w:rsidRPr="007B159B">
        <w:rPr>
          <w:rFonts w:cs="Arial"/>
        </w:rPr>
        <w:t xml:space="preserve"> appointed to the pool of approved members:</w:t>
      </w:r>
    </w:p>
    <w:p w:rsidR="00FE719E" w:rsidRDefault="00D238BD" w:rsidP="00F3188A">
      <w:pPr>
        <w:numPr>
          <w:ilvl w:val="0"/>
          <w:numId w:val="1"/>
        </w:numPr>
        <w:spacing w:before="60" w:after="60"/>
        <w:jc w:val="both"/>
        <w:rPr>
          <w:rFonts w:cs="Arial"/>
        </w:rPr>
      </w:pPr>
      <w:r>
        <w:rPr>
          <w:rFonts w:cs="Arial"/>
        </w:rPr>
        <w:t xml:space="preserve">Ms Barbara Shaw, </w:t>
      </w:r>
      <w:r w:rsidR="00011292" w:rsidRPr="007B159B">
        <w:rPr>
          <w:rFonts w:cs="Arial"/>
        </w:rPr>
        <w:t xml:space="preserve">Executive Director, </w:t>
      </w:r>
      <w:r w:rsidR="00FE719E" w:rsidRPr="007B159B">
        <w:rPr>
          <w:rFonts w:cs="Arial"/>
        </w:rPr>
        <w:t>Office for Wom</w:t>
      </w:r>
      <w:r w:rsidR="009E19B2">
        <w:rPr>
          <w:rFonts w:cs="Arial"/>
        </w:rPr>
        <w:t xml:space="preserve">en and </w:t>
      </w:r>
      <w:r w:rsidR="00F439D1">
        <w:rPr>
          <w:rFonts w:cs="Arial"/>
        </w:rPr>
        <w:t>Violence Prevention</w:t>
      </w:r>
    </w:p>
    <w:p w:rsidR="00F439D1" w:rsidRPr="00F439D1" w:rsidRDefault="00D238BD" w:rsidP="00F3188A">
      <w:pPr>
        <w:numPr>
          <w:ilvl w:val="0"/>
          <w:numId w:val="1"/>
        </w:numPr>
        <w:spacing w:before="60" w:after="60"/>
        <w:jc w:val="both"/>
        <w:rPr>
          <w:rFonts w:cs="Arial"/>
        </w:rPr>
      </w:pPr>
      <w:r>
        <w:rPr>
          <w:rFonts w:cs="Arial"/>
          <w:szCs w:val="22"/>
        </w:rPr>
        <w:t xml:space="preserve">Ms Megan Giles, </w:t>
      </w:r>
      <w:r w:rsidR="00F439D1" w:rsidRPr="003371D1">
        <w:rPr>
          <w:rFonts w:cs="Arial"/>
          <w:szCs w:val="22"/>
        </w:rPr>
        <w:t xml:space="preserve">Executive Director, </w:t>
      </w:r>
      <w:r w:rsidR="00F439D1">
        <w:rPr>
          <w:rFonts w:cs="Arial"/>
          <w:szCs w:val="22"/>
        </w:rPr>
        <w:t>Policy and Legislation</w:t>
      </w:r>
    </w:p>
    <w:p w:rsidR="00F439D1" w:rsidRPr="00F439D1" w:rsidRDefault="00D238BD" w:rsidP="00F3188A">
      <w:pPr>
        <w:numPr>
          <w:ilvl w:val="0"/>
          <w:numId w:val="1"/>
        </w:numPr>
        <w:spacing w:before="60" w:after="60"/>
        <w:jc w:val="both"/>
        <w:rPr>
          <w:rFonts w:cs="Arial"/>
        </w:rPr>
      </w:pPr>
      <w:r>
        <w:rPr>
          <w:rFonts w:cs="Arial"/>
          <w:szCs w:val="22"/>
        </w:rPr>
        <w:t xml:space="preserve">Ms Susanne Le Boutillier, </w:t>
      </w:r>
      <w:r w:rsidR="00F439D1" w:rsidRPr="003371D1">
        <w:rPr>
          <w:rFonts w:cs="Arial"/>
          <w:szCs w:val="22"/>
        </w:rPr>
        <w:t>Executive Director, Child, Family and Community Services Commissioning</w:t>
      </w:r>
    </w:p>
    <w:p w:rsidR="00F439D1" w:rsidRPr="007B159B" w:rsidRDefault="00D238BD" w:rsidP="00F3188A">
      <w:pPr>
        <w:numPr>
          <w:ilvl w:val="0"/>
          <w:numId w:val="1"/>
        </w:numPr>
        <w:spacing w:before="60" w:after="60"/>
        <w:jc w:val="both"/>
        <w:rPr>
          <w:rFonts w:cs="Arial"/>
        </w:rPr>
      </w:pPr>
      <w:r>
        <w:rPr>
          <w:rFonts w:cs="Arial"/>
          <w:szCs w:val="22"/>
        </w:rPr>
        <w:t xml:space="preserve">Ms Bernadette Harvey, </w:t>
      </w:r>
      <w:r w:rsidR="00293FFC">
        <w:rPr>
          <w:rFonts w:cs="Arial"/>
          <w:szCs w:val="22"/>
        </w:rPr>
        <w:t xml:space="preserve">Regional Executive Director, South West Region </w:t>
      </w:r>
    </w:p>
    <w:p w:rsidR="00011292" w:rsidRPr="00D34C95" w:rsidRDefault="00D11932" w:rsidP="00D34C95">
      <w:pPr>
        <w:spacing w:before="240" w:after="60"/>
        <w:jc w:val="both"/>
        <w:rPr>
          <w:rFonts w:cs="Arial"/>
          <w:b/>
          <w:bCs/>
          <w:sz w:val="24"/>
        </w:rPr>
      </w:pPr>
      <w:bookmarkStart w:id="119" w:name="_Toc424043206"/>
      <w:bookmarkStart w:id="120" w:name="_Toc424043293"/>
      <w:r w:rsidRPr="00D34C95">
        <w:rPr>
          <w:rFonts w:cs="Arial"/>
          <w:b/>
          <w:bCs/>
          <w:sz w:val="24"/>
        </w:rPr>
        <w:t>G</w:t>
      </w:r>
      <w:r w:rsidR="00011292" w:rsidRPr="00D34C95">
        <w:rPr>
          <w:rFonts w:cs="Arial"/>
          <w:b/>
          <w:bCs/>
          <w:sz w:val="24"/>
        </w:rPr>
        <w:t xml:space="preserve">overnment </w:t>
      </w:r>
      <w:r w:rsidR="000078D7" w:rsidRPr="00D34C95">
        <w:rPr>
          <w:rFonts w:cs="Arial"/>
          <w:b/>
          <w:bCs/>
          <w:sz w:val="24"/>
        </w:rPr>
        <w:t>m</w:t>
      </w:r>
      <w:r w:rsidR="00011292" w:rsidRPr="00D34C95">
        <w:rPr>
          <w:rFonts w:cs="Arial"/>
          <w:b/>
          <w:bCs/>
          <w:sz w:val="24"/>
        </w:rPr>
        <w:t>embers</w:t>
      </w:r>
      <w:bookmarkEnd w:id="119"/>
      <w:bookmarkEnd w:id="120"/>
    </w:p>
    <w:p w:rsidR="00011292" w:rsidRPr="007B159B" w:rsidRDefault="00011292" w:rsidP="00380686">
      <w:pPr>
        <w:spacing w:after="0"/>
        <w:jc w:val="both"/>
        <w:rPr>
          <w:rFonts w:cs="Arial"/>
        </w:rPr>
      </w:pPr>
      <w:r w:rsidRPr="007B159B">
        <w:rPr>
          <w:rFonts w:cs="Arial"/>
        </w:rPr>
        <w:t xml:space="preserve">The following </w:t>
      </w:r>
      <w:r w:rsidR="00D238BD">
        <w:rPr>
          <w:rFonts w:cs="Arial"/>
        </w:rPr>
        <w:t>public service officers</w:t>
      </w:r>
      <w:r w:rsidR="00D238BD" w:rsidRPr="007B159B">
        <w:rPr>
          <w:rFonts w:cs="Arial"/>
        </w:rPr>
        <w:t xml:space="preserve"> </w:t>
      </w:r>
      <w:r w:rsidRPr="007B159B">
        <w:rPr>
          <w:rFonts w:cs="Arial"/>
        </w:rPr>
        <w:t xml:space="preserve">from other Queensland Government departments </w:t>
      </w:r>
      <w:r w:rsidR="00293FFC">
        <w:rPr>
          <w:rFonts w:cs="Arial"/>
        </w:rPr>
        <w:t>are</w:t>
      </w:r>
      <w:r w:rsidR="00293FFC" w:rsidRPr="007B159B">
        <w:rPr>
          <w:rFonts w:cs="Arial"/>
        </w:rPr>
        <w:t xml:space="preserve"> </w:t>
      </w:r>
      <w:r w:rsidRPr="007B159B">
        <w:rPr>
          <w:rFonts w:cs="Arial"/>
        </w:rPr>
        <w:t xml:space="preserve">appointed </w:t>
      </w:r>
      <w:r w:rsidR="00CD0893" w:rsidRPr="007B159B">
        <w:rPr>
          <w:rFonts w:cs="Arial"/>
        </w:rPr>
        <w:t>to the pool of approved members:</w:t>
      </w:r>
    </w:p>
    <w:p w:rsidR="00540FF9" w:rsidRPr="00540FF9" w:rsidRDefault="00540FF9" w:rsidP="00F3188A">
      <w:pPr>
        <w:numPr>
          <w:ilvl w:val="0"/>
          <w:numId w:val="1"/>
        </w:numPr>
        <w:spacing w:before="60" w:after="60"/>
        <w:jc w:val="both"/>
        <w:rPr>
          <w:rFonts w:cs="Arial"/>
          <w:szCs w:val="22"/>
        </w:rPr>
      </w:pPr>
      <w:r w:rsidRPr="00540FF9">
        <w:rPr>
          <w:rFonts w:cs="Arial"/>
          <w:szCs w:val="22"/>
        </w:rPr>
        <w:t xml:space="preserve">Department of Communities, Disability Services and Seniors </w:t>
      </w:r>
    </w:p>
    <w:p w:rsidR="00540FF9" w:rsidRPr="00540FF9" w:rsidRDefault="00CB5C45" w:rsidP="00F3188A">
      <w:pPr>
        <w:numPr>
          <w:ilvl w:val="0"/>
          <w:numId w:val="3"/>
        </w:numPr>
        <w:spacing w:before="60" w:after="60"/>
        <w:jc w:val="both"/>
        <w:rPr>
          <w:rFonts w:cs="Arial"/>
          <w:szCs w:val="22"/>
        </w:rPr>
      </w:pPr>
      <w:r>
        <w:rPr>
          <w:rFonts w:cs="Arial"/>
          <w:szCs w:val="22"/>
        </w:rPr>
        <w:t xml:space="preserve">Ms Donna Lockyer, </w:t>
      </w:r>
      <w:r w:rsidR="00540FF9" w:rsidRPr="00540FF9">
        <w:rPr>
          <w:rFonts w:cs="Arial"/>
          <w:szCs w:val="22"/>
        </w:rPr>
        <w:t xml:space="preserve">Regional Director, </w:t>
      </w:r>
      <w:r w:rsidR="00B84494">
        <w:rPr>
          <w:rFonts w:cs="Arial"/>
          <w:szCs w:val="22"/>
        </w:rPr>
        <w:t>Disability and Community Services</w:t>
      </w:r>
      <w:r w:rsidR="00540FF9" w:rsidRPr="00540FF9">
        <w:rPr>
          <w:rFonts w:cs="Arial"/>
          <w:szCs w:val="22"/>
        </w:rPr>
        <w:t xml:space="preserve"> </w:t>
      </w:r>
    </w:p>
    <w:p w:rsidR="00540FF9" w:rsidRPr="00540FF9" w:rsidRDefault="00CB5C45" w:rsidP="00F3188A">
      <w:pPr>
        <w:numPr>
          <w:ilvl w:val="0"/>
          <w:numId w:val="3"/>
        </w:numPr>
        <w:spacing w:before="60" w:after="60"/>
        <w:jc w:val="both"/>
        <w:rPr>
          <w:rStyle w:val="detail"/>
          <w:rFonts w:cs="Arial"/>
          <w:szCs w:val="22"/>
        </w:rPr>
      </w:pPr>
      <w:r>
        <w:rPr>
          <w:rStyle w:val="detail"/>
          <w:rFonts w:cs="Arial"/>
          <w:szCs w:val="22"/>
        </w:rPr>
        <w:t xml:space="preserve">Ms Karen Nankervis, </w:t>
      </w:r>
      <w:r w:rsidR="00540FF9" w:rsidRPr="00540FF9">
        <w:rPr>
          <w:rStyle w:val="detail"/>
          <w:rFonts w:cs="Arial"/>
          <w:szCs w:val="22"/>
        </w:rPr>
        <w:t>Professor and Centre Director, Centre of Excellence for Clinical Innovation and Behaviour Support</w:t>
      </w:r>
    </w:p>
    <w:p w:rsidR="00540FF9" w:rsidRPr="00540FF9" w:rsidRDefault="00CB5C45" w:rsidP="00F3188A">
      <w:pPr>
        <w:numPr>
          <w:ilvl w:val="0"/>
          <w:numId w:val="3"/>
        </w:numPr>
        <w:spacing w:before="60" w:after="60"/>
        <w:jc w:val="both"/>
        <w:rPr>
          <w:rFonts w:cs="Arial"/>
          <w:szCs w:val="22"/>
        </w:rPr>
      </w:pPr>
      <w:r>
        <w:rPr>
          <w:rFonts w:cs="Arial"/>
          <w:szCs w:val="22"/>
        </w:rPr>
        <w:t xml:space="preserve">Ms Tammy Myles, </w:t>
      </w:r>
      <w:r w:rsidR="00540FF9">
        <w:rPr>
          <w:rFonts w:cs="Arial"/>
          <w:szCs w:val="22"/>
        </w:rPr>
        <w:t xml:space="preserve">Executive Director, Community Recovery </w:t>
      </w:r>
    </w:p>
    <w:p w:rsidR="00D238BD" w:rsidRDefault="00D238BD" w:rsidP="00F3188A">
      <w:pPr>
        <w:numPr>
          <w:ilvl w:val="0"/>
          <w:numId w:val="1"/>
        </w:numPr>
        <w:spacing w:before="60" w:after="60"/>
        <w:jc w:val="both"/>
        <w:rPr>
          <w:rFonts w:cs="Arial"/>
        </w:rPr>
      </w:pPr>
      <w:r>
        <w:rPr>
          <w:rFonts w:cs="Arial"/>
        </w:rPr>
        <w:t>Department of Housing and Public Work</w:t>
      </w:r>
      <w:r w:rsidR="00CB5C45">
        <w:rPr>
          <w:rFonts w:cs="Arial"/>
        </w:rPr>
        <w:t>s</w:t>
      </w:r>
    </w:p>
    <w:p w:rsidR="00CB5C45" w:rsidRDefault="00CB5C45" w:rsidP="00F3188A">
      <w:pPr>
        <w:numPr>
          <w:ilvl w:val="0"/>
          <w:numId w:val="3"/>
        </w:numPr>
        <w:spacing w:before="60" w:after="60"/>
        <w:jc w:val="both"/>
        <w:rPr>
          <w:rFonts w:cs="Arial"/>
        </w:rPr>
      </w:pPr>
      <w:r>
        <w:rPr>
          <w:rFonts w:cs="Arial"/>
        </w:rPr>
        <w:t xml:space="preserve">Ms Kirstine Harvie, Executive Director, Strategic Policy and </w:t>
      </w:r>
      <w:r w:rsidR="00ED66CE">
        <w:rPr>
          <w:rFonts w:cs="Arial"/>
        </w:rPr>
        <w:t>Legislation</w:t>
      </w:r>
    </w:p>
    <w:p w:rsidR="00011292" w:rsidRPr="007B159B" w:rsidRDefault="00011292" w:rsidP="00F3188A">
      <w:pPr>
        <w:numPr>
          <w:ilvl w:val="0"/>
          <w:numId w:val="1"/>
        </w:numPr>
        <w:spacing w:before="60" w:after="60"/>
        <w:jc w:val="both"/>
        <w:rPr>
          <w:rFonts w:cs="Arial"/>
        </w:rPr>
      </w:pPr>
      <w:r w:rsidRPr="007B159B">
        <w:rPr>
          <w:rFonts w:cs="Arial"/>
        </w:rPr>
        <w:t>Department of Justice and Attorney-General</w:t>
      </w:r>
    </w:p>
    <w:p w:rsidR="00653998" w:rsidRDefault="00C27E61" w:rsidP="00F3188A">
      <w:pPr>
        <w:numPr>
          <w:ilvl w:val="0"/>
          <w:numId w:val="3"/>
        </w:numPr>
        <w:spacing w:before="60" w:after="60"/>
        <w:jc w:val="both"/>
        <w:rPr>
          <w:rFonts w:cs="Arial"/>
        </w:rPr>
      </w:pPr>
      <w:r>
        <w:rPr>
          <w:rFonts w:cs="Arial"/>
        </w:rPr>
        <w:t xml:space="preserve">Ms Anne Edwards, Director, Queensland Sentencing Advisory Council. </w:t>
      </w:r>
    </w:p>
    <w:p w:rsidR="00607442" w:rsidRDefault="00607442" w:rsidP="00F3188A">
      <w:pPr>
        <w:numPr>
          <w:ilvl w:val="0"/>
          <w:numId w:val="1"/>
        </w:numPr>
        <w:spacing w:before="60" w:after="60"/>
        <w:jc w:val="both"/>
        <w:rPr>
          <w:rFonts w:cs="Arial"/>
        </w:rPr>
      </w:pPr>
      <w:r>
        <w:rPr>
          <w:rFonts w:cs="Arial"/>
        </w:rPr>
        <w:t xml:space="preserve">Queensland Corrective Services </w:t>
      </w:r>
    </w:p>
    <w:p w:rsidR="00607442" w:rsidRDefault="00607442" w:rsidP="00F3188A">
      <w:pPr>
        <w:numPr>
          <w:ilvl w:val="0"/>
          <w:numId w:val="3"/>
        </w:numPr>
        <w:spacing w:before="60" w:after="60"/>
        <w:jc w:val="both"/>
        <w:rPr>
          <w:rFonts w:cs="Arial"/>
        </w:rPr>
      </w:pPr>
      <w:r>
        <w:rPr>
          <w:rFonts w:cs="Arial"/>
        </w:rPr>
        <w:t>Ms Nicole Duke, Regional Manager, Probation and Parole</w:t>
      </w:r>
    </w:p>
    <w:p w:rsidR="00607442" w:rsidRDefault="00607442" w:rsidP="00F3188A">
      <w:pPr>
        <w:numPr>
          <w:ilvl w:val="0"/>
          <w:numId w:val="3"/>
        </w:numPr>
        <w:spacing w:before="60" w:after="60"/>
        <w:jc w:val="both"/>
        <w:rPr>
          <w:rFonts w:cs="Arial"/>
        </w:rPr>
      </w:pPr>
      <w:r>
        <w:rPr>
          <w:rFonts w:cs="Arial"/>
        </w:rPr>
        <w:t xml:space="preserve">Mr Peter Henderson, General Manager, Borallon Training and Correctional Centre. </w:t>
      </w:r>
    </w:p>
    <w:p w:rsidR="00011292" w:rsidRPr="007B159B" w:rsidRDefault="00011292" w:rsidP="00F3188A">
      <w:pPr>
        <w:numPr>
          <w:ilvl w:val="0"/>
          <w:numId w:val="1"/>
        </w:numPr>
        <w:spacing w:before="60" w:after="60"/>
        <w:jc w:val="both"/>
        <w:rPr>
          <w:rFonts w:cs="Arial"/>
        </w:rPr>
      </w:pPr>
      <w:r w:rsidRPr="007B159B">
        <w:rPr>
          <w:rFonts w:cs="Arial"/>
        </w:rPr>
        <w:t>Queensland Health</w:t>
      </w:r>
    </w:p>
    <w:p w:rsidR="009757BA" w:rsidRDefault="009757BA" w:rsidP="00F3188A">
      <w:pPr>
        <w:numPr>
          <w:ilvl w:val="0"/>
          <w:numId w:val="3"/>
        </w:numPr>
        <w:spacing w:before="60" w:after="60"/>
        <w:jc w:val="both"/>
        <w:rPr>
          <w:rFonts w:cs="Arial"/>
        </w:rPr>
      </w:pPr>
      <w:r>
        <w:rPr>
          <w:rFonts w:cs="Arial"/>
        </w:rPr>
        <w:t>Associate Professor Stephen Stathis, Medical Director, Child and Youth Mental Health Services</w:t>
      </w:r>
    </w:p>
    <w:p w:rsidR="00011292" w:rsidRPr="007B159B" w:rsidRDefault="009757BA" w:rsidP="00F3188A">
      <w:pPr>
        <w:numPr>
          <w:ilvl w:val="0"/>
          <w:numId w:val="3"/>
        </w:numPr>
        <w:spacing w:before="60" w:after="60"/>
        <w:jc w:val="both"/>
        <w:rPr>
          <w:rFonts w:cs="Arial"/>
        </w:rPr>
      </w:pPr>
      <w:r>
        <w:rPr>
          <w:rFonts w:cs="Arial"/>
        </w:rPr>
        <w:t xml:space="preserve">Mr Graham Kraak, </w:t>
      </w:r>
      <w:r w:rsidR="00011292" w:rsidRPr="007B159B">
        <w:rPr>
          <w:rFonts w:cs="Arial"/>
        </w:rPr>
        <w:t>Director, Strategic Policy Priority Areas</w:t>
      </w:r>
    </w:p>
    <w:p w:rsidR="00011292" w:rsidRPr="007B159B" w:rsidRDefault="00011292" w:rsidP="00F3188A">
      <w:pPr>
        <w:numPr>
          <w:ilvl w:val="0"/>
          <w:numId w:val="1"/>
        </w:numPr>
        <w:spacing w:before="60" w:after="60"/>
        <w:jc w:val="both"/>
        <w:rPr>
          <w:rFonts w:cs="Arial"/>
        </w:rPr>
      </w:pPr>
      <w:r w:rsidRPr="007B159B">
        <w:rPr>
          <w:rFonts w:cs="Arial"/>
        </w:rPr>
        <w:t>Department of Education</w:t>
      </w:r>
      <w:r w:rsidR="00607442">
        <w:rPr>
          <w:rFonts w:cs="Arial"/>
        </w:rPr>
        <w:t xml:space="preserve"> and</w:t>
      </w:r>
      <w:r w:rsidRPr="007B159B">
        <w:rPr>
          <w:rFonts w:cs="Arial"/>
        </w:rPr>
        <w:t xml:space="preserve"> Training</w:t>
      </w:r>
    </w:p>
    <w:p w:rsidR="00EE0CCC" w:rsidRDefault="00EE0CCC" w:rsidP="00F3188A">
      <w:pPr>
        <w:numPr>
          <w:ilvl w:val="0"/>
          <w:numId w:val="3"/>
        </w:numPr>
        <w:spacing w:before="60" w:after="60"/>
        <w:jc w:val="both"/>
        <w:rPr>
          <w:rFonts w:cs="Arial"/>
        </w:rPr>
      </w:pPr>
      <w:r>
        <w:rPr>
          <w:rFonts w:cs="Arial"/>
        </w:rPr>
        <w:t>Ms Hayley Stevenson, Executive Director, Student Protection</w:t>
      </w:r>
    </w:p>
    <w:p w:rsidR="00940B64" w:rsidRPr="00C27E61" w:rsidRDefault="00EE0CCC" w:rsidP="00F3188A">
      <w:pPr>
        <w:numPr>
          <w:ilvl w:val="0"/>
          <w:numId w:val="3"/>
        </w:numPr>
        <w:spacing w:before="60" w:after="60"/>
        <w:jc w:val="both"/>
        <w:rPr>
          <w:rFonts w:cs="Arial"/>
        </w:rPr>
      </w:pPr>
      <w:r>
        <w:rPr>
          <w:rFonts w:cs="Arial"/>
        </w:rPr>
        <w:t xml:space="preserve">Mr Selwyn Button, Assistant Director-General, State Schools Indigenous Education (Identifies as Aboriginal) </w:t>
      </w:r>
    </w:p>
    <w:p w:rsidR="00011292" w:rsidRPr="007B159B" w:rsidRDefault="00011292" w:rsidP="00F3188A">
      <w:pPr>
        <w:numPr>
          <w:ilvl w:val="0"/>
          <w:numId w:val="1"/>
        </w:numPr>
        <w:spacing w:before="60" w:after="60"/>
        <w:jc w:val="both"/>
        <w:rPr>
          <w:rFonts w:cs="Arial"/>
        </w:rPr>
      </w:pPr>
      <w:r w:rsidRPr="007B159B">
        <w:rPr>
          <w:rFonts w:cs="Arial"/>
        </w:rPr>
        <w:t>Queensland Police Service</w:t>
      </w:r>
    </w:p>
    <w:p w:rsidR="00011292" w:rsidRPr="007B159B" w:rsidRDefault="00501894" w:rsidP="00F3188A">
      <w:pPr>
        <w:numPr>
          <w:ilvl w:val="0"/>
          <w:numId w:val="3"/>
        </w:numPr>
        <w:spacing w:before="60" w:after="60"/>
        <w:jc w:val="both"/>
        <w:rPr>
          <w:rFonts w:cs="Arial"/>
        </w:rPr>
      </w:pPr>
      <w:r>
        <w:rPr>
          <w:rFonts w:cs="Arial"/>
        </w:rPr>
        <w:t xml:space="preserve">Detective Inspector Glenn Horan, </w:t>
      </w:r>
      <w:r w:rsidR="00011292" w:rsidRPr="007B159B">
        <w:rPr>
          <w:rFonts w:cs="Arial"/>
        </w:rPr>
        <w:t xml:space="preserve">Operations Manager, </w:t>
      </w:r>
      <w:r w:rsidRPr="00501894">
        <w:rPr>
          <w:rFonts w:cs="Arial"/>
        </w:rPr>
        <w:t>Corrective Services Investigation Unit, Homicide Group, State Crime Command</w:t>
      </w:r>
    </w:p>
    <w:p w:rsidR="00011292" w:rsidRPr="00501894" w:rsidRDefault="00C94317" w:rsidP="00F3188A">
      <w:pPr>
        <w:numPr>
          <w:ilvl w:val="0"/>
          <w:numId w:val="3"/>
        </w:numPr>
        <w:spacing w:before="60" w:after="0"/>
        <w:jc w:val="both"/>
        <w:rPr>
          <w:rFonts w:cs="Arial"/>
        </w:rPr>
      </w:pPr>
      <w:r w:rsidRPr="00501894">
        <w:rPr>
          <w:rFonts w:cs="Arial"/>
        </w:rPr>
        <w:t>Detective Senior Sergeant</w:t>
      </w:r>
      <w:r w:rsidR="00C27E61" w:rsidRPr="00501894">
        <w:rPr>
          <w:rFonts w:cs="Arial"/>
        </w:rPr>
        <w:t xml:space="preserve"> Christopher Hansel</w:t>
      </w:r>
      <w:r w:rsidR="00011292" w:rsidRPr="00501894">
        <w:rPr>
          <w:rFonts w:cs="Arial"/>
        </w:rPr>
        <w:t xml:space="preserve">, Child </w:t>
      </w:r>
      <w:r w:rsidR="00501894" w:rsidRPr="00501894">
        <w:rPr>
          <w:rFonts w:cs="Arial"/>
        </w:rPr>
        <w:t xml:space="preserve">Trauma </w:t>
      </w:r>
      <w:r w:rsidR="00011292" w:rsidRPr="00501894">
        <w:rPr>
          <w:rFonts w:cs="Arial"/>
        </w:rPr>
        <w:t>and Sexual C</w:t>
      </w:r>
      <w:r w:rsidR="00D34C95" w:rsidRPr="00501894">
        <w:rPr>
          <w:rFonts w:cs="Arial"/>
        </w:rPr>
        <w:t xml:space="preserve">rime </w:t>
      </w:r>
      <w:r w:rsidR="00501894" w:rsidRPr="00501894">
        <w:rPr>
          <w:rFonts w:cs="Arial"/>
        </w:rPr>
        <w:t>Unit</w:t>
      </w:r>
      <w:r w:rsidR="00D34C95" w:rsidRPr="00501894">
        <w:rPr>
          <w:rFonts w:cs="Arial"/>
        </w:rPr>
        <w:t>, State Crime Command</w:t>
      </w:r>
    </w:p>
    <w:sectPr w:rsidR="00011292" w:rsidRPr="00501894" w:rsidSect="00591B31">
      <w:pgSz w:w="11906" w:h="16838" w:code="9"/>
      <w:pgMar w:top="2098" w:right="1418" w:bottom="1418" w:left="1418" w:header="426" w:footer="4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47B" w:rsidRDefault="0063747B">
      <w:r>
        <w:separator/>
      </w:r>
    </w:p>
  </w:endnote>
  <w:endnote w:type="continuationSeparator" w:id="0">
    <w:p w:rsidR="0063747B" w:rsidRDefault="0063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7B" w:rsidRDefault="0063747B" w:rsidP="00C8565A">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7B" w:rsidRDefault="0063747B" w:rsidP="00CD3838">
    <w:pPr>
      <w:tabs>
        <w:tab w:val="center" w:pos="4153"/>
        <w:tab w:val="right" w:pos="8306"/>
      </w:tabs>
      <w:spacing w:before="1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7B" w:rsidRDefault="0063747B" w:rsidP="00CD3838">
    <w:pPr>
      <w:tabs>
        <w:tab w:val="center" w:pos="4153"/>
        <w:tab w:val="right" w:pos="8306"/>
      </w:tabs>
      <w:spacing w:before="1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7B" w:rsidRPr="00040C2A" w:rsidRDefault="0063747B" w:rsidP="00040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47B" w:rsidRDefault="0063747B">
      <w:r>
        <w:separator/>
      </w:r>
    </w:p>
  </w:footnote>
  <w:footnote w:type="continuationSeparator" w:id="0">
    <w:p w:rsidR="0063747B" w:rsidRDefault="0063747B">
      <w:r>
        <w:continuationSeparator/>
      </w:r>
    </w:p>
  </w:footnote>
  <w:footnote w:id="1">
    <w:p w:rsidR="0063747B" w:rsidRPr="009379A0" w:rsidRDefault="0063747B" w:rsidP="008F6D7F">
      <w:pPr>
        <w:pStyle w:val="FootnoteText"/>
        <w:jc w:val="both"/>
        <w:rPr>
          <w:rFonts w:cs="Arial"/>
        </w:rPr>
      </w:pPr>
      <w:r w:rsidRPr="009379A0">
        <w:rPr>
          <w:rStyle w:val="FootnoteReference"/>
          <w:rFonts w:cs="Arial"/>
        </w:rPr>
        <w:footnoteRef/>
      </w:r>
      <w:r w:rsidRPr="009379A0">
        <w:rPr>
          <w:rFonts w:cs="Arial"/>
        </w:rPr>
        <w:t xml:space="preserve"> A completed review is defined as a panel which has submitted a completed report to the Director-General (and Director of Child Protection Litigation, if required) between 1 July 2017 and 30 June 2018.</w:t>
      </w:r>
    </w:p>
  </w:footnote>
  <w:footnote w:id="2">
    <w:p w:rsidR="0063747B" w:rsidRPr="009379A0" w:rsidRDefault="0063747B" w:rsidP="008F6D7F">
      <w:pPr>
        <w:pStyle w:val="FootnoteText"/>
        <w:jc w:val="both"/>
        <w:rPr>
          <w:rFonts w:cs="Arial"/>
        </w:rPr>
      </w:pPr>
      <w:r w:rsidRPr="009379A0">
        <w:rPr>
          <w:rStyle w:val="FootnoteReference"/>
          <w:rFonts w:cs="Arial"/>
        </w:rPr>
        <w:footnoteRef/>
      </w:r>
      <w:r w:rsidRPr="009379A0">
        <w:rPr>
          <w:rFonts w:cs="Arial"/>
        </w:rPr>
        <w:t xml:space="preserve"> Section 246AA </w:t>
      </w:r>
      <w:r w:rsidRPr="009379A0">
        <w:rPr>
          <w:rFonts w:cs="Arial"/>
          <w:i/>
        </w:rPr>
        <w:t>Child Protection Act 1999</w:t>
      </w:r>
      <w:r w:rsidRPr="009379A0">
        <w:rPr>
          <w:rFonts w:cs="Arial"/>
        </w:rPr>
        <w:t xml:space="preserve"> (Qld)</w:t>
      </w:r>
    </w:p>
  </w:footnote>
  <w:footnote w:id="3">
    <w:p w:rsidR="0063747B" w:rsidRPr="009379A0" w:rsidRDefault="0063747B" w:rsidP="008F6D7F">
      <w:pPr>
        <w:pStyle w:val="FootnoteText"/>
        <w:jc w:val="both"/>
        <w:rPr>
          <w:rFonts w:cs="Arial"/>
        </w:rPr>
      </w:pPr>
      <w:r w:rsidRPr="009379A0">
        <w:rPr>
          <w:rStyle w:val="FootnoteReference"/>
          <w:rFonts w:cs="Arial"/>
        </w:rPr>
        <w:footnoteRef/>
      </w:r>
      <w:r w:rsidRPr="009379A0">
        <w:rPr>
          <w:rFonts w:cs="Arial"/>
        </w:rPr>
        <w:t xml:space="preserve"> Section 246HF </w:t>
      </w:r>
      <w:r w:rsidRPr="009379A0">
        <w:rPr>
          <w:rFonts w:cs="Arial"/>
          <w:i/>
        </w:rPr>
        <w:t>Child Protection Act 1999</w:t>
      </w:r>
    </w:p>
  </w:footnote>
  <w:footnote w:id="4">
    <w:p w:rsidR="0063747B" w:rsidRPr="009379A0" w:rsidRDefault="0063747B" w:rsidP="008F6D7F">
      <w:pPr>
        <w:pStyle w:val="FootnoteText"/>
        <w:jc w:val="both"/>
        <w:rPr>
          <w:rFonts w:cs="Arial"/>
        </w:rPr>
      </w:pPr>
      <w:r w:rsidRPr="009379A0">
        <w:rPr>
          <w:rStyle w:val="FootnoteReference"/>
          <w:rFonts w:cs="Arial"/>
        </w:rPr>
        <w:footnoteRef/>
      </w:r>
      <w:r w:rsidRPr="009379A0">
        <w:rPr>
          <w:rFonts w:cs="Arial"/>
        </w:rPr>
        <w:t xml:space="preserve"> Section 246HG </w:t>
      </w:r>
      <w:r w:rsidRPr="009379A0">
        <w:rPr>
          <w:rFonts w:cs="Arial"/>
          <w:i/>
        </w:rPr>
        <w:t>Child Protection Act 1999</w:t>
      </w:r>
    </w:p>
  </w:footnote>
  <w:footnote w:id="5">
    <w:p w:rsidR="0063747B" w:rsidRPr="009379A0" w:rsidRDefault="0063747B" w:rsidP="008F6D7F">
      <w:pPr>
        <w:pStyle w:val="FootnoteText"/>
        <w:jc w:val="both"/>
        <w:rPr>
          <w:rFonts w:cs="Arial"/>
          <w:i/>
        </w:rPr>
      </w:pPr>
      <w:r w:rsidRPr="009379A0">
        <w:rPr>
          <w:rStyle w:val="FootnoteReference"/>
          <w:rFonts w:cs="Arial"/>
        </w:rPr>
        <w:footnoteRef/>
      </w:r>
      <w:r w:rsidRPr="009379A0">
        <w:rPr>
          <w:rFonts w:cs="Arial"/>
        </w:rPr>
        <w:t xml:space="preserve"> Sections 246DB and 246DC </w:t>
      </w:r>
      <w:r w:rsidRPr="009379A0">
        <w:rPr>
          <w:rFonts w:cs="Arial"/>
          <w:i/>
        </w:rPr>
        <w:t>Child Protection Act 1999</w:t>
      </w:r>
    </w:p>
  </w:footnote>
  <w:footnote w:id="6">
    <w:p w:rsidR="0063747B" w:rsidRPr="009379A0" w:rsidRDefault="0063747B" w:rsidP="008F6D7F">
      <w:pPr>
        <w:pStyle w:val="FootnoteText"/>
        <w:jc w:val="both"/>
        <w:rPr>
          <w:rFonts w:cs="Arial"/>
        </w:rPr>
      </w:pPr>
      <w:r w:rsidRPr="009379A0">
        <w:rPr>
          <w:rStyle w:val="FootnoteReference"/>
          <w:rFonts w:cs="Arial"/>
        </w:rPr>
        <w:footnoteRef/>
      </w:r>
      <w:r w:rsidRPr="009379A0">
        <w:rPr>
          <w:rFonts w:cs="Arial"/>
        </w:rPr>
        <w:t xml:space="preserve"> Sections 246DB, 246DC and 246DD </w:t>
      </w:r>
      <w:r w:rsidRPr="009379A0">
        <w:rPr>
          <w:rFonts w:cs="Arial"/>
          <w:i/>
        </w:rPr>
        <w:t>Child Protection Act 1999</w:t>
      </w:r>
    </w:p>
  </w:footnote>
  <w:footnote w:id="7">
    <w:p w:rsidR="0063747B" w:rsidRPr="009379A0" w:rsidRDefault="0063747B" w:rsidP="008F6D7F">
      <w:pPr>
        <w:pStyle w:val="FootnoteText"/>
        <w:jc w:val="both"/>
        <w:rPr>
          <w:rFonts w:cs="Arial"/>
          <w:lang w:val="en-US"/>
        </w:rPr>
      </w:pPr>
      <w:r w:rsidRPr="009379A0">
        <w:rPr>
          <w:rStyle w:val="FootnoteReference"/>
          <w:rFonts w:cs="Arial"/>
        </w:rPr>
        <w:footnoteRef/>
      </w:r>
      <w:r w:rsidRPr="009379A0">
        <w:rPr>
          <w:rFonts w:cs="Arial"/>
        </w:rPr>
        <w:t xml:space="preserve"> A completed review is defined as a panel which has submitted a completed report to the Director-General (and Director of Child Protection Litigation, if required) between 1 July 2017 and 30 June 2018.</w:t>
      </w:r>
    </w:p>
  </w:footnote>
  <w:footnote w:id="8">
    <w:p w:rsidR="0063747B" w:rsidRPr="009379A0" w:rsidRDefault="0063747B" w:rsidP="008F6D7F">
      <w:pPr>
        <w:pStyle w:val="FootnoteText"/>
        <w:jc w:val="both"/>
        <w:rPr>
          <w:rFonts w:cs="Arial"/>
        </w:rPr>
      </w:pPr>
      <w:r w:rsidRPr="009379A0">
        <w:rPr>
          <w:rStyle w:val="FootnoteReference"/>
          <w:rFonts w:cs="Arial"/>
        </w:rPr>
        <w:footnoteRef/>
      </w:r>
      <w:r w:rsidRPr="009379A0">
        <w:rPr>
          <w:rFonts w:cs="Arial"/>
        </w:rPr>
        <w:t xml:space="preserve"> G – Getting started in child protection practice, R – Readiness for child protection practice, O – ongoing practice development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7B" w:rsidRDefault="0063747B" w:rsidP="003E194E">
    <w:pPr>
      <w:pStyle w:val="Header"/>
      <w:jc w:val="center"/>
    </w:pPr>
    <w:r>
      <w:rPr>
        <w:noProof/>
      </w:rPr>
      <w:drawing>
        <wp:inline distT="0" distB="0" distL="0" distR="0" wp14:anchorId="428ABCCD" wp14:editId="7AD7A67B">
          <wp:extent cx="990600" cy="209550"/>
          <wp:effectExtent l="0" t="0" r="0" b="0"/>
          <wp:docPr id="20" name="Picture 20" descr="heade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
  <w:p w:rsidR="0063747B" w:rsidRDefault="0063747B" w:rsidP="003E194E">
    <w:pPr>
      <w:spacing w:before="60" w:after="60"/>
      <w:jc w:val="center"/>
    </w:pPr>
    <w:r w:rsidRPr="001E5353">
      <w:t>Queensland Child Death Case Review Panels</w:t>
    </w:r>
  </w:p>
  <w:p w:rsidR="0063747B" w:rsidRPr="007F7557" w:rsidRDefault="0063747B" w:rsidP="007F7557">
    <w:pPr>
      <w:jc w:val="center"/>
      <w:rPr>
        <w:b/>
      </w:rPr>
    </w:pPr>
    <w:r w:rsidRPr="007F7557">
      <w:rPr>
        <w:b/>
      </w:rPr>
      <w:t>Annual Report 201</w:t>
    </w:r>
    <w:r>
      <w:rPr>
        <w:b/>
      </w:rPr>
      <w:t>7</w:t>
    </w:r>
    <w:r w:rsidRPr="007F7557">
      <w:rPr>
        <w:b/>
      </w:rPr>
      <w:t>–1</w:t>
    </w:r>
    <w:r>
      <w:rPr>
        <w:b/>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7B" w:rsidRPr="0063747B" w:rsidRDefault="0063747B" w:rsidP="006374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7B" w:rsidRDefault="006374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7B" w:rsidRPr="000E32E8" w:rsidRDefault="0063747B" w:rsidP="000E32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7B" w:rsidRPr="002D3FFD" w:rsidRDefault="0063747B" w:rsidP="002D3FFD">
    <w:pPr>
      <w:jc w:val="center"/>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7B" w:rsidRDefault="0063747B" w:rsidP="002D3FFD">
    <w:pPr>
      <w:spacing w:before="60" w:after="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79EF"/>
    <w:multiLevelType w:val="hybridMultilevel"/>
    <w:tmpl w:val="33DA81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C3B71"/>
    <w:multiLevelType w:val="hybridMultilevel"/>
    <w:tmpl w:val="27F40E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B61785"/>
    <w:multiLevelType w:val="hybridMultilevel"/>
    <w:tmpl w:val="E714AFCA"/>
    <w:lvl w:ilvl="0" w:tplc="4670CA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2029B"/>
    <w:multiLevelType w:val="hybridMultilevel"/>
    <w:tmpl w:val="66367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6C7F18"/>
    <w:multiLevelType w:val="hybridMultilevel"/>
    <w:tmpl w:val="22CA0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25B37"/>
    <w:multiLevelType w:val="hybridMultilevel"/>
    <w:tmpl w:val="29A03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DB0154"/>
    <w:multiLevelType w:val="hybridMultilevel"/>
    <w:tmpl w:val="3BB6444C"/>
    <w:lvl w:ilvl="0" w:tplc="C1241238">
      <w:numFmt w:val="bullet"/>
      <w:lvlText w:val="•"/>
      <w:lvlJc w:val="left"/>
      <w:pPr>
        <w:ind w:left="720" w:hanging="720"/>
      </w:pPr>
      <w:rPr>
        <w:rFonts w:ascii="Arial" w:eastAsiaTheme="minorHAnsi" w:hAnsi="Arial" w:cs="Arial" w:hint="default"/>
      </w:rPr>
    </w:lvl>
    <w:lvl w:ilvl="1" w:tplc="4744839A">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4B0721"/>
    <w:multiLevelType w:val="hybridMultilevel"/>
    <w:tmpl w:val="ED206ED6"/>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9F141B"/>
    <w:multiLevelType w:val="hybridMultilevel"/>
    <w:tmpl w:val="223470EE"/>
    <w:lvl w:ilvl="0" w:tplc="1C28A02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63A93"/>
    <w:multiLevelType w:val="hybridMultilevel"/>
    <w:tmpl w:val="6AD26A3E"/>
    <w:lvl w:ilvl="0" w:tplc="C1241238">
      <w:numFmt w:val="bullet"/>
      <w:lvlText w:val="•"/>
      <w:lvlJc w:val="left"/>
      <w:pPr>
        <w:ind w:left="720" w:hanging="72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3940C2"/>
    <w:multiLevelType w:val="hybridMultilevel"/>
    <w:tmpl w:val="21B47B1A"/>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7D3D94"/>
    <w:multiLevelType w:val="hybridMultilevel"/>
    <w:tmpl w:val="0E0C5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2F060D"/>
    <w:multiLevelType w:val="hybridMultilevel"/>
    <w:tmpl w:val="A5DEDB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E22D26"/>
    <w:multiLevelType w:val="hybridMultilevel"/>
    <w:tmpl w:val="946212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D842AEF"/>
    <w:multiLevelType w:val="hybridMultilevel"/>
    <w:tmpl w:val="AFF0F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B030DE"/>
    <w:multiLevelType w:val="hybridMultilevel"/>
    <w:tmpl w:val="E1A654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92F4DF8"/>
    <w:multiLevelType w:val="hybridMultilevel"/>
    <w:tmpl w:val="EA043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4F0404"/>
    <w:multiLevelType w:val="hybridMultilevel"/>
    <w:tmpl w:val="8E024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E353B7"/>
    <w:multiLevelType w:val="hybridMultilevel"/>
    <w:tmpl w:val="B6628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55241E2F"/>
    <w:multiLevelType w:val="hybridMultilevel"/>
    <w:tmpl w:val="AE7C6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5D642C3"/>
    <w:multiLevelType w:val="hybridMultilevel"/>
    <w:tmpl w:val="E404F9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79A09FB"/>
    <w:multiLevelType w:val="hybridMultilevel"/>
    <w:tmpl w:val="0D049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B34679"/>
    <w:multiLevelType w:val="hybridMultilevel"/>
    <w:tmpl w:val="9AEE1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7BE3CC0"/>
    <w:multiLevelType w:val="hybridMultilevel"/>
    <w:tmpl w:val="9154BC4A"/>
    <w:lvl w:ilvl="0" w:tplc="F6407E2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D2616C2"/>
    <w:multiLevelType w:val="hybridMultilevel"/>
    <w:tmpl w:val="4D483398"/>
    <w:lvl w:ilvl="0" w:tplc="0C090001">
      <w:start w:val="1"/>
      <w:numFmt w:val="bullet"/>
      <w:lvlText w:val=""/>
      <w:lvlJc w:val="left"/>
      <w:pPr>
        <w:ind w:left="720" w:hanging="360"/>
      </w:pPr>
      <w:rPr>
        <w:rFonts w:ascii="Symbol" w:hAnsi="Symbol" w:hint="default"/>
      </w:rPr>
    </w:lvl>
    <w:lvl w:ilvl="1" w:tplc="F6407E2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7A172E"/>
    <w:multiLevelType w:val="hybridMultilevel"/>
    <w:tmpl w:val="F2AC4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3A843C9"/>
    <w:multiLevelType w:val="hybridMultilevel"/>
    <w:tmpl w:val="5C56D5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2"/>
  </w:num>
  <w:num w:numId="2">
    <w:abstractNumId w:val="16"/>
  </w:num>
  <w:num w:numId="3">
    <w:abstractNumId w:val="8"/>
  </w:num>
  <w:num w:numId="4">
    <w:abstractNumId w:val="1"/>
  </w:num>
  <w:num w:numId="5">
    <w:abstractNumId w:val="4"/>
  </w:num>
  <w:num w:numId="6">
    <w:abstractNumId w:val="9"/>
  </w:num>
  <w:num w:numId="7">
    <w:abstractNumId w:val="6"/>
  </w:num>
  <w:num w:numId="8">
    <w:abstractNumId w:val="18"/>
  </w:num>
  <w:num w:numId="9">
    <w:abstractNumId w:val="10"/>
  </w:num>
  <w:num w:numId="10">
    <w:abstractNumId w:val="5"/>
  </w:num>
  <w:num w:numId="11">
    <w:abstractNumId w:val="14"/>
  </w:num>
  <w:num w:numId="12">
    <w:abstractNumId w:val="3"/>
  </w:num>
  <w:num w:numId="13">
    <w:abstractNumId w:val="21"/>
  </w:num>
  <w:num w:numId="14">
    <w:abstractNumId w:val="17"/>
  </w:num>
  <w:num w:numId="15">
    <w:abstractNumId w:val="24"/>
  </w:num>
  <w:num w:numId="16">
    <w:abstractNumId w:val="0"/>
  </w:num>
  <w:num w:numId="17">
    <w:abstractNumId w:val="2"/>
  </w:num>
  <w:num w:numId="18">
    <w:abstractNumId w:val="23"/>
  </w:num>
  <w:num w:numId="19">
    <w:abstractNumId w:val="7"/>
  </w:num>
  <w:num w:numId="20">
    <w:abstractNumId w:val="11"/>
  </w:num>
  <w:num w:numId="21">
    <w:abstractNumId w:val="20"/>
  </w:num>
  <w:num w:numId="22">
    <w:abstractNumId w:val="15"/>
  </w:num>
  <w:num w:numId="23">
    <w:abstractNumId w:val="13"/>
  </w:num>
  <w:num w:numId="24">
    <w:abstractNumId w:val="26"/>
  </w:num>
  <w:num w:numId="25">
    <w:abstractNumId w:val="19"/>
  </w:num>
  <w:num w:numId="26">
    <w:abstractNumId w:val="25"/>
  </w:num>
  <w:num w:numId="27">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DB"/>
    <w:rsid w:val="00000764"/>
    <w:rsid w:val="00000E49"/>
    <w:rsid w:val="000020B0"/>
    <w:rsid w:val="00002BED"/>
    <w:rsid w:val="000038BA"/>
    <w:rsid w:val="00003FBE"/>
    <w:rsid w:val="00004013"/>
    <w:rsid w:val="000041A4"/>
    <w:rsid w:val="00004B29"/>
    <w:rsid w:val="000058A9"/>
    <w:rsid w:val="00005B69"/>
    <w:rsid w:val="00005BD4"/>
    <w:rsid w:val="00005F2E"/>
    <w:rsid w:val="00006A0F"/>
    <w:rsid w:val="00006DEA"/>
    <w:rsid w:val="0000744D"/>
    <w:rsid w:val="000074A4"/>
    <w:rsid w:val="0000761C"/>
    <w:rsid w:val="000078D7"/>
    <w:rsid w:val="000106FE"/>
    <w:rsid w:val="00010B78"/>
    <w:rsid w:val="00011292"/>
    <w:rsid w:val="0001141A"/>
    <w:rsid w:val="0001147A"/>
    <w:rsid w:val="000115F2"/>
    <w:rsid w:val="000119C1"/>
    <w:rsid w:val="00012064"/>
    <w:rsid w:val="00013EDB"/>
    <w:rsid w:val="00014D8B"/>
    <w:rsid w:val="00014FD6"/>
    <w:rsid w:val="0001502E"/>
    <w:rsid w:val="000156A3"/>
    <w:rsid w:val="000156D7"/>
    <w:rsid w:val="000158ED"/>
    <w:rsid w:val="00017579"/>
    <w:rsid w:val="00017587"/>
    <w:rsid w:val="00017EC9"/>
    <w:rsid w:val="00020162"/>
    <w:rsid w:val="00020AE5"/>
    <w:rsid w:val="00020D6B"/>
    <w:rsid w:val="00020FC3"/>
    <w:rsid w:val="00021999"/>
    <w:rsid w:val="00022908"/>
    <w:rsid w:val="00023004"/>
    <w:rsid w:val="000230CF"/>
    <w:rsid w:val="0002320A"/>
    <w:rsid w:val="00024017"/>
    <w:rsid w:val="0002412B"/>
    <w:rsid w:val="0002435E"/>
    <w:rsid w:val="000243DC"/>
    <w:rsid w:val="00024B77"/>
    <w:rsid w:val="000253BB"/>
    <w:rsid w:val="000254AC"/>
    <w:rsid w:val="00025A5B"/>
    <w:rsid w:val="000260BB"/>
    <w:rsid w:val="000266A3"/>
    <w:rsid w:val="0002752A"/>
    <w:rsid w:val="00027AE1"/>
    <w:rsid w:val="000303F5"/>
    <w:rsid w:val="000312A7"/>
    <w:rsid w:val="0003169B"/>
    <w:rsid w:val="000318F2"/>
    <w:rsid w:val="00031AB2"/>
    <w:rsid w:val="00031E75"/>
    <w:rsid w:val="000321E3"/>
    <w:rsid w:val="0003274A"/>
    <w:rsid w:val="0003343E"/>
    <w:rsid w:val="00033648"/>
    <w:rsid w:val="00033768"/>
    <w:rsid w:val="000338CB"/>
    <w:rsid w:val="00033B36"/>
    <w:rsid w:val="00034D8D"/>
    <w:rsid w:val="00034F7D"/>
    <w:rsid w:val="0003518E"/>
    <w:rsid w:val="00035228"/>
    <w:rsid w:val="00035510"/>
    <w:rsid w:val="00036625"/>
    <w:rsid w:val="000374AA"/>
    <w:rsid w:val="000376BB"/>
    <w:rsid w:val="00037F4C"/>
    <w:rsid w:val="000401EA"/>
    <w:rsid w:val="000403CF"/>
    <w:rsid w:val="000409DB"/>
    <w:rsid w:val="00040B4A"/>
    <w:rsid w:val="00040B91"/>
    <w:rsid w:val="00040C2A"/>
    <w:rsid w:val="00041261"/>
    <w:rsid w:val="00041726"/>
    <w:rsid w:val="00041B72"/>
    <w:rsid w:val="00041C21"/>
    <w:rsid w:val="00042D2D"/>
    <w:rsid w:val="000431B9"/>
    <w:rsid w:val="00043A65"/>
    <w:rsid w:val="000440BE"/>
    <w:rsid w:val="000442EB"/>
    <w:rsid w:val="00044F91"/>
    <w:rsid w:val="00045361"/>
    <w:rsid w:val="00045612"/>
    <w:rsid w:val="00045802"/>
    <w:rsid w:val="00045A28"/>
    <w:rsid w:val="000465B3"/>
    <w:rsid w:val="000465E6"/>
    <w:rsid w:val="00046A2E"/>
    <w:rsid w:val="00047268"/>
    <w:rsid w:val="00047D32"/>
    <w:rsid w:val="000502BB"/>
    <w:rsid w:val="0005112B"/>
    <w:rsid w:val="000528FC"/>
    <w:rsid w:val="00052C33"/>
    <w:rsid w:val="000531B0"/>
    <w:rsid w:val="000534D4"/>
    <w:rsid w:val="00053E8F"/>
    <w:rsid w:val="00053F80"/>
    <w:rsid w:val="00054F95"/>
    <w:rsid w:val="00055620"/>
    <w:rsid w:val="00055EA0"/>
    <w:rsid w:val="000568EA"/>
    <w:rsid w:val="0005697E"/>
    <w:rsid w:val="000570F3"/>
    <w:rsid w:val="00057C10"/>
    <w:rsid w:val="00057D30"/>
    <w:rsid w:val="000600DF"/>
    <w:rsid w:val="000600F8"/>
    <w:rsid w:val="000610EA"/>
    <w:rsid w:val="00061396"/>
    <w:rsid w:val="0006158D"/>
    <w:rsid w:val="000617A1"/>
    <w:rsid w:val="0006191B"/>
    <w:rsid w:val="00061E13"/>
    <w:rsid w:val="00062069"/>
    <w:rsid w:val="00062951"/>
    <w:rsid w:val="00062D09"/>
    <w:rsid w:val="000632ED"/>
    <w:rsid w:val="00063F4D"/>
    <w:rsid w:val="000652C8"/>
    <w:rsid w:val="000654DB"/>
    <w:rsid w:val="00065B95"/>
    <w:rsid w:val="0006628F"/>
    <w:rsid w:val="000667AF"/>
    <w:rsid w:val="00066F4B"/>
    <w:rsid w:val="0006749D"/>
    <w:rsid w:val="00067516"/>
    <w:rsid w:val="000677F0"/>
    <w:rsid w:val="00067900"/>
    <w:rsid w:val="00067AE8"/>
    <w:rsid w:val="00070336"/>
    <w:rsid w:val="000708C2"/>
    <w:rsid w:val="00072261"/>
    <w:rsid w:val="00072D31"/>
    <w:rsid w:val="0007362D"/>
    <w:rsid w:val="00073B28"/>
    <w:rsid w:val="00073C22"/>
    <w:rsid w:val="00074CDA"/>
    <w:rsid w:val="0007543D"/>
    <w:rsid w:val="0007559F"/>
    <w:rsid w:val="0007574E"/>
    <w:rsid w:val="00075A00"/>
    <w:rsid w:val="00076231"/>
    <w:rsid w:val="00076F2A"/>
    <w:rsid w:val="00077215"/>
    <w:rsid w:val="0007790A"/>
    <w:rsid w:val="00077D38"/>
    <w:rsid w:val="00080273"/>
    <w:rsid w:val="00080CC9"/>
    <w:rsid w:val="00080F16"/>
    <w:rsid w:val="000816D8"/>
    <w:rsid w:val="00081B61"/>
    <w:rsid w:val="0008291F"/>
    <w:rsid w:val="0008297D"/>
    <w:rsid w:val="000829FC"/>
    <w:rsid w:val="00083A73"/>
    <w:rsid w:val="00083B72"/>
    <w:rsid w:val="000848B5"/>
    <w:rsid w:val="0008615F"/>
    <w:rsid w:val="000864DC"/>
    <w:rsid w:val="000869C0"/>
    <w:rsid w:val="00086AF1"/>
    <w:rsid w:val="00086E17"/>
    <w:rsid w:val="00087D53"/>
    <w:rsid w:val="00090068"/>
    <w:rsid w:val="00090354"/>
    <w:rsid w:val="00090584"/>
    <w:rsid w:val="00090E08"/>
    <w:rsid w:val="00091557"/>
    <w:rsid w:val="000915B0"/>
    <w:rsid w:val="00091807"/>
    <w:rsid w:val="0009279F"/>
    <w:rsid w:val="00092B8A"/>
    <w:rsid w:val="00092F73"/>
    <w:rsid w:val="00093226"/>
    <w:rsid w:val="000932AD"/>
    <w:rsid w:val="000933C0"/>
    <w:rsid w:val="00093E4F"/>
    <w:rsid w:val="00093FC7"/>
    <w:rsid w:val="000940F2"/>
    <w:rsid w:val="0009433D"/>
    <w:rsid w:val="00095398"/>
    <w:rsid w:val="000953D8"/>
    <w:rsid w:val="000957D1"/>
    <w:rsid w:val="000958D1"/>
    <w:rsid w:val="000971A7"/>
    <w:rsid w:val="000975E1"/>
    <w:rsid w:val="00097B79"/>
    <w:rsid w:val="000A0903"/>
    <w:rsid w:val="000A1A2A"/>
    <w:rsid w:val="000A21CF"/>
    <w:rsid w:val="000A2A10"/>
    <w:rsid w:val="000A3185"/>
    <w:rsid w:val="000A3221"/>
    <w:rsid w:val="000A38B5"/>
    <w:rsid w:val="000A4589"/>
    <w:rsid w:val="000A48A3"/>
    <w:rsid w:val="000A4A30"/>
    <w:rsid w:val="000A4A97"/>
    <w:rsid w:val="000A4C4B"/>
    <w:rsid w:val="000A5534"/>
    <w:rsid w:val="000A5675"/>
    <w:rsid w:val="000A5A0D"/>
    <w:rsid w:val="000A5ED1"/>
    <w:rsid w:val="000A627A"/>
    <w:rsid w:val="000A6BEA"/>
    <w:rsid w:val="000A6C75"/>
    <w:rsid w:val="000A6DA1"/>
    <w:rsid w:val="000A6E5B"/>
    <w:rsid w:val="000A7406"/>
    <w:rsid w:val="000A7D3C"/>
    <w:rsid w:val="000A7FE5"/>
    <w:rsid w:val="000B04D5"/>
    <w:rsid w:val="000B089D"/>
    <w:rsid w:val="000B0B9F"/>
    <w:rsid w:val="000B21E3"/>
    <w:rsid w:val="000B24BF"/>
    <w:rsid w:val="000B276F"/>
    <w:rsid w:val="000B2FA4"/>
    <w:rsid w:val="000B30A3"/>
    <w:rsid w:val="000B310D"/>
    <w:rsid w:val="000B3390"/>
    <w:rsid w:val="000B36F9"/>
    <w:rsid w:val="000B39F8"/>
    <w:rsid w:val="000B3AA5"/>
    <w:rsid w:val="000B4C08"/>
    <w:rsid w:val="000B5739"/>
    <w:rsid w:val="000B5CA6"/>
    <w:rsid w:val="000B61AC"/>
    <w:rsid w:val="000B6377"/>
    <w:rsid w:val="000B66CA"/>
    <w:rsid w:val="000B6FDF"/>
    <w:rsid w:val="000B7022"/>
    <w:rsid w:val="000B764B"/>
    <w:rsid w:val="000B77EC"/>
    <w:rsid w:val="000B7B40"/>
    <w:rsid w:val="000C0F1C"/>
    <w:rsid w:val="000C10CD"/>
    <w:rsid w:val="000C11FF"/>
    <w:rsid w:val="000C147A"/>
    <w:rsid w:val="000C1D62"/>
    <w:rsid w:val="000C1F17"/>
    <w:rsid w:val="000C2012"/>
    <w:rsid w:val="000C21A5"/>
    <w:rsid w:val="000C42B5"/>
    <w:rsid w:val="000C511F"/>
    <w:rsid w:val="000C522A"/>
    <w:rsid w:val="000C54D8"/>
    <w:rsid w:val="000C5A83"/>
    <w:rsid w:val="000C5EF9"/>
    <w:rsid w:val="000C5F7F"/>
    <w:rsid w:val="000C65D6"/>
    <w:rsid w:val="000C65FD"/>
    <w:rsid w:val="000C6CCB"/>
    <w:rsid w:val="000C74FC"/>
    <w:rsid w:val="000C7E7D"/>
    <w:rsid w:val="000D04E0"/>
    <w:rsid w:val="000D06E9"/>
    <w:rsid w:val="000D070C"/>
    <w:rsid w:val="000D0827"/>
    <w:rsid w:val="000D0974"/>
    <w:rsid w:val="000D09E7"/>
    <w:rsid w:val="000D0E7F"/>
    <w:rsid w:val="000D1370"/>
    <w:rsid w:val="000D19B1"/>
    <w:rsid w:val="000D2A4B"/>
    <w:rsid w:val="000D2D81"/>
    <w:rsid w:val="000D32B4"/>
    <w:rsid w:val="000D3398"/>
    <w:rsid w:val="000D3DBF"/>
    <w:rsid w:val="000D463A"/>
    <w:rsid w:val="000D46F6"/>
    <w:rsid w:val="000D480B"/>
    <w:rsid w:val="000D4D7E"/>
    <w:rsid w:val="000D5695"/>
    <w:rsid w:val="000D5789"/>
    <w:rsid w:val="000D57C6"/>
    <w:rsid w:val="000D5B90"/>
    <w:rsid w:val="000D5BDC"/>
    <w:rsid w:val="000D6571"/>
    <w:rsid w:val="000D6A70"/>
    <w:rsid w:val="000E09B8"/>
    <w:rsid w:val="000E120C"/>
    <w:rsid w:val="000E1E0D"/>
    <w:rsid w:val="000E23BD"/>
    <w:rsid w:val="000E282E"/>
    <w:rsid w:val="000E32E8"/>
    <w:rsid w:val="000E3449"/>
    <w:rsid w:val="000E3776"/>
    <w:rsid w:val="000E3B5E"/>
    <w:rsid w:val="000E3FD3"/>
    <w:rsid w:val="000E4020"/>
    <w:rsid w:val="000E498B"/>
    <w:rsid w:val="000E5B68"/>
    <w:rsid w:val="000E684F"/>
    <w:rsid w:val="000E69DA"/>
    <w:rsid w:val="000E6FD8"/>
    <w:rsid w:val="000E72FB"/>
    <w:rsid w:val="000F00B4"/>
    <w:rsid w:val="000F0D16"/>
    <w:rsid w:val="000F11AC"/>
    <w:rsid w:val="000F125F"/>
    <w:rsid w:val="000F159E"/>
    <w:rsid w:val="000F1C06"/>
    <w:rsid w:val="000F1FF5"/>
    <w:rsid w:val="000F2B0E"/>
    <w:rsid w:val="000F32D7"/>
    <w:rsid w:val="000F34F0"/>
    <w:rsid w:val="000F3A14"/>
    <w:rsid w:val="000F4320"/>
    <w:rsid w:val="000F4503"/>
    <w:rsid w:val="000F4CE3"/>
    <w:rsid w:val="000F5701"/>
    <w:rsid w:val="000F5AA2"/>
    <w:rsid w:val="000F5C50"/>
    <w:rsid w:val="000F5DE0"/>
    <w:rsid w:val="000F6625"/>
    <w:rsid w:val="000F70A8"/>
    <w:rsid w:val="000F71E2"/>
    <w:rsid w:val="000F7269"/>
    <w:rsid w:val="000F79CB"/>
    <w:rsid w:val="000F7D82"/>
    <w:rsid w:val="00100220"/>
    <w:rsid w:val="00100AAD"/>
    <w:rsid w:val="0010107A"/>
    <w:rsid w:val="0010172F"/>
    <w:rsid w:val="00101868"/>
    <w:rsid w:val="00101B24"/>
    <w:rsid w:val="0010236D"/>
    <w:rsid w:val="00102380"/>
    <w:rsid w:val="001023B6"/>
    <w:rsid w:val="0010337C"/>
    <w:rsid w:val="00103ABA"/>
    <w:rsid w:val="00103E62"/>
    <w:rsid w:val="0010412F"/>
    <w:rsid w:val="00104599"/>
    <w:rsid w:val="00104DE8"/>
    <w:rsid w:val="001051A9"/>
    <w:rsid w:val="00105680"/>
    <w:rsid w:val="00106022"/>
    <w:rsid w:val="0010602B"/>
    <w:rsid w:val="0010628E"/>
    <w:rsid w:val="00106663"/>
    <w:rsid w:val="001067BC"/>
    <w:rsid w:val="00106CAC"/>
    <w:rsid w:val="00106ED9"/>
    <w:rsid w:val="00107202"/>
    <w:rsid w:val="0010789B"/>
    <w:rsid w:val="00110EB9"/>
    <w:rsid w:val="0011106E"/>
    <w:rsid w:val="001110D3"/>
    <w:rsid w:val="00112090"/>
    <w:rsid w:val="001126DA"/>
    <w:rsid w:val="001128E0"/>
    <w:rsid w:val="001133D1"/>
    <w:rsid w:val="001146AB"/>
    <w:rsid w:val="001147A7"/>
    <w:rsid w:val="0011517B"/>
    <w:rsid w:val="001156BC"/>
    <w:rsid w:val="00115766"/>
    <w:rsid w:val="00115958"/>
    <w:rsid w:val="00115E04"/>
    <w:rsid w:val="00116694"/>
    <w:rsid w:val="0011699A"/>
    <w:rsid w:val="00117021"/>
    <w:rsid w:val="001172B9"/>
    <w:rsid w:val="001172F0"/>
    <w:rsid w:val="00117319"/>
    <w:rsid w:val="001173AF"/>
    <w:rsid w:val="001201C1"/>
    <w:rsid w:val="00120A98"/>
    <w:rsid w:val="00121828"/>
    <w:rsid w:val="00121D97"/>
    <w:rsid w:val="0012304E"/>
    <w:rsid w:val="0012336C"/>
    <w:rsid w:val="00123375"/>
    <w:rsid w:val="00123B2B"/>
    <w:rsid w:val="0012543E"/>
    <w:rsid w:val="00125A9E"/>
    <w:rsid w:val="00125D65"/>
    <w:rsid w:val="00126018"/>
    <w:rsid w:val="00126E88"/>
    <w:rsid w:val="00127308"/>
    <w:rsid w:val="001275F0"/>
    <w:rsid w:val="00130032"/>
    <w:rsid w:val="00130967"/>
    <w:rsid w:val="00130C1C"/>
    <w:rsid w:val="001317D9"/>
    <w:rsid w:val="001319B7"/>
    <w:rsid w:val="00131A22"/>
    <w:rsid w:val="00133095"/>
    <w:rsid w:val="00133DA4"/>
    <w:rsid w:val="0013414A"/>
    <w:rsid w:val="0013444A"/>
    <w:rsid w:val="00134E0B"/>
    <w:rsid w:val="00135086"/>
    <w:rsid w:val="001350CC"/>
    <w:rsid w:val="00135734"/>
    <w:rsid w:val="00135F0F"/>
    <w:rsid w:val="0013646B"/>
    <w:rsid w:val="00136592"/>
    <w:rsid w:val="00137334"/>
    <w:rsid w:val="00137C45"/>
    <w:rsid w:val="00137DFC"/>
    <w:rsid w:val="00137F7C"/>
    <w:rsid w:val="00140A07"/>
    <w:rsid w:val="00141FC9"/>
    <w:rsid w:val="00142536"/>
    <w:rsid w:val="0014308D"/>
    <w:rsid w:val="001432B5"/>
    <w:rsid w:val="001435DA"/>
    <w:rsid w:val="00144034"/>
    <w:rsid w:val="00144301"/>
    <w:rsid w:val="00144AF7"/>
    <w:rsid w:val="00145034"/>
    <w:rsid w:val="001461B4"/>
    <w:rsid w:val="00147314"/>
    <w:rsid w:val="001505BB"/>
    <w:rsid w:val="00150B3B"/>
    <w:rsid w:val="001510BD"/>
    <w:rsid w:val="001520A7"/>
    <w:rsid w:val="0015222C"/>
    <w:rsid w:val="00152969"/>
    <w:rsid w:val="001529A3"/>
    <w:rsid w:val="001529DC"/>
    <w:rsid w:val="00153173"/>
    <w:rsid w:val="00153398"/>
    <w:rsid w:val="001533BE"/>
    <w:rsid w:val="00153720"/>
    <w:rsid w:val="00153ECF"/>
    <w:rsid w:val="0015400E"/>
    <w:rsid w:val="0015407F"/>
    <w:rsid w:val="0015418B"/>
    <w:rsid w:val="00154245"/>
    <w:rsid w:val="001542D0"/>
    <w:rsid w:val="00154CAD"/>
    <w:rsid w:val="00154ED2"/>
    <w:rsid w:val="00156F03"/>
    <w:rsid w:val="00157471"/>
    <w:rsid w:val="00157657"/>
    <w:rsid w:val="0015770E"/>
    <w:rsid w:val="001577E7"/>
    <w:rsid w:val="00157EEB"/>
    <w:rsid w:val="001605F2"/>
    <w:rsid w:val="001608EA"/>
    <w:rsid w:val="00160B49"/>
    <w:rsid w:val="00160C78"/>
    <w:rsid w:val="001621A4"/>
    <w:rsid w:val="001622E8"/>
    <w:rsid w:val="00162465"/>
    <w:rsid w:val="001625AA"/>
    <w:rsid w:val="001628D6"/>
    <w:rsid w:val="0016302C"/>
    <w:rsid w:val="00163B48"/>
    <w:rsid w:val="00163B6E"/>
    <w:rsid w:val="00163BF1"/>
    <w:rsid w:val="00163D90"/>
    <w:rsid w:val="001643BD"/>
    <w:rsid w:val="001643CE"/>
    <w:rsid w:val="0016452F"/>
    <w:rsid w:val="00164542"/>
    <w:rsid w:val="00164792"/>
    <w:rsid w:val="00165022"/>
    <w:rsid w:val="001656EA"/>
    <w:rsid w:val="00165715"/>
    <w:rsid w:val="00166C7D"/>
    <w:rsid w:val="00166E5E"/>
    <w:rsid w:val="00166E63"/>
    <w:rsid w:val="00166FC0"/>
    <w:rsid w:val="001672C1"/>
    <w:rsid w:val="001673CE"/>
    <w:rsid w:val="001675EB"/>
    <w:rsid w:val="001677B9"/>
    <w:rsid w:val="00167988"/>
    <w:rsid w:val="00170580"/>
    <w:rsid w:val="0017076A"/>
    <w:rsid w:val="00170BF1"/>
    <w:rsid w:val="00170FCB"/>
    <w:rsid w:val="001715FD"/>
    <w:rsid w:val="0017203A"/>
    <w:rsid w:val="001722E3"/>
    <w:rsid w:val="001731B9"/>
    <w:rsid w:val="001735DD"/>
    <w:rsid w:val="00173A5F"/>
    <w:rsid w:val="0017415F"/>
    <w:rsid w:val="00174346"/>
    <w:rsid w:val="001754CC"/>
    <w:rsid w:val="001756C0"/>
    <w:rsid w:val="00175985"/>
    <w:rsid w:val="00175CDD"/>
    <w:rsid w:val="00176013"/>
    <w:rsid w:val="0017630F"/>
    <w:rsid w:val="00176532"/>
    <w:rsid w:val="00176725"/>
    <w:rsid w:val="001771C3"/>
    <w:rsid w:val="00177212"/>
    <w:rsid w:val="00177B76"/>
    <w:rsid w:val="00180C4B"/>
    <w:rsid w:val="0018163E"/>
    <w:rsid w:val="00181B72"/>
    <w:rsid w:val="00181EB5"/>
    <w:rsid w:val="0018201A"/>
    <w:rsid w:val="00182176"/>
    <w:rsid w:val="0018252C"/>
    <w:rsid w:val="00182717"/>
    <w:rsid w:val="00183AFC"/>
    <w:rsid w:val="001841FC"/>
    <w:rsid w:val="0018448B"/>
    <w:rsid w:val="0018452C"/>
    <w:rsid w:val="0018468F"/>
    <w:rsid w:val="00184986"/>
    <w:rsid w:val="00184D78"/>
    <w:rsid w:val="001854A9"/>
    <w:rsid w:val="001858BC"/>
    <w:rsid w:val="00185A4A"/>
    <w:rsid w:val="00186650"/>
    <w:rsid w:val="00186CB5"/>
    <w:rsid w:val="00187171"/>
    <w:rsid w:val="00187F38"/>
    <w:rsid w:val="00187F7A"/>
    <w:rsid w:val="001905EE"/>
    <w:rsid w:val="00190BDD"/>
    <w:rsid w:val="00190D67"/>
    <w:rsid w:val="0019104A"/>
    <w:rsid w:val="0019146A"/>
    <w:rsid w:val="001920CF"/>
    <w:rsid w:val="00192503"/>
    <w:rsid w:val="00192700"/>
    <w:rsid w:val="00192A8E"/>
    <w:rsid w:val="00192DD2"/>
    <w:rsid w:val="0019309C"/>
    <w:rsid w:val="00194996"/>
    <w:rsid w:val="00194B5A"/>
    <w:rsid w:val="0019522F"/>
    <w:rsid w:val="00195920"/>
    <w:rsid w:val="00197BA5"/>
    <w:rsid w:val="001A0DF3"/>
    <w:rsid w:val="001A1161"/>
    <w:rsid w:val="001A1697"/>
    <w:rsid w:val="001A16C9"/>
    <w:rsid w:val="001A18B0"/>
    <w:rsid w:val="001A19E6"/>
    <w:rsid w:val="001A2237"/>
    <w:rsid w:val="001A29E7"/>
    <w:rsid w:val="001A37C0"/>
    <w:rsid w:val="001A3CD7"/>
    <w:rsid w:val="001A4CF9"/>
    <w:rsid w:val="001A4EDC"/>
    <w:rsid w:val="001A5175"/>
    <w:rsid w:val="001A5B19"/>
    <w:rsid w:val="001A5F4A"/>
    <w:rsid w:val="001A616B"/>
    <w:rsid w:val="001A6415"/>
    <w:rsid w:val="001A680E"/>
    <w:rsid w:val="001A6B39"/>
    <w:rsid w:val="001A6B9E"/>
    <w:rsid w:val="001A7262"/>
    <w:rsid w:val="001B149E"/>
    <w:rsid w:val="001B18E0"/>
    <w:rsid w:val="001B193E"/>
    <w:rsid w:val="001B1B59"/>
    <w:rsid w:val="001B285B"/>
    <w:rsid w:val="001B32E2"/>
    <w:rsid w:val="001B33A4"/>
    <w:rsid w:val="001B367C"/>
    <w:rsid w:val="001B36FF"/>
    <w:rsid w:val="001B38C4"/>
    <w:rsid w:val="001B3EF0"/>
    <w:rsid w:val="001B42DD"/>
    <w:rsid w:val="001B4B9B"/>
    <w:rsid w:val="001B4C8C"/>
    <w:rsid w:val="001B55AC"/>
    <w:rsid w:val="001B6593"/>
    <w:rsid w:val="001B718E"/>
    <w:rsid w:val="001B78AC"/>
    <w:rsid w:val="001B78CF"/>
    <w:rsid w:val="001B7FD2"/>
    <w:rsid w:val="001C0B09"/>
    <w:rsid w:val="001C127C"/>
    <w:rsid w:val="001C17F0"/>
    <w:rsid w:val="001C213E"/>
    <w:rsid w:val="001C268E"/>
    <w:rsid w:val="001C2798"/>
    <w:rsid w:val="001C281A"/>
    <w:rsid w:val="001C28AF"/>
    <w:rsid w:val="001C3076"/>
    <w:rsid w:val="001C37AC"/>
    <w:rsid w:val="001C37D4"/>
    <w:rsid w:val="001C4341"/>
    <w:rsid w:val="001C4474"/>
    <w:rsid w:val="001C4490"/>
    <w:rsid w:val="001C47C9"/>
    <w:rsid w:val="001C48F7"/>
    <w:rsid w:val="001C4FFA"/>
    <w:rsid w:val="001C53A4"/>
    <w:rsid w:val="001C559E"/>
    <w:rsid w:val="001C5775"/>
    <w:rsid w:val="001C659E"/>
    <w:rsid w:val="001C6ACC"/>
    <w:rsid w:val="001C6C65"/>
    <w:rsid w:val="001C6EB2"/>
    <w:rsid w:val="001C752A"/>
    <w:rsid w:val="001C78C1"/>
    <w:rsid w:val="001C7A7C"/>
    <w:rsid w:val="001C7AA9"/>
    <w:rsid w:val="001C7C92"/>
    <w:rsid w:val="001D0889"/>
    <w:rsid w:val="001D10E0"/>
    <w:rsid w:val="001D15F1"/>
    <w:rsid w:val="001D1D3D"/>
    <w:rsid w:val="001D220C"/>
    <w:rsid w:val="001D234D"/>
    <w:rsid w:val="001D3008"/>
    <w:rsid w:val="001D3103"/>
    <w:rsid w:val="001D3142"/>
    <w:rsid w:val="001D382A"/>
    <w:rsid w:val="001D38A2"/>
    <w:rsid w:val="001D3B09"/>
    <w:rsid w:val="001D3B8B"/>
    <w:rsid w:val="001D488F"/>
    <w:rsid w:val="001D5559"/>
    <w:rsid w:val="001D6621"/>
    <w:rsid w:val="001D6CF2"/>
    <w:rsid w:val="001D76DD"/>
    <w:rsid w:val="001D775C"/>
    <w:rsid w:val="001D7B03"/>
    <w:rsid w:val="001D7C92"/>
    <w:rsid w:val="001E043D"/>
    <w:rsid w:val="001E09BA"/>
    <w:rsid w:val="001E0EED"/>
    <w:rsid w:val="001E1AD9"/>
    <w:rsid w:val="001E1CE8"/>
    <w:rsid w:val="001E249A"/>
    <w:rsid w:val="001E2639"/>
    <w:rsid w:val="001E2654"/>
    <w:rsid w:val="001E27EA"/>
    <w:rsid w:val="001E36A3"/>
    <w:rsid w:val="001E3D77"/>
    <w:rsid w:val="001E4322"/>
    <w:rsid w:val="001E4ED6"/>
    <w:rsid w:val="001E5353"/>
    <w:rsid w:val="001E5C4C"/>
    <w:rsid w:val="001E6414"/>
    <w:rsid w:val="001E6584"/>
    <w:rsid w:val="001E67A3"/>
    <w:rsid w:val="001E67EB"/>
    <w:rsid w:val="001E68DA"/>
    <w:rsid w:val="001E6AE8"/>
    <w:rsid w:val="001E71D5"/>
    <w:rsid w:val="001F07EE"/>
    <w:rsid w:val="001F07F7"/>
    <w:rsid w:val="001F0888"/>
    <w:rsid w:val="001F0F8B"/>
    <w:rsid w:val="001F103F"/>
    <w:rsid w:val="001F1250"/>
    <w:rsid w:val="001F17D9"/>
    <w:rsid w:val="001F1A76"/>
    <w:rsid w:val="001F1D91"/>
    <w:rsid w:val="001F1E0A"/>
    <w:rsid w:val="001F1ED4"/>
    <w:rsid w:val="001F2430"/>
    <w:rsid w:val="001F2475"/>
    <w:rsid w:val="001F24E8"/>
    <w:rsid w:val="001F2947"/>
    <w:rsid w:val="001F2CA1"/>
    <w:rsid w:val="001F313E"/>
    <w:rsid w:val="001F34BD"/>
    <w:rsid w:val="001F3BA5"/>
    <w:rsid w:val="001F3C9E"/>
    <w:rsid w:val="001F3E21"/>
    <w:rsid w:val="001F44F3"/>
    <w:rsid w:val="001F4C30"/>
    <w:rsid w:val="001F5579"/>
    <w:rsid w:val="001F5887"/>
    <w:rsid w:val="001F617B"/>
    <w:rsid w:val="001F67B6"/>
    <w:rsid w:val="001F6BB0"/>
    <w:rsid w:val="001F6E5B"/>
    <w:rsid w:val="001F7063"/>
    <w:rsid w:val="001F71F8"/>
    <w:rsid w:val="001F7A51"/>
    <w:rsid w:val="001F7D76"/>
    <w:rsid w:val="0020012D"/>
    <w:rsid w:val="0020017B"/>
    <w:rsid w:val="002019C1"/>
    <w:rsid w:val="00201E72"/>
    <w:rsid w:val="00202632"/>
    <w:rsid w:val="002026ED"/>
    <w:rsid w:val="0020297C"/>
    <w:rsid w:val="00202FF5"/>
    <w:rsid w:val="00204138"/>
    <w:rsid w:val="002052ED"/>
    <w:rsid w:val="0020536F"/>
    <w:rsid w:val="002056E6"/>
    <w:rsid w:val="00205967"/>
    <w:rsid w:val="00205C10"/>
    <w:rsid w:val="00205F28"/>
    <w:rsid w:val="0020625A"/>
    <w:rsid w:val="0020637E"/>
    <w:rsid w:val="00206DD1"/>
    <w:rsid w:val="0021051A"/>
    <w:rsid w:val="00211FC6"/>
    <w:rsid w:val="00212AB1"/>
    <w:rsid w:val="00212CC6"/>
    <w:rsid w:val="002131E6"/>
    <w:rsid w:val="00213323"/>
    <w:rsid w:val="002134CE"/>
    <w:rsid w:val="0021358C"/>
    <w:rsid w:val="002135E0"/>
    <w:rsid w:val="002136B9"/>
    <w:rsid w:val="002139B3"/>
    <w:rsid w:val="00213FF8"/>
    <w:rsid w:val="002140B9"/>
    <w:rsid w:val="00214C2F"/>
    <w:rsid w:val="00214C4E"/>
    <w:rsid w:val="0021588C"/>
    <w:rsid w:val="00215978"/>
    <w:rsid w:val="00215D8B"/>
    <w:rsid w:val="00216B82"/>
    <w:rsid w:val="002203A6"/>
    <w:rsid w:val="00220638"/>
    <w:rsid w:val="00221518"/>
    <w:rsid w:val="00221D5C"/>
    <w:rsid w:val="00222159"/>
    <w:rsid w:val="002222F2"/>
    <w:rsid w:val="002225DF"/>
    <w:rsid w:val="00222BF8"/>
    <w:rsid w:val="00222EA2"/>
    <w:rsid w:val="00223FA6"/>
    <w:rsid w:val="002240EF"/>
    <w:rsid w:val="00224A7E"/>
    <w:rsid w:val="00225154"/>
    <w:rsid w:val="00225C91"/>
    <w:rsid w:val="00225FBB"/>
    <w:rsid w:val="00226951"/>
    <w:rsid w:val="00226BFA"/>
    <w:rsid w:val="00226D91"/>
    <w:rsid w:val="00226E4D"/>
    <w:rsid w:val="00226F3B"/>
    <w:rsid w:val="00230438"/>
    <w:rsid w:val="00230A2B"/>
    <w:rsid w:val="00230A3B"/>
    <w:rsid w:val="00230F7C"/>
    <w:rsid w:val="002313BE"/>
    <w:rsid w:val="002314C8"/>
    <w:rsid w:val="00231D3E"/>
    <w:rsid w:val="00232A95"/>
    <w:rsid w:val="00232FAE"/>
    <w:rsid w:val="00233842"/>
    <w:rsid w:val="00233CE5"/>
    <w:rsid w:val="0023413E"/>
    <w:rsid w:val="00234730"/>
    <w:rsid w:val="00234764"/>
    <w:rsid w:val="00235380"/>
    <w:rsid w:val="002358C4"/>
    <w:rsid w:val="00237267"/>
    <w:rsid w:val="00237CAE"/>
    <w:rsid w:val="00237EDC"/>
    <w:rsid w:val="00237F51"/>
    <w:rsid w:val="0024003A"/>
    <w:rsid w:val="002403CE"/>
    <w:rsid w:val="00240587"/>
    <w:rsid w:val="00240804"/>
    <w:rsid w:val="00240EC4"/>
    <w:rsid w:val="00240F38"/>
    <w:rsid w:val="00241526"/>
    <w:rsid w:val="002438FE"/>
    <w:rsid w:val="00243CCE"/>
    <w:rsid w:val="002446BD"/>
    <w:rsid w:val="0024552F"/>
    <w:rsid w:val="00245995"/>
    <w:rsid w:val="002461C8"/>
    <w:rsid w:val="0024689F"/>
    <w:rsid w:val="002468B2"/>
    <w:rsid w:val="002478B7"/>
    <w:rsid w:val="00251F7F"/>
    <w:rsid w:val="0025261A"/>
    <w:rsid w:val="0025352A"/>
    <w:rsid w:val="002536AB"/>
    <w:rsid w:val="00254821"/>
    <w:rsid w:val="00254CFB"/>
    <w:rsid w:val="002556EF"/>
    <w:rsid w:val="002563CA"/>
    <w:rsid w:val="0025694A"/>
    <w:rsid w:val="00256952"/>
    <w:rsid w:val="00257943"/>
    <w:rsid w:val="0025798E"/>
    <w:rsid w:val="00260A6D"/>
    <w:rsid w:val="00261783"/>
    <w:rsid w:val="00261A32"/>
    <w:rsid w:val="00261F8B"/>
    <w:rsid w:val="00262085"/>
    <w:rsid w:val="0026236C"/>
    <w:rsid w:val="00262A44"/>
    <w:rsid w:val="00262FB9"/>
    <w:rsid w:val="0026369C"/>
    <w:rsid w:val="002637F6"/>
    <w:rsid w:val="0026418B"/>
    <w:rsid w:val="00264303"/>
    <w:rsid w:val="002646CB"/>
    <w:rsid w:val="00264DBC"/>
    <w:rsid w:val="002650D7"/>
    <w:rsid w:val="0026529A"/>
    <w:rsid w:val="002656D2"/>
    <w:rsid w:val="0026597C"/>
    <w:rsid w:val="002666D6"/>
    <w:rsid w:val="00266810"/>
    <w:rsid w:val="00266F37"/>
    <w:rsid w:val="002673C5"/>
    <w:rsid w:val="0026766F"/>
    <w:rsid w:val="00267C6C"/>
    <w:rsid w:val="002703AC"/>
    <w:rsid w:val="0027070E"/>
    <w:rsid w:val="00270865"/>
    <w:rsid w:val="00270A74"/>
    <w:rsid w:val="002710D8"/>
    <w:rsid w:val="002710FE"/>
    <w:rsid w:val="00271389"/>
    <w:rsid w:val="00271E3F"/>
    <w:rsid w:val="00271F4E"/>
    <w:rsid w:val="00272CC7"/>
    <w:rsid w:val="00272E7F"/>
    <w:rsid w:val="002730EA"/>
    <w:rsid w:val="002730F5"/>
    <w:rsid w:val="00274C6C"/>
    <w:rsid w:val="00275AD5"/>
    <w:rsid w:val="002761E3"/>
    <w:rsid w:val="00276440"/>
    <w:rsid w:val="0027688D"/>
    <w:rsid w:val="0027697C"/>
    <w:rsid w:val="00277AF1"/>
    <w:rsid w:val="002800D7"/>
    <w:rsid w:val="00280E93"/>
    <w:rsid w:val="00280F33"/>
    <w:rsid w:val="002811EA"/>
    <w:rsid w:val="002813CD"/>
    <w:rsid w:val="002813D9"/>
    <w:rsid w:val="00281570"/>
    <w:rsid w:val="002816CF"/>
    <w:rsid w:val="00281803"/>
    <w:rsid w:val="00281988"/>
    <w:rsid w:val="00281A08"/>
    <w:rsid w:val="00281E1D"/>
    <w:rsid w:val="00281F84"/>
    <w:rsid w:val="002822BF"/>
    <w:rsid w:val="00283014"/>
    <w:rsid w:val="002830D7"/>
    <w:rsid w:val="002840A8"/>
    <w:rsid w:val="00284B44"/>
    <w:rsid w:val="00285023"/>
    <w:rsid w:val="002852C5"/>
    <w:rsid w:val="00285FEF"/>
    <w:rsid w:val="00286C0D"/>
    <w:rsid w:val="00286E98"/>
    <w:rsid w:val="00287373"/>
    <w:rsid w:val="00287A11"/>
    <w:rsid w:val="00287ECC"/>
    <w:rsid w:val="00287FAF"/>
    <w:rsid w:val="0029019B"/>
    <w:rsid w:val="00290331"/>
    <w:rsid w:val="002904D9"/>
    <w:rsid w:val="00290917"/>
    <w:rsid w:val="00290D88"/>
    <w:rsid w:val="0029126F"/>
    <w:rsid w:val="00291DC8"/>
    <w:rsid w:val="0029248B"/>
    <w:rsid w:val="00292494"/>
    <w:rsid w:val="0029249C"/>
    <w:rsid w:val="00292EE4"/>
    <w:rsid w:val="00293361"/>
    <w:rsid w:val="00293B16"/>
    <w:rsid w:val="00293FFC"/>
    <w:rsid w:val="00294067"/>
    <w:rsid w:val="002946C7"/>
    <w:rsid w:val="00294B27"/>
    <w:rsid w:val="00294B7F"/>
    <w:rsid w:val="00294F00"/>
    <w:rsid w:val="00295094"/>
    <w:rsid w:val="002955C3"/>
    <w:rsid w:val="00295BF2"/>
    <w:rsid w:val="00295F2F"/>
    <w:rsid w:val="002961C2"/>
    <w:rsid w:val="0029647F"/>
    <w:rsid w:val="00296B22"/>
    <w:rsid w:val="00296C2A"/>
    <w:rsid w:val="00297184"/>
    <w:rsid w:val="00297772"/>
    <w:rsid w:val="00297A75"/>
    <w:rsid w:val="00297D5B"/>
    <w:rsid w:val="00297EBF"/>
    <w:rsid w:val="00297EDE"/>
    <w:rsid w:val="002A0C29"/>
    <w:rsid w:val="002A0F4B"/>
    <w:rsid w:val="002A1021"/>
    <w:rsid w:val="002A152D"/>
    <w:rsid w:val="002A1623"/>
    <w:rsid w:val="002A2089"/>
    <w:rsid w:val="002A21C4"/>
    <w:rsid w:val="002A25BB"/>
    <w:rsid w:val="002A295B"/>
    <w:rsid w:val="002A2D43"/>
    <w:rsid w:val="002A2EAE"/>
    <w:rsid w:val="002A2F7E"/>
    <w:rsid w:val="002A3AFE"/>
    <w:rsid w:val="002A3C79"/>
    <w:rsid w:val="002A3D3D"/>
    <w:rsid w:val="002A420B"/>
    <w:rsid w:val="002A4350"/>
    <w:rsid w:val="002A476B"/>
    <w:rsid w:val="002A4D7C"/>
    <w:rsid w:val="002A4E67"/>
    <w:rsid w:val="002A5655"/>
    <w:rsid w:val="002A5BD8"/>
    <w:rsid w:val="002A5EAA"/>
    <w:rsid w:val="002A5EFC"/>
    <w:rsid w:val="002A68D7"/>
    <w:rsid w:val="002A6B83"/>
    <w:rsid w:val="002A6C18"/>
    <w:rsid w:val="002A701E"/>
    <w:rsid w:val="002A75DD"/>
    <w:rsid w:val="002A7FE4"/>
    <w:rsid w:val="002B030F"/>
    <w:rsid w:val="002B0491"/>
    <w:rsid w:val="002B0BF4"/>
    <w:rsid w:val="002B0C5F"/>
    <w:rsid w:val="002B128D"/>
    <w:rsid w:val="002B13A3"/>
    <w:rsid w:val="002B14BA"/>
    <w:rsid w:val="002B168F"/>
    <w:rsid w:val="002B2127"/>
    <w:rsid w:val="002B24A6"/>
    <w:rsid w:val="002B2729"/>
    <w:rsid w:val="002B29DD"/>
    <w:rsid w:val="002B2BCE"/>
    <w:rsid w:val="002B2DBA"/>
    <w:rsid w:val="002B2E03"/>
    <w:rsid w:val="002B2FB2"/>
    <w:rsid w:val="002B3684"/>
    <w:rsid w:val="002B3A02"/>
    <w:rsid w:val="002B3F82"/>
    <w:rsid w:val="002B3FBC"/>
    <w:rsid w:val="002B44D6"/>
    <w:rsid w:val="002B467C"/>
    <w:rsid w:val="002B49FD"/>
    <w:rsid w:val="002B4A3C"/>
    <w:rsid w:val="002B5187"/>
    <w:rsid w:val="002B53F6"/>
    <w:rsid w:val="002B574A"/>
    <w:rsid w:val="002B5766"/>
    <w:rsid w:val="002B5B63"/>
    <w:rsid w:val="002B5D1B"/>
    <w:rsid w:val="002B68EB"/>
    <w:rsid w:val="002B6E79"/>
    <w:rsid w:val="002B709A"/>
    <w:rsid w:val="002B79FA"/>
    <w:rsid w:val="002C00AD"/>
    <w:rsid w:val="002C00E2"/>
    <w:rsid w:val="002C031A"/>
    <w:rsid w:val="002C0540"/>
    <w:rsid w:val="002C2056"/>
    <w:rsid w:val="002C224C"/>
    <w:rsid w:val="002C2509"/>
    <w:rsid w:val="002C2B3C"/>
    <w:rsid w:val="002C2BBB"/>
    <w:rsid w:val="002C36FB"/>
    <w:rsid w:val="002C4A3F"/>
    <w:rsid w:val="002C4A88"/>
    <w:rsid w:val="002C4FC1"/>
    <w:rsid w:val="002C5B5D"/>
    <w:rsid w:val="002C5D03"/>
    <w:rsid w:val="002C5E6C"/>
    <w:rsid w:val="002C5FDD"/>
    <w:rsid w:val="002C6264"/>
    <w:rsid w:val="002C63F0"/>
    <w:rsid w:val="002C6EEF"/>
    <w:rsid w:val="002C7DD5"/>
    <w:rsid w:val="002D00A4"/>
    <w:rsid w:val="002D0721"/>
    <w:rsid w:val="002D0BC1"/>
    <w:rsid w:val="002D174D"/>
    <w:rsid w:val="002D2187"/>
    <w:rsid w:val="002D3FFD"/>
    <w:rsid w:val="002D4343"/>
    <w:rsid w:val="002D55EF"/>
    <w:rsid w:val="002D5AE6"/>
    <w:rsid w:val="002D5C10"/>
    <w:rsid w:val="002D5F1A"/>
    <w:rsid w:val="002D66C4"/>
    <w:rsid w:val="002D6A05"/>
    <w:rsid w:val="002D6ED8"/>
    <w:rsid w:val="002D7047"/>
    <w:rsid w:val="002D7384"/>
    <w:rsid w:val="002D7630"/>
    <w:rsid w:val="002D7E4C"/>
    <w:rsid w:val="002D7E52"/>
    <w:rsid w:val="002E06E6"/>
    <w:rsid w:val="002E0E2B"/>
    <w:rsid w:val="002E124C"/>
    <w:rsid w:val="002E14E0"/>
    <w:rsid w:val="002E189C"/>
    <w:rsid w:val="002E21B9"/>
    <w:rsid w:val="002E22DF"/>
    <w:rsid w:val="002E25FC"/>
    <w:rsid w:val="002E2ED9"/>
    <w:rsid w:val="002E311A"/>
    <w:rsid w:val="002E3144"/>
    <w:rsid w:val="002E35A3"/>
    <w:rsid w:val="002E369C"/>
    <w:rsid w:val="002E3AB9"/>
    <w:rsid w:val="002E408E"/>
    <w:rsid w:val="002E4657"/>
    <w:rsid w:val="002E53F5"/>
    <w:rsid w:val="002E64CF"/>
    <w:rsid w:val="002E67FA"/>
    <w:rsid w:val="002E7482"/>
    <w:rsid w:val="002E770E"/>
    <w:rsid w:val="002E7B2C"/>
    <w:rsid w:val="002F03C8"/>
    <w:rsid w:val="002F05F6"/>
    <w:rsid w:val="002F06F7"/>
    <w:rsid w:val="002F08CB"/>
    <w:rsid w:val="002F0A8B"/>
    <w:rsid w:val="002F0D7F"/>
    <w:rsid w:val="002F2149"/>
    <w:rsid w:val="002F256C"/>
    <w:rsid w:val="002F3BFC"/>
    <w:rsid w:val="002F46B8"/>
    <w:rsid w:val="002F487F"/>
    <w:rsid w:val="002F53C3"/>
    <w:rsid w:val="002F5F74"/>
    <w:rsid w:val="002F783C"/>
    <w:rsid w:val="002F7B19"/>
    <w:rsid w:val="002F7C51"/>
    <w:rsid w:val="0030072E"/>
    <w:rsid w:val="00300736"/>
    <w:rsid w:val="00301031"/>
    <w:rsid w:val="0030191B"/>
    <w:rsid w:val="00301ADE"/>
    <w:rsid w:val="003027C3"/>
    <w:rsid w:val="00302A75"/>
    <w:rsid w:val="003035B2"/>
    <w:rsid w:val="0030388E"/>
    <w:rsid w:val="003039A9"/>
    <w:rsid w:val="00303DDD"/>
    <w:rsid w:val="00304101"/>
    <w:rsid w:val="0030634E"/>
    <w:rsid w:val="00306690"/>
    <w:rsid w:val="003072FB"/>
    <w:rsid w:val="00307AB3"/>
    <w:rsid w:val="00307BB5"/>
    <w:rsid w:val="00310212"/>
    <w:rsid w:val="00310794"/>
    <w:rsid w:val="00310D72"/>
    <w:rsid w:val="003111C3"/>
    <w:rsid w:val="00311479"/>
    <w:rsid w:val="00311499"/>
    <w:rsid w:val="00311541"/>
    <w:rsid w:val="00311BAB"/>
    <w:rsid w:val="00311DA3"/>
    <w:rsid w:val="003126A1"/>
    <w:rsid w:val="0031271C"/>
    <w:rsid w:val="003128EF"/>
    <w:rsid w:val="00312E9F"/>
    <w:rsid w:val="00313BE3"/>
    <w:rsid w:val="003145C0"/>
    <w:rsid w:val="003154A1"/>
    <w:rsid w:val="00315642"/>
    <w:rsid w:val="003159BB"/>
    <w:rsid w:val="003159D7"/>
    <w:rsid w:val="00315DB0"/>
    <w:rsid w:val="00315F37"/>
    <w:rsid w:val="00315F58"/>
    <w:rsid w:val="00316080"/>
    <w:rsid w:val="00316300"/>
    <w:rsid w:val="0031636F"/>
    <w:rsid w:val="00316BFA"/>
    <w:rsid w:val="00316D2D"/>
    <w:rsid w:val="003171E9"/>
    <w:rsid w:val="00317215"/>
    <w:rsid w:val="00317623"/>
    <w:rsid w:val="00317894"/>
    <w:rsid w:val="00317A94"/>
    <w:rsid w:val="00317B8E"/>
    <w:rsid w:val="00320CA1"/>
    <w:rsid w:val="0032170D"/>
    <w:rsid w:val="00321AF0"/>
    <w:rsid w:val="00322263"/>
    <w:rsid w:val="003227F4"/>
    <w:rsid w:val="0032288C"/>
    <w:rsid w:val="00322C3D"/>
    <w:rsid w:val="0032305E"/>
    <w:rsid w:val="003238AF"/>
    <w:rsid w:val="00323C8B"/>
    <w:rsid w:val="0032482A"/>
    <w:rsid w:val="00324974"/>
    <w:rsid w:val="0032497E"/>
    <w:rsid w:val="0032522E"/>
    <w:rsid w:val="003254D0"/>
    <w:rsid w:val="003255BF"/>
    <w:rsid w:val="003255EC"/>
    <w:rsid w:val="0032578E"/>
    <w:rsid w:val="00325B61"/>
    <w:rsid w:val="00326B7C"/>
    <w:rsid w:val="00326E26"/>
    <w:rsid w:val="003302BB"/>
    <w:rsid w:val="00330F95"/>
    <w:rsid w:val="0033195F"/>
    <w:rsid w:val="00331AF4"/>
    <w:rsid w:val="00331E57"/>
    <w:rsid w:val="00333365"/>
    <w:rsid w:val="00333938"/>
    <w:rsid w:val="003339C2"/>
    <w:rsid w:val="0033453A"/>
    <w:rsid w:val="0033480A"/>
    <w:rsid w:val="00334C40"/>
    <w:rsid w:val="00334F86"/>
    <w:rsid w:val="003355AD"/>
    <w:rsid w:val="00335E8D"/>
    <w:rsid w:val="00335F78"/>
    <w:rsid w:val="003367FC"/>
    <w:rsid w:val="00336944"/>
    <w:rsid w:val="003379C5"/>
    <w:rsid w:val="00337A78"/>
    <w:rsid w:val="00337B87"/>
    <w:rsid w:val="00340F98"/>
    <w:rsid w:val="00341C40"/>
    <w:rsid w:val="003427A6"/>
    <w:rsid w:val="00342EAF"/>
    <w:rsid w:val="0034310A"/>
    <w:rsid w:val="003434C7"/>
    <w:rsid w:val="003434D6"/>
    <w:rsid w:val="00343A95"/>
    <w:rsid w:val="00343C4B"/>
    <w:rsid w:val="0034438C"/>
    <w:rsid w:val="003446D4"/>
    <w:rsid w:val="00344879"/>
    <w:rsid w:val="00344A78"/>
    <w:rsid w:val="00344B8E"/>
    <w:rsid w:val="00344DB7"/>
    <w:rsid w:val="00345EA5"/>
    <w:rsid w:val="00346B55"/>
    <w:rsid w:val="00346C84"/>
    <w:rsid w:val="00346E83"/>
    <w:rsid w:val="00347612"/>
    <w:rsid w:val="00347A90"/>
    <w:rsid w:val="00350587"/>
    <w:rsid w:val="00350786"/>
    <w:rsid w:val="003519FA"/>
    <w:rsid w:val="0035222E"/>
    <w:rsid w:val="00352435"/>
    <w:rsid w:val="003526F8"/>
    <w:rsid w:val="00352887"/>
    <w:rsid w:val="00352D3D"/>
    <w:rsid w:val="00353824"/>
    <w:rsid w:val="003541C2"/>
    <w:rsid w:val="00354795"/>
    <w:rsid w:val="00355BA9"/>
    <w:rsid w:val="0035627A"/>
    <w:rsid w:val="003565B1"/>
    <w:rsid w:val="003576A5"/>
    <w:rsid w:val="003576C0"/>
    <w:rsid w:val="00357D79"/>
    <w:rsid w:val="00357FA5"/>
    <w:rsid w:val="0036015C"/>
    <w:rsid w:val="003601F9"/>
    <w:rsid w:val="00360972"/>
    <w:rsid w:val="003625FB"/>
    <w:rsid w:val="0036295B"/>
    <w:rsid w:val="00363094"/>
    <w:rsid w:val="0036343A"/>
    <w:rsid w:val="00363FD4"/>
    <w:rsid w:val="00364DBE"/>
    <w:rsid w:val="00364E9F"/>
    <w:rsid w:val="00364FDC"/>
    <w:rsid w:val="00365D84"/>
    <w:rsid w:val="00365FA0"/>
    <w:rsid w:val="00366034"/>
    <w:rsid w:val="0036677E"/>
    <w:rsid w:val="00366F11"/>
    <w:rsid w:val="00367436"/>
    <w:rsid w:val="0036798A"/>
    <w:rsid w:val="00367AE0"/>
    <w:rsid w:val="0037070E"/>
    <w:rsid w:val="00370F8C"/>
    <w:rsid w:val="00371733"/>
    <w:rsid w:val="0037192A"/>
    <w:rsid w:val="00371E33"/>
    <w:rsid w:val="00372296"/>
    <w:rsid w:val="0037231E"/>
    <w:rsid w:val="00372491"/>
    <w:rsid w:val="003728B9"/>
    <w:rsid w:val="00372AD9"/>
    <w:rsid w:val="003733C8"/>
    <w:rsid w:val="003736A3"/>
    <w:rsid w:val="00373DE0"/>
    <w:rsid w:val="003744DC"/>
    <w:rsid w:val="003746E1"/>
    <w:rsid w:val="00374C93"/>
    <w:rsid w:val="00374E03"/>
    <w:rsid w:val="00375092"/>
    <w:rsid w:val="00375139"/>
    <w:rsid w:val="0037519D"/>
    <w:rsid w:val="00375268"/>
    <w:rsid w:val="003759B1"/>
    <w:rsid w:val="003759CA"/>
    <w:rsid w:val="00375C1D"/>
    <w:rsid w:val="00375CA9"/>
    <w:rsid w:val="00375D5A"/>
    <w:rsid w:val="0037739B"/>
    <w:rsid w:val="0037799B"/>
    <w:rsid w:val="003779BF"/>
    <w:rsid w:val="003801FB"/>
    <w:rsid w:val="00380451"/>
    <w:rsid w:val="00380686"/>
    <w:rsid w:val="003812D6"/>
    <w:rsid w:val="00381D3A"/>
    <w:rsid w:val="00381E6D"/>
    <w:rsid w:val="00382067"/>
    <w:rsid w:val="00382412"/>
    <w:rsid w:val="0038243D"/>
    <w:rsid w:val="003827BB"/>
    <w:rsid w:val="00382919"/>
    <w:rsid w:val="00382980"/>
    <w:rsid w:val="00382DC4"/>
    <w:rsid w:val="00382F67"/>
    <w:rsid w:val="003831E8"/>
    <w:rsid w:val="00383517"/>
    <w:rsid w:val="00383642"/>
    <w:rsid w:val="0038399A"/>
    <w:rsid w:val="003839CF"/>
    <w:rsid w:val="003840A0"/>
    <w:rsid w:val="003843E5"/>
    <w:rsid w:val="003848D1"/>
    <w:rsid w:val="00384FDA"/>
    <w:rsid w:val="00385392"/>
    <w:rsid w:val="003855C7"/>
    <w:rsid w:val="0038577F"/>
    <w:rsid w:val="00386445"/>
    <w:rsid w:val="00387273"/>
    <w:rsid w:val="00387781"/>
    <w:rsid w:val="00387908"/>
    <w:rsid w:val="00387977"/>
    <w:rsid w:val="00387E72"/>
    <w:rsid w:val="003902CC"/>
    <w:rsid w:val="00390402"/>
    <w:rsid w:val="003907DE"/>
    <w:rsid w:val="00390907"/>
    <w:rsid w:val="00390F37"/>
    <w:rsid w:val="0039298B"/>
    <w:rsid w:val="00392B12"/>
    <w:rsid w:val="00392C8D"/>
    <w:rsid w:val="0039372B"/>
    <w:rsid w:val="003937BC"/>
    <w:rsid w:val="003937FA"/>
    <w:rsid w:val="00393B3D"/>
    <w:rsid w:val="00393B64"/>
    <w:rsid w:val="00394098"/>
    <w:rsid w:val="003947A5"/>
    <w:rsid w:val="00394A26"/>
    <w:rsid w:val="00394CE2"/>
    <w:rsid w:val="00394E52"/>
    <w:rsid w:val="003951E1"/>
    <w:rsid w:val="0039599F"/>
    <w:rsid w:val="003975E5"/>
    <w:rsid w:val="00397926"/>
    <w:rsid w:val="00397F74"/>
    <w:rsid w:val="003A05C0"/>
    <w:rsid w:val="003A080A"/>
    <w:rsid w:val="003A0968"/>
    <w:rsid w:val="003A0C94"/>
    <w:rsid w:val="003A0D5C"/>
    <w:rsid w:val="003A191C"/>
    <w:rsid w:val="003A1A22"/>
    <w:rsid w:val="003A1BAD"/>
    <w:rsid w:val="003A2463"/>
    <w:rsid w:val="003A2839"/>
    <w:rsid w:val="003A2945"/>
    <w:rsid w:val="003A2AC8"/>
    <w:rsid w:val="003A37BE"/>
    <w:rsid w:val="003A3B06"/>
    <w:rsid w:val="003A3D79"/>
    <w:rsid w:val="003A4134"/>
    <w:rsid w:val="003A4A8D"/>
    <w:rsid w:val="003A4EB2"/>
    <w:rsid w:val="003A50C7"/>
    <w:rsid w:val="003A53E4"/>
    <w:rsid w:val="003A6C0E"/>
    <w:rsid w:val="003A744E"/>
    <w:rsid w:val="003A7744"/>
    <w:rsid w:val="003A7E49"/>
    <w:rsid w:val="003A7E85"/>
    <w:rsid w:val="003B01BE"/>
    <w:rsid w:val="003B0233"/>
    <w:rsid w:val="003B038A"/>
    <w:rsid w:val="003B059D"/>
    <w:rsid w:val="003B07F1"/>
    <w:rsid w:val="003B0B6C"/>
    <w:rsid w:val="003B0C1E"/>
    <w:rsid w:val="003B16E4"/>
    <w:rsid w:val="003B1815"/>
    <w:rsid w:val="003B1BAA"/>
    <w:rsid w:val="003B1F83"/>
    <w:rsid w:val="003B3D32"/>
    <w:rsid w:val="003B3D4E"/>
    <w:rsid w:val="003B3E2C"/>
    <w:rsid w:val="003B3FBC"/>
    <w:rsid w:val="003B45A0"/>
    <w:rsid w:val="003B47F3"/>
    <w:rsid w:val="003B4B4E"/>
    <w:rsid w:val="003B4C64"/>
    <w:rsid w:val="003B55F3"/>
    <w:rsid w:val="003B5E6B"/>
    <w:rsid w:val="003B6317"/>
    <w:rsid w:val="003B6370"/>
    <w:rsid w:val="003B689E"/>
    <w:rsid w:val="003B6C72"/>
    <w:rsid w:val="003B6D03"/>
    <w:rsid w:val="003C038D"/>
    <w:rsid w:val="003C0774"/>
    <w:rsid w:val="003C0FC6"/>
    <w:rsid w:val="003C211D"/>
    <w:rsid w:val="003C247B"/>
    <w:rsid w:val="003C273F"/>
    <w:rsid w:val="003C2EDC"/>
    <w:rsid w:val="003C3165"/>
    <w:rsid w:val="003C3299"/>
    <w:rsid w:val="003C37A0"/>
    <w:rsid w:val="003C4CCA"/>
    <w:rsid w:val="003C4EA0"/>
    <w:rsid w:val="003C558F"/>
    <w:rsid w:val="003C62C9"/>
    <w:rsid w:val="003C7082"/>
    <w:rsid w:val="003C7106"/>
    <w:rsid w:val="003C75F4"/>
    <w:rsid w:val="003D06B7"/>
    <w:rsid w:val="003D0927"/>
    <w:rsid w:val="003D2364"/>
    <w:rsid w:val="003D2463"/>
    <w:rsid w:val="003D25AA"/>
    <w:rsid w:val="003D2BEB"/>
    <w:rsid w:val="003D35CF"/>
    <w:rsid w:val="003D378A"/>
    <w:rsid w:val="003D3801"/>
    <w:rsid w:val="003D4729"/>
    <w:rsid w:val="003D4A92"/>
    <w:rsid w:val="003D4B7C"/>
    <w:rsid w:val="003D5075"/>
    <w:rsid w:val="003D5359"/>
    <w:rsid w:val="003D5897"/>
    <w:rsid w:val="003D5A21"/>
    <w:rsid w:val="003D5C72"/>
    <w:rsid w:val="003D6116"/>
    <w:rsid w:val="003D63F1"/>
    <w:rsid w:val="003D64FB"/>
    <w:rsid w:val="003D6598"/>
    <w:rsid w:val="003D6890"/>
    <w:rsid w:val="003D6D5B"/>
    <w:rsid w:val="003D7369"/>
    <w:rsid w:val="003D785D"/>
    <w:rsid w:val="003D7874"/>
    <w:rsid w:val="003D792F"/>
    <w:rsid w:val="003D7B94"/>
    <w:rsid w:val="003D7BE2"/>
    <w:rsid w:val="003E07FA"/>
    <w:rsid w:val="003E0877"/>
    <w:rsid w:val="003E0ECE"/>
    <w:rsid w:val="003E1300"/>
    <w:rsid w:val="003E149C"/>
    <w:rsid w:val="003E194E"/>
    <w:rsid w:val="003E2518"/>
    <w:rsid w:val="003E27C7"/>
    <w:rsid w:val="003E27E3"/>
    <w:rsid w:val="003E2F8A"/>
    <w:rsid w:val="003E35E6"/>
    <w:rsid w:val="003E3A8A"/>
    <w:rsid w:val="003E44B5"/>
    <w:rsid w:val="003E4CE3"/>
    <w:rsid w:val="003E4EEF"/>
    <w:rsid w:val="003E5556"/>
    <w:rsid w:val="003E5710"/>
    <w:rsid w:val="003E57A0"/>
    <w:rsid w:val="003E5DB7"/>
    <w:rsid w:val="003E5FD6"/>
    <w:rsid w:val="003E60DE"/>
    <w:rsid w:val="003E6371"/>
    <w:rsid w:val="003E656D"/>
    <w:rsid w:val="003E6D40"/>
    <w:rsid w:val="003E6D97"/>
    <w:rsid w:val="003E6DF5"/>
    <w:rsid w:val="003E71A1"/>
    <w:rsid w:val="003E7AFA"/>
    <w:rsid w:val="003E7B3C"/>
    <w:rsid w:val="003E7BD3"/>
    <w:rsid w:val="003E7DA9"/>
    <w:rsid w:val="003E7FD3"/>
    <w:rsid w:val="003F07E6"/>
    <w:rsid w:val="003F12D9"/>
    <w:rsid w:val="003F1ECE"/>
    <w:rsid w:val="003F2372"/>
    <w:rsid w:val="003F23A0"/>
    <w:rsid w:val="003F24BF"/>
    <w:rsid w:val="003F27B3"/>
    <w:rsid w:val="003F289C"/>
    <w:rsid w:val="003F28CD"/>
    <w:rsid w:val="003F2C4C"/>
    <w:rsid w:val="003F31EE"/>
    <w:rsid w:val="003F4241"/>
    <w:rsid w:val="003F43AA"/>
    <w:rsid w:val="003F4E04"/>
    <w:rsid w:val="003F542F"/>
    <w:rsid w:val="003F5E2F"/>
    <w:rsid w:val="003F5FFA"/>
    <w:rsid w:val="003F606A"/>
    <w:rsid w:val="003F6637"/>
    <w:rsid w:val="003F6E53"/>
    <w:rsid w:val="003F732D"/>
    <w:rsid w:val="003F7813"/>
    <w:rsid w:val="003F7835"/>
    <w:rsid w:val="003F78B9"/>
    <w:rsid w:val="003F7940"/>
    <w:rsid w:val="003F79EB"/>
    <w:rsid w:val="00400329"/>
    <w:rsid w:val="00401D0F"/>
    <w:rsid w:val="00401DA1"/>
    <w:rsid w:val="00402197"/>
    <w:rsid w:val="00402CCD"/>
    <w:rsid w:val="004037F9"/>
    <w:rsid w:val="00403B12"/>
    <w:rsid w:val="0040431A"/>
    <w:rsid w:val="00404398"/>
    <w:rsid w:val="0040542C"/>
    <w:rsid w:val="004059B9"/>
    <w:rsid w:val="00405BBC"/>
    <w:rsid w:val="00405F38"/>
    <w:rsid w:val="00405FA8"/>
    <w:rsid w:val="00406224"/>
    <w:rsid w:val="00406C0A"/>
    <w:rsid w:val="00407088"/>
    <w:rsid w:val="00407A17"/>
    <w:rsid w:val="00407B5D"/>
    <w:rsid w:val="00407DE0"/>
    <w:rsid w:val="00410545"/>
    <w:rsid w:val="00410BFF"/>
    <w:rsid w:val="00410CD9"/>
    <w:rsid w:val="004111BA"/>
    <w:rsid w:val="00411475"/>
    <w:rsid w:val="00411529"/>
    <w:rsid w:val="0041221C"/>
    <w:rsid w:val="0041225F"/>
    <w:rsid w:val="00412314"/>
    <w:rsid w:val="004141E6"/>
    <w:rsid w:val="00414299"/>
    <w:rsid w:val="0041438F"/>
    <w:rsid w:val="0041494F"/>
    <w:rsid w:val="00414E5A"/>
    <w:rsid w:val="00415465"/>
    <w:rsid w:val="004160F7"/>
    <w:rsid w:val="00416834"/>
    <w:rsid w:val="004169E5"/>
    <w:rsid w:val="004178FF"/>
    <w:rsid w:val="00417ACE"/>
    <w:rsid w:val="00417C27"/>
    <w:rsid w:val="00417CC1"/>
    <w:rsid w:val="004200C6"/>
    <w:rsid w:val="004202B4"/>
    <w:rsid w:val="004203CF"/>
    <w:rsid w:val="0042192A"/>
    <w:rsid w:val="00421B4B"/>
    <w:rsid w:val="004231B4"/>
    <w:rsid w:val="00423575"/>
    <w:rsid w:val="00423825"/>
    <w:rsid w:val="00423CD9"/>
    <w:rsid w:val="0042475F"/>
    <w:rsid w:val="00425FA4"/>
    <w:rsid w:val="004263C3"/>
    <w:rsid w:val="004276D4"/>
    <w:rsid w:val="00430015"/>
    <w:rsid w:val="004301CC"/>
    <w:rsid w:val="00430271"/>
    <w:rsid w:val="004313A1"/>
    <w:rsid w:val="00431A11"/>
    <w:rsid w:val="00431D35"/>
    <w:rsid w:val="00431E3E"/>
    <w:rsid w:val="004320D5"/>
    <w:rsid w:val="0043226F"/>
    <w:rsid w:val="0043246F"/>
    <w:rsid w:val="00432B72"/>
    <w:rsid w:val="0043338C"/>
    <w:rsid w:val="004342DC"/>
    <w:rsid w:val="00434640"/>
    <w:rsid w:val="004346FA"/>
    <w:rsid w:val="004349F6"/>
    <w:rsid w:val="00434E30"/>
    <w:rsid w:val="00435490"/>
    <w:rsid w:val="0043550B"/>
    <w:rsid w:val="00435529"/>
    <w:rsid w:val="004366A2"/>
    <w:rsid w:val="00436AD6"/>
    <w:rsid w:val="0043721E"/>
    <w:rsid w:val="00437A4C"/>
    <w:rsid w:val="0044066B"/>
    <w:rsid w:val="00440826"/>
    <w:rsid w:val="00440882"/>
    <w:rsid w:val="00440B49"/>
    <w:rsid w:val="00441573"/>
    <w:rsid w:val="004418AF"/>
    <w:rsid w:val="00441907"/>
    <w:rsid w:val="00441A36"/>
    <w:rsid w:val="00441BB3"/>
    <w:rsid w:val="004424B0"/>
    <w:rsid w:val="00442DE9"/>
    <w:rsid w:val="00442F43"/>
    <w:rsid w:val="00443858"/>
    <w:rsid w:val="00443AB1"/>
    <w:rsid w:val="00444222"/>
    <w:rsid w:val="004442B9"/>
    <w:rsid w:val="00445BDE"/>
    <w:rsid w:val="00445F7F"/>
    <w:rsid w:val="0044624A"/>
    <w:rsid w:val="004470EB"/>
    <w:rsid w:val="004476B0"/>
    <w:rsid w:val="004477E4"/>
    <w:rsid w:val="004501A4"/>
    <w:rsid w:val="00450E5B"/>
    <w:rsid w:val="00451113"/>
    <w:rsid w:val="004514AD"/>
    <w:rsid w:val="004525D3"/>
    <w:rsid w:val="00452823"/>
    <w:rsid w:val="0045286A"/>
    <w:rsid w:val="00453661"/>
    <w:rsid w:val="004537E4"/>
    <w:rsid w:val="00453A39"/>
    <w:rsid w:val="00453CA8"/>
    <w:rsid w:val="00454795"/>
    <w:rsid w:val="004548A1"/>
    <w:rsid w:val="00454AD2"/>
    <w:rsid w:val="00456870"/>
    <w:rsid w:val="00456AA9"/>
    <w:rsid w:val="00456D97"/>
    <w:rsid w:val="00456F37"/>
    <w:rsid w:val="00457402"/>
    <w:rsid w:val="0045743D"/>
    <w:rsid w:val="004575EC"/>
    <w:rsid w:val="004600D3"/>
    <w:rsid w:val="00460670"/>
    <w:rsid w:val="004606F2"/>
    <w:rsid w:val="00460E55"/>
    <w:rsid w:val="0046126A"/>
    <w:rsid w:val="004612D6"/>
    <w:rsid w:val="00461540"/>
    <w:rsid w:val="004616C4"/>
    <w:rsid w:val="004616EC"/>
    <w:rsid w:val="00461725"/>
    <w:rsid w:val="00461C59"/>
    <w:rsid w:val="004625E1"/>
    <w:rsid w:val="00462DFB"/>
    <w:rsid w:val="00463665"/>
    <w:rsid w:val="00463DA7"/>
    <w:rsid w:val="00464047"/>
    <w:rsid w:val="004646CA"/>
    <w:rsid w:val="00464BC0"/>
    <w:rsid w:val="004656A1"/>
    <w:rsid w:val="004659EA"/>
    <w:rsid w:val="0046600D"/>
    <w:rsid w:val="00466620"/>
    <w:rsid w:val="00466B8C"/>
    <w:rsid w:val="00467012"/>
    <w:rsid w:val="00467E6F"/>
    <w:rsid w:val="00470DEC"/>
    <w:rsid w:val="00470F87"/>
    <w:rsid w:val="004710E0"/>
    <w:rsid w:val="004713FE"/>
    <w:rsid w:val="0047140C"/>
    <w:rsid w:val="00471887"/>
    <w:rsid w:val="00471936"/>
    <w:rsid w:val="004721A1"/>
    <w:rsid w:val="00472465"/>
    <w:rsid w:val="004726B2"/>
    <w:rsid w:val="004729D7"/>
    <w:rsid w:val="00472B8C"/>
    <w:rsid w:val="00473751"/>
    <w:rsid w:val="00474076"/>
    <w:rsid w:val="0047419E"/>
    <w:rsid w:val="004750F4"/>
    <w:rsid w:val="004757E3"/>
    <w:rsid w:val="00475A46"/>
    <w:rsid w:val="00476032"/>
    <w:rsid w:val="00476345"/>
    <w:rsid w:val="00476B61"/>
    <w:rsid w:val="00477018"/>
    <w:rsid w:val="00477B2B"/>
    <w:rsid w:val="00477FD6"/>
    <w:rsid w:val="00480916"/>
    <w:rsid w:val="004809EE"/>
    <w:rsid w:val="00480EF9"/>
    <w:rsid w:val="00481230"/>
    <w:rsid w:val="00481678"/>
    <w:rsid w:val="0048169E"/>
    <w:rsid w:val="00481C76"/>
    <w:rsid w:val="00482CD7"/>
    <w:rsid w:val="00482F7A"/>
    <w:rsid w:val="004839A0"/>
    <w:rsid w:val="004847C1"/>
    <w:rsid w:val="00484BD9"/>
    <w:rsid w:val="0048586E"/>
    <w:rsid w:val="00486191"/>
    <w:rsid w:val="004863D7"/>
    <w:rsid w:val="00486A1F"/>
    <w:rsid w:val="00486C38"/>
    <w:rsid w:val="00486ECC"/>
    <w:rsid w:val="00487039"/>
    <w:rsid w:val="00487070"/>
    <w:rsid w:val="004903D9"/>
    <w:rsid w:val="004905B8"/>
    <w:rsid w:val="004907F8"/>
    <w:rsid w:val="004919DF"/>
    <w:rsid w:val="00491FBA"/>
    <w:rsid w:val="00492082"/>
    <w:rsid w:val="00494474"/>
    <w:rsid w:val="004952AC"/>
    <w:rsid w:val="00495E9E"/>
    <w:rsid w:val="00495F66"/>
    <w:rsid w:val="00496ECA"/>
    <w:rsid w:val="00497988"/>
    <w:rsid w:val="00497BD6"/>
    <w:rsid w:val="004A0643"/>
    <w:rsid w:val="004A0A71"/>
    <w:rsid w:val="004A126A"/>
    <w:rsid w:val="004A1F0B"/>
    <w:rsid w:val="004A2209"/>
    <w:rsid w:val="004A22FF"/>
    <w:rsid w:val="004A2717"/>
    <w:rsid w:val="004A2D31"/>
    <w:rsid w:val="004A2F0B"/>
    <w:rsid w:val="004A4A39"/>
    <w:rsid w:val="004A516C"/>
    <w:rsid w:val="004A579D"/>
    <w:rsid w:val="004A5F4C"/>
    <w:rsid w:val="004A62F6"/>
    <w:rsid w:val="004A714F"/>
    <w:rsid w:val="004A75E6"/>
    <w:rsid w:val="004B0B96"/>
    <w:rsid w:val="004B0BF3"/>
    <w:rsid w:val="004B121A"/>
    <w:rsid w:val="004B2308"/>
    <w:rsid w:val="004B2634"/>
    <w:rsid w:val="004B2771"/>
    <w:rsid w:val="004B27C9"/>
    <w:rsid w:val="004B2A87"/>
    <w:rsid w:val="004B2CA0"/>
    <w:rsid w:val="004B3519"/>
    <w:rsid w:val="004B37ED"/>
    <w:rsid w:val="004B3FA6"/>
    <w:rsid w:val="004B49EE"/>
    <w:rsid w:val="004B4CFA"/>
    <w:rsid w:val="004B528D"/>
    <w:rsid w:val="004B608C"/>
    <w:rsid w:val="004B6D90"/>
    <w:rsid w:val="004B6FB1"/>
    <w:rsid w:val="004B72EB"/>
    <w:rsid w:val="004B79C4"/>
    <w:rsid w:val="004C0156"/>
    <w:rsid w:val="004C05CC"/>
    <w:rsid w:val="004C0762"/>
    <w:rsid w:val="004C0D2B"/>
    <w:rsid w:val="004C0F22"/>
    <w:rsid w:val="004C10B0"/>
    <w:rsid w:val="004C1132"/>
    <w:rsid w:val="004C2C87"/>
    <w:rsid w:val="004C2EB6"/>
    <w:rsid w:val="004C2F64"/>
    <w:rsid w:val="004C36A0"/>
    <w:rsid w:val="004C3C0D"/>
    <w:rsid w:val="004C3FC7"/>
    <w:rsid w:val="004C52F3"/>
    <w:rsid w:val="004C5DC6"/>
    <w:rsid w:val="004C5FF7"/>
    <w:rsid w:val="004C64E0"/>
    <w:rsid w:val="004C6ED0"/>
    <w:rsid w:val="004C6F05"/>
    <w:rsid w:val="004C737F"/>
    <w:rsid w:val="004C7E2D"/>
    <w:rsid w:val="004C7E84"/>
    <w:rsid w:val="004C7E8B"/>
    <w:rsid w:val="004D04D7"/>
    <w:rsid w:val="004D05E5"/>
    <w:rsid w:val="004D0D38"/>
    <w:rsid w:val="004D1244"/>
    <w:rsid w:val="004D155C"/>
    <w:rsid w:val="004D15EA"/>
    <w:rsid w:val="004D2124"/>
    <w:rsid w:val="004D2940"/>
    <w:rsid w:val="004D2A5D"/>
    <w:rsid w:val="004D2E0D"/>
    <w:rsid w:val="004D3897"/>
    <w:rsid w:val="004D3929"/>
    <w:rsid w:val="004D3A62"/>
    <w:rsid w:val="004D3E27"/>
    <w:rsid w:val="004D51D1"/>
    <w:rsid w:val="004D5A2E"/>
    <w:rsid w:val="004D5AC0"/>
    <w:rsid w:val="004D5D2F"/>
    <w:rsid w:val="004D605C"/>
    <w:rsid w:val="004D761F"/>
    <w:rsid w:val="004D7B30"/>
    <w:rsid w:val="004D7D53"/>
    <w:rsid w:val="004D7DA2"/>
    <w:rsid w:val="004E014C"/>
    <w:rsid w:val="004E0813"/>
    <w:rsid w:val="004E08CC"/>
    <w:rsid w:val="004E0DA5"/>
    <w:rsid w:val="004E16D4"/>
    <w:rsid w:val="004E2A22"/>
    <w:rsid w:val="004E2E05"/>
    <w:rsid w:val="004E2E90"/>
    <w:rsid w:val="004E2F49"/>
    <w:rsid w:val="004E35C8"/>
    <w:rsid w:val="004E39C7"/>
    <w:rsid w:val="004E4106"/>
    <w:rsid w:val="004E42ED"/>
    <w:rsid w:val="004E443A"/>
    <w:rsid w:val="004E4DF0"/>
    <w:rsid w:val="004E507D"/>
    <w:rsid w:val="004E555A"/>
    <w:rsid w:val="004E5B94"/>
    <w:rsid w:val="004E5D7A"/>
    <w:rsid w:val="004E6066"/>
    <w:rsid w:val="004E68E9"/>
    <w:rsid w:val="004E6A04"/>
    <w:rsid w:val="004E6D86"/>
    <w:rsid w:val="004E701E"/>
    <w:rsid w:val="004E7444"/>
    <w:rsid w:val="004E761F"/>
    <w:rsid w:val="004E7F8B"/>
    <w:rsid w:val="004E7FFE"/>
    <w:rsid w:val="004F07DC"/>
    <w:rsid w:val="004F0C60"/>
    <w:rsid w:val="004F0F4B"/>
    <w:rsid w:val="004F12EC"/>
    <w:rsid w:val="004F165D"/>
    <w:rsid w:val="004F19A9"/>
    <w:rsid w:val="004F3511"/>
    <w:rsid w:val="004F40EF"/>
    <w:rsid w:val="004F44AC"/>
    <w:rsid w:val="004F548E"/>
    <w:rsid w:val="004F674A"/>
    <w:rsid w:val="004F6A69"/>
    <w:rsid w:val="004F765F"/>
    <w:rsid w:val="004F7DF6"/>
    <w:rsid w:val="00501894"/>
    <w:rsid w:val="00501F8C"/>
    <w:rsid w:val="005024C4"/>
    <w:rsid w:val="005032D0"/>
    <w:rsid w:val="00503647"/>
    <w:rsid w:val="00503658"/>
    <w:rsid w:val="0050383F"/>
    <w:rsid w:val="00503C47"/>
    <w:rsid w:val="00505186"/>
    <w:rsid w:val="00505399"/>
    <w:rsid w:val="005054A9"/>
    <w:rsid w:val="00505563"/>
    <w:rsid w:val="005056CC"/>
    <w:rsid w:val="00505AF0"/>
    <w:rsid w:val="00505C16"/>
    <w:rsid w:val="00505EDE"/>
    <w:rsid w:val="00506320"/>
    <w:rsid w:val="005064AF"/>
    <w:rsid w:val="0050675E"/>
    <w:rsid w:val="00506B14"/>
    <w:rsid w:val="00506D3C"/>
    <w:rsid w:val="00506DFC"/>
    <w:rsid w:val="00507EE7"/>
    <w:rsid w:val="00510526"/>
    <w:rsid w:val="005109F7"/>
    <w:rsid w:val="00510A1D"/>
    <w:rsid w:val="00510AA2"/>
    <w:rsid w:val="00510F12"/>
    <w:rsid w:val="00511224"/>
    <w:rsid w:val="00512DAD"/>
    <w:rsid w:val="00512E32"/>
    <w:rsid w:val="00512F1F"/>
    <w:rsid w:val="00513884"/>
    <w:rsid w:val="00514BEE"/>
    <w:rsid w:val="00514D7E"/>
    <w:rsid w:val="00514FAC"/>
    <w:rsid w:val="005152DA"/>
    <w:rsid w:val="005155D3"/>
    <w:rsid w:val="00515B49"/>
    <w:rsid w:val="00515CD9"/>
    <w:rsid w:val="00515F08"/>
    <w:rsid w:val="00516802"/>
    <w:rsid w:val="005168B7"/>
    <w:rsid w:val="005168B9"/>
    <w:rsid w:val="00516FA2"/>
    <w:rsid w:val="00517656"/>
    <w:rsid w:val="005176A8"/>
    <w:rsid w:val="0051797B"/>
    <w:rsid w:val="00517BF0"/>
    <w:rsid w:val="00517D59"/>
    <w:rsid w:val="0052129D"/>
    <w:rsid w:val="005214B5"/>
    <w:rsid w:val="00521560"/>
    <w:rsid w:val="005215E1"/>
    <w:rsid w:val="00521762"/>
    <w:rsid w:val="00521C0C"/>
    <w:rsid w:val="00521E5B"/>
    <w:rsid w:val="00522CC0"/>
    <w:rsid w:val="00523D21"/>
    <w:rsid w:val="00523F54"/>
    <w:rsid w:val="0052425B"/>
    <w:rsid w:val="005249BA"/>
    <w:rsid w:val="00524DC3"/>
    <w:rsid w:val="005250CF"/>
    <w:rsid w:val="0052568F"/>
    <w:rsid w:val="0052591B"/>
    <w:rsid w:val="00525A60"/>
    <w:rsid w:val="00526029"/>
    <w:rsid w:val="00526412"/>
    <w:rsid w:val="00526F4C"/>
    <w:rsid w:val="005278BF"/>
    <w:rsid w:val="00527C2B"/>
    <w:rsid w:val="005303BE"/>
    <w:rsid w:val="00530757"/>
    <w:rsid w:val="00530819"/>
    <w:rsid w:val="00530C15"/>
    <w:rsid w:val="00530CCD"/>
    <w:rsid w:val="00531F90"/>
    <w:rsid w:val="00531FF9"/>
    <w:rsid w:val="005320D4"/>
    <w:rsid w:val="005322AB"/>
    <w:rsid w:val="0053273E"/>
    <w:rsid w:val="00532902"/>
    <w:rsid w:val="00532C83"/>
    <w:rsid w:val="00532DA9"/>
    <w:rsid w:val="0053337C"/>
    <w:rsid w:val="00533743"/>
    <w:rsid w:val="005346F8"/>
    <w:rsid w:val="00534735"/>
    <w:rsid w:val="00534D72"/>
    <w:rsid w:val="0053581D"/>
    <w:rsid w:val="00535A34"/>
    <w:rsid w:val="00535D11"/>
    <w:rsid w:val="0053659A"/>
    <w:rsid w:val="00536C89"/>
    <w:rsid w:val="00537510"/>
    <w:rsid w:val="00537788"/>
    <w:rsid w:val="00540FF9"/>
    <w:rsid w:val="00541181"/>
    <w:rsid w:val="00541633"/>
    <w:rsid w:val="00541944"/>
    <w:rsid w:val="00541DA7"/>
    <w:rsid w:val="005420A2"/>
    <w:rsid w:val="0054221E"/>
    <w:rsid w:val="0054232E"/>
    <w:rsid w:val="00542ABC"/>
    <w:rsid w:val="00542E90"/>
    <w:rsid w:val="0054338B"/>
    <w:rsid w:val="00543D0E"/>
    <w:rsid w:val="0054423A"/>
    <w:rsid w:val="005445C4"/>
    <w:rsid w:val="00544BFD"/>
    <w:rsid w:val="005458E1"/>
    <w:rsid w:val="00545A63"/>
    <w:rsid w:val="00545C9B"/>
    <w:rsid w:val="0054609D"/>
    <w:rsid w:val="005460D0"/>
    <w:rsid w:val="00547A43"/>
    <w:rsid w:val="00547A7F"/>
    <w:rsid w:val="00547A99"/>
    <w:rsid w:val="005519E2"/>
    <w:rsid w:val="00551E8E"/>
    <w:rsid w:val="00551F9A"/>
    <w:rsid w:val="005523D4"/>
    <w:rsid w:val="00552B35"/>
    <w:rsid w:val="0055322E"/>
    <w:rsid w:val="005536FE"/>
    <w:rsid w:val="00553776"/>
    <w:rsid w:val="00554092"/>
    <w:rsid w:val="005542A5"/>
    <w:rsid w:val="00555769"/>
    <w:rsid w:val="00555905"/>
    <w:rsid w:val="00555BE1"/>
    <w:rsid w:val="00555D90"/>
    <w:rsid w:val="00555DA1"/>
    <w:rsid w:val="00555EEE"/>
    <w:rsid w:val="00556CD8"/>
    <w:rsid w:val="005578D7"/>
    <w:rsid w:val="00557939"/>
    <w:rsid w:val="0055795F"/>
    <w:rsid w:val="00557AE5"/>
    <w:rsid w:val="00557EB2"/>
    <w:rsid w:val="005604E8"/>
    <w:rsid w:val="005609A9"/>
    <w:rsid w:val="00560AD2"/>
    <w:rsid w:val="00560C81"/>
    <w:rsid w:val="00560F1A"/>
    <w:rsid w:val="00561458"/>
    <w:rsid w:val="005616AB"/>
    <w:rsid w:val="00561841"/>
    <w:rsid w:val="0056187A"/>
    <w:rsid w:val="00561E3F"/>
    <w:rsid w:val="00562460"/>
    <w:rsid w:val="00562BBB"/>
    <w:rsid w:val="0056381D"/>
    <w:rsid w:val="00563FBD"/>
    <w:rsid w:val="00564BA6"/>
    <w:rsid w:val="00564CDA"/>
    <w:rsid w:val="005650DA"/>
    <w:rsid w:val="0056543D"/>
    <w:rsid w:val="005655FC"/>
    <w:rsid w:val="00565B18"/>
    <w:rsid w:val="00566686"/>
    <w:rsid w:val="00566733"/>
    <w:rsid w:val="005672CC"/>
    <w:rsid w:val="00567F08"/>
    <w:rsid w:val="0057057E"/>
    <w:rsid w:val="00570C2B"/>
    <w:rsid w:val="005710E9"/>
    <w:rsid w:val="005717B8"/>
    <w:rsid w:val="00571D65"/>
    <w:rsid w:val="005728DB"/>
    <w:rsid w:val="00572B90"/>
    <w:rsid w:val="00573032"/>
    <w:rsid w:val="005734BA"/>
    <w:rsid w:val="00574550"/>
    <w:rsid w:val="00574CCA"/>
    <w:rsid w:val="00575E59"/>
    <w:rsid w:val="005762C5"/>
    <w:rsid w:val="00576ED0"/>
    <w:rsid w:val="00577240"/>
    <w:rsid w:val="00577583"/>
    <w:rsid w:val="005777C8"/>
    <w:rsid w:val="0057782F"/>
    <w:rsid w:val="00577A48"/>
    <w:rsid w:val="00577F4B"/>
    <w:rsid w:val="005800C0"/>
    <w:rsid w:val="00580A09"/>
    <w:rsid w:val="00580AF4"/>
    <w:rsid w:val="00581A0A"/>
    <w:rsid w:val="00581F35"/>
    <w:rsid w:val="00582EB0"/>
    <w:rsid w:val="005830F6"/>
    <w:rsid w:val="0058377E"/>
    <w:rsid w:val="00583995"/>
    <w:rsid w:val="00583A20"/>
    <w:rsid w:val="00583A36"/>
    <w:rsid w:val="00583B33"/>
    <w:rsid w:val="00585355"/>
    <w:rsid w:val="005853B0"/>
    <w:rsid w:val="00585815"/>
    <w:rsid w:val="00586554"/>
    <w:rsid w:val="00586A1C"/>
    <w:rsid w:val="00586D81"/>
    <w:rsid w:val="00587104"/>
    <w:rsid w:val="005874CA"/>
    <w:rsid w:val="0058797B"/>
    <w:rsid w:val="005900A1"/>
    <w:rsid w:val="005907C1"/>
    <w:rsid w:val="00590CF0"/>
    <w:rsid w:val="00590D0C"/>
    <w:rsid w:val="00591024"/>
    <w:rsid w:val="005917EB"/>
    <w:rsid w:val="00591B31"/>
    <w:rsid w:val="00591BB9"/>
    <w:rsid w:val="00591CE6"/>
    <w:rsid w:val="0059218E"/>
    <w:rsid w:val="00592779"/>
    <w:rsid w:val="005927A5"/>
    <w:rsid w:val="00592C1A"/>
    <w:rsid w:val="005931EF"/>
    <w:rsid w:val="005932FC"/>
    <w:rsid w:val="0059380F"/>
    <w:rsid w:val="00593951"/>
    <w:rsid w:val="00593A69"/>
    <w:rsid w:val="005948C7"/>
    <w:rsid w:val="005955DB"/>
    <w:rsid w:val="00595ACD"/>
    <w:rsid w:val="00595CAE"/>
    <w:rsid w:val="005974A3"/>
    <w:rsid w:val="005974AE"/>
    <w:rsid w:val="005A0F13"/>
    <w:rsid w:val="005A145C"/>
    <w:rsid w:val="005A21C3"/>
    <w:rsid w:val="005A26F8"/>
    <w:rsid w:val="005A2DB2"/>
    <w:rsid w:val="005A358A"/>
    <w:rsid w:val="005A36F9"/>
    <w:rsid w:val="005A39BE"/>
    <w:rsid w:val="005A3F3C"/>
    <w:rsid w:val="005A4518"/>
    <w:rsid w:val="005A4E24"/>
    <w:rsid w:val="005A5BDD"/>
    <w:rsid w:val="005A64D3"/>
    <w:rsid w:val="005A7134"/>
    <w:rsid w:val="005A7A15"/>
    <w:rsid w:val="005B0089"/>
    <w:rsid w:val="005B04B2"/>
    <w:rsid w:val="005B09E5"/>
    <w:rsid w:val="005B172B"/>
    <w:rsid w:val="005B1F0A"/>
    <w:rsid w:val="005B230D"/>
    <w:rsid w:val="005B29F6"/>
    <w:rsid w:val="005B2F5F"/>
    <w:rsid w:val="005B3392"/>
    <w:rsid w:val="005B3427"/>
    <w:rsid w:val="005B3925"/>
    <w:rsid w:val="005B3C68"/>
    <w:rsid w:val="005B4861"/>
    <w:rsid w:val="005B4916"/>
    <w:rsid w:val="005B4B35"/>
    <w:rsid w:val="005B4F19"/>
    <w:rsid w:val="005B507A"/>
    <w:rsid w:val="005B5215"/>
    <w:rsid w:val="005B57D1"/>
    <w:rsid w:val="005B598C"/>
    <w:rsid w:val="005B59C6"/>
    <w:rsid w:val="005B59F0"/>
    <w:rsid w:val="005B5C0D"/>
    <w:rsid w:val="005B7471"/>
    <w:rsid w:val="005B7B49"/>
    <w:rsid w:val="005B7C64"/>
    <w:rsid w:val="005B7CBA"/>
    <w:rsid w:val="005B7D83"/>
    <w:rsid w:val="005C1554"/>
    <w:rsid w:val="005C1BB9"/>
    <w:rsid w:val="005C1C85"/>
    <w:rsid w:val="005C2473"/>
    <w:rsid w:val="005C3174"/>
    <w:rsid w:val="005C36AF"/>
    <w:rsid w:val="005C3787"/>
    <w:rsid w:val="005C3877"/>
    <w:rsid w:val="005C4F3F"/>
    <w:rsid w:val="005C51A2"/>
    <w:rsid w:val="005C56AE"/>
    <w:rsid w:val="005C59DF"/>
    <w:rsid w:val="005C6209"/>
    <w:rsid w:val="005C6478"/>
    <w:rsid w:val="005C6D12"/>
    <w:rsid w:val="005C6E87"/>
    <w:rsid w:val="005C79F4"/>
    <w:rsid w:val="005C7B63"/>
    <w:rsid w:val="005D102F"/>
    <w:rsid w:val="005D1BD4"/>
    <w:rsid w:val="005D1FB7"/>
    <w:rsid w:val="005D2EDE"/>
    <w:rsid w:val="005D39BA"/>
    <w:rsid w:val="005D3B96"/>
    <w:rsid w:val="005D3CF3"/>
    <w:rsid w:val="005D401C"/>
    <w:rsid w:val="005D53CF"/>
    <w:rsid w:val="005D5996"/>
    <w:rsid w:val="005D5D17"/>
    <w:rsid w:val="005D5DA6"/>
    <w:rsid w:val="005D60F2"/>
    <w:rsid w:val="005D64E0"/>
    <w:rsid w:val="005D6B14"/>
    <w:rsid w:val="005D6C26"/>
    <w:rsid w:val="005D6D20"/>
    <w:rsid w:val="005D6DBA"/>
    <w:rsid w:val="005D6F9D"/>
    <w:rsid w:val="005D7494"/>
    <w:rsid w:val="005D7565"/>
    <w:rsid w:val="005E1ED6"/>
    <w:rsid w:val="005E286A"/>
    <w:rsid w:val="005E2C05"/>
    <w:rsid w:val="005E388C"/>
    <w:rsid w:val="005E3B22"/>
    <w:rsid w:val="005E3CCF"/>
    <w:rsid w:val="005E3DAD"/>
    <w:rsid w:val="005E3E01"/>
    <w:rsid w:val="005E40B8"/>
    <w:rsid w:val="005E4983"/>
    <w:rsid w:val="005E4CF7"/>
    <w:rsid w:val="005E4F5B"/>
    <w:rsid w:val="005E5E94"/>
    <w:rsid w:val="005E640E"/>
    <w:rsid w:val="005E6573"/>
    <w:rsid w:val="005E6A2C"/>
    <w:rsid w:val="005E6ABD"/>
    <w:rsid w:val="005E73B1"/>
    <w:rsid w:val="005E75B1"/>
    <w:rsid w:val="005E7ECF"/>
    <w:rsid w:val="005F1010"/>
    <w:rsid w:val="005F16D6"/>
    <w:rsid w:val="005F177A"/>
    <w:rsid w:val="005F2A9E"/>
    <w:rsid w:val="005F3D14"/>
    <w:rsid w:val="005F3EC6"/>
    <w:rsid w:val="005F41E0"/>
    <w:rsid w:val="005F462F"/>
    <w:rsid w:val="005F4A07"/>
    <w:rsid w:val="005F4B8C"/>
    <w:rsid w:val="005F4CE5"/>
    <w:rsid w:val="005F63A3"/>
    <w:rsid w:val="005F795A"/>
    <w:rsid w:val="005F7EAB"/>
    <w:rsid w:val="00600712"/>
    <w:rsid w:val="006013ED"/>
    <w:rsid w:val="00601653"/>
    <w:rsid w:val="00601724"/>
    <w:rsid w:val="00601770"/>
    <w:rsid w:val="00601F70"/>
    <w:rsid w:val="00601F82"/>
    <w:rsid w:val="006028C9"/>
    <w:rsid w:val="006030F8"/>
    <w:rsid w:val="00603287"/>
    <w:rsid w:val="00603343"/>
    <w:rsid w:val="0060340E"/>
    <w:rsid w:val="00603543"/>
    <w:rsid w:val="00603B99"/>
    <w:rsid w:val="00603BA6"/>
    <w:rsid w:val="006044EF"/>
    <w:rsid w:val="00604F89"/>
    <w:rsid w:val="006051EE"/>
    <w:rsid w:val="00605A82"/>
    <w:rsid w:val="0060606E"/>
    <w:rsid w:val="006060F6"/>
    <w:rsid w:val="0060612E"/>
    <w:rsid w:val="006064FC"/>
    <w:rsid w:val="006067E8"/>
    <w:rsid w:val="0060690F"/>
    <w:rsid w:val="00606A97"/>
    <w:rsid w:val="006070B5"/>
    <w:rsid w:val="006071F1"/>
    <w:rsid w:val="00607442"/>
    <w:rsid w:val="006075B9"/>
    <w:rsid w:val="00607F6D"/>
    <w:rsid w:val="006102EC"/>
    <w:rsid w:val="006109D7"/>
    <w:rsid w:val="00610A98"/>
    <w:rsid w:val="00610BDE"/>
    <w:rsid w:val="00611BE9"/>
    <w:rsid w:val="00612020"/>
    <w:rsid w:val="00612A31"/>
    <w:rsid w:val="00612F8E"/>
    <w:rsid w:val="00613054"/>
    <w:rsid w:val="0061322E"/>
    <w:rsid w:val="00613680"/>
    <w:rsid w:val="00613947"/>
    <w:rsid w:val="006139FD"/>
    <w:rsid w:val="00613A31"/>
    <w:rsid w:val="00614127"/>
    <w:rsid w:val="00614315"/>
    <w:rsid w:val="0061496E"/>
    <w:rsid w:val="006152A0"/>
    <w:rsid w:val="00615328"/>
    <w:rsid w:val="006153F2"/>
    <w:rsid w:val="0061549F"/>
    <w:rsid w:val="0061776D"/>
    <w:rsid w:val="00617AFD"/>
    <w:rsid w:val="00620693"/>
    <w:rsid w:val="00620CC3"/>
    <w:rsid w:val="00620E49"/>
    <w:rsid w:val="00621144"/>
    <w:rsid w:val="00621815"/>
    <w:rsid w:val="0062185B"/>
    <w:rsid w:val="00621B42"/>
    <w:rsid w:val="006224FA"/>
    <w:rsid w:val="0062267C"/>
    <w:rsid w:val="00622B6F"/>
    <w:rsid w:val="00623463"/>
    <w:rsid w:val="006239AB"/>
    <w:rsid w:val="0062449B"/>
    <w:rsid w:val="0062462B"/>
    <w:rsid w:val="006247E7"/>
    <w:rsid w:val="006248AC"/>
    <w:rsid w:val="00624955"/>
    <w:rsid w:val="006250D4"/>
    <w:rsid w:val="00625401"/>
    <w:rsid w:val="0062578D"/>
    <w:rsid w:val="00625999"/>
    <w:rsid w:val="006268DF"/>
    <w:rsid w:val="00626B00"/>
    <w:rsid w:val="00627328"/>
    <w:rsid w:val="006277B2"/>
    <w:rsid w:val="00627C93"/>
    <w:rsid w:val="0063063E"/>
    <w:rsid w:val="006311F6"/>
    <w:rsid w:val="0063131E"/>
    <w:rsid w:val="00631CE0"/>
    <w:rsid w:val="00632472"/>
    <w:rsid w:val="00632735"/>
    <w:rsid w:val="00632D86"/>
    <w:rsid w:val="00632F8F"/>
    <w:rsid w:val="006332DE"/>
    <w:rsid w:val="00633ABE"/>
    <w:rsid w:val="00633B9B"/>
    <w:rsid w:val="00633CAB"/>
    <w:rsid w:val="00634434"/>
    <w:rsid w:val="006345D3"/>
    <w:rsid w:val="006349A9"/>
    <w:rsid w:val="00635002"/>
    <w:rsid w:val="006356FC"/>
    <w:rsid w:val="00635BFF"/>
    <w:rsid w:val="00635F8E"/>
    <w:rsid w:val="00636301"/>
    <w:rsid w:val="00636345"/>
    <w:rsid w:val="0063677E"/>
    <w:rsid w:val="00636B8B"/>
    <w:rsid w:val="00636F6D"/>
    <w:rsid w:val="0063747B"/>
    <w:rsid w:val="0063788F"/>
    <w:rsid w:val="00640DBF"/>
    <w:rsid w:val="00640F77"/>
    <w:rsid w:val="00641312"/>
    <w:rsid w:val="006422D6"/>
    <w:rsid w:val="006426E3"/>
    <w:rsid w:val="0064286C"/>
    <w:rsid w:val="00642B6D"/>
    <w:rsid w:val="00642D17"/>
    <w:rsid w:val="006430C4"/>
    <w:rsid w:val="006433A5"/>
    <w:rsid w:val="00643844"/>
    <w:rsid w:val="006439E2"/>
    <w:rsid w:val="00643D30"/>
    <w:rsid w:val="006443F5"/>
    <w:rsid w:val="0064525C"/>
    <w:rsid w:val="0064686C"/>
    <w:rsid w:val="006469CD"/>
    <w:rsid w:val="00647396"/>
    <w:rsid w:val="00647767"/>
    <w:rsid w:val="00647B88"/>
    <w:rsid w:val="00650723"/>
    <w:rsid w:val="00650B89"/>
    <w:rsid w:val="006516C8"/>
    <w:rsid w:val="00652F12"/>
    <w:rsid w:val="00653578"/>
    <w:rsid w:val="00653998"/>
    <w:rsid w:val="00653E9D"/>
    <w:rsid w:val="00654153"/>
    <w:rsid w:val="00654230"/>
    <w:rsid w:val="00654409"/>
    <w:rsid w:val="0065542F"/>
    <w:rsid w:val="00656053"/>
    <w:rsid w:val="006563E8"/>
    <w:rsid w:val="0065671E"/>
    <w:rsid w:val="006609C0"/>
    <w:rsid w:val="00660DDC"/>
    <w:rsid w:val="00660F23"/>
    <w:rsid w:val="0066133C"/>
    <w:rsid w:val="006615C2"/>
    <w:rsid w:val="00661A6C"/>
    <w:rsid w:val="00662719"/>
    <w:rsid w:val="006628C6"/>
    <w:rsid w:val="00662DB3"/>
    <w:rsid w:val="00662EA8"/>
    <w:rsid w:val="00662EFF"/>
    <w:rsid w:val="0066380E"/>
    <w:rsid w:val="00664A00"/>
    <w:rsid w:val="00664AEE"/>
    <w:rsid w:val="00664E0E"/>
    <w:rsid w:val="00664E88"/>
    <w:rsid w:val="00665063"/>
    <w:rsid w:val="00665207"/>
    <w:rsid w:val="00665263"/>
    <w:rsid w:val="00665475"/>
    <w:rsid w:val="006654DB"/>
    <w:rsid w:val="00665E0F"/>
    <w:rsid w:val="0066689B"/>
    <w:rsid w:val="00666C63"/>
    <w:rsid w:val="00666D90"/>
    <w:rsid w:val="00666F3E"/>
    <w:rsid w:val="0066728C"/>
    <w:rsid w:val="0066768E"/>
    <w:rsid w:val="00667C98"/>
    <w:rsid w:val="00667FD2"/>
    <w:rsid w:val="006705CF"/>
    <w:rsid w:val="0067140F"/>
    <w:rsid w:val="00671804"/>
    <w:rsid w:val="00671C5E"/>
    <w:rsid w:val="00672654"/>
    <w:rsid w:val="006729FC"/>
    <w:rsid w:val="006735EC"/>
    <w:rsid w:val="00673AB2"/>
    <w:rsid w:val="00673C5A"/>
    <w:rsid w:val="00673F7F"/>
    <w:rsid w:val="00673FDF"/>
    <w:rsid w:val="00674492"/>
    <w:rsid w:val="006753C3"/>
    <w:rsid w:val="0067602A"/>
    <w:rsid w:val="00676189"/>
    <w:rsid w:val="00676444"/>
    <w:rsid w:val="006766F7"/>
    <w:rsid w:val="00676CAF"/>
    <w:rsid w:val="006771E9"/>
    <w:rsid w:val="0067727B"/>
    <w:rsid w:val="0067778E"/>
    <w:rsid w:val="00677ACF"/>
    <w:rsid w:val="00680461"/>
    <w:rsid w:val="006804DF"/>
    <w:rsid w:val="00680525"/>
    <w:rsid w:val="00680727"/>
    <w:rsid w:val="00681352"/>
    <w:rsid w:val="006817E1"/>
    <w:rsid w:val="006819E7"/>
    <w:rsid w:val="00682B9A"/>
    <w:rsid w:val="00682FBF"/>
    <w:rsid w:val="006830D9"/>
    <w:rsid w:val="006834EC"/>
    <w:rsid w:val="006839CE"/>
    <w:rsid w:val="00684D10"/>
    <w:rsid w:val="00685DEE"/>
    <w:rsid w:val="00685FAE"/>
    <w:rsid w:val="0068641D"/>
    <w:rsid w:val="0068658C"/>
    <w:rsid w:val="00686BDC"/>
    <w:rsid w:val="00687024"/>
    <w:rsid w:val="006877F9"/>
    <w:rsid w:val="00687A67"/>
    <w:rsid w:val="00687A7A"/>
    <w:rsid w:val="00690555"/>
    <w:rsid w:val="00690EAF"/>
    <w:rsid w:val="00692304"/>
    <w:rsid w:val="006923F2"/>
    <w:rsid w:val="00692449"/>
    <w:rsid w:val="00692722"/>
    <w:rsid w:val="00692796"/>
    <w:rsid w:val="00692A07"/>
    <w:rsid w:val="00692D1B"/>
    <w:rsid w:val="0069334D"/>
    <w:rsid w:val="00693B61"/>
    <w:rsid w:val="00693DF0"/>
    <w:rsid w:val="00693E58"/>
    <w:rsid w:val="00694049"/>
    <w:rsid w:val="00694A4C"/>
    <w:rsid w:val="00694A87"/>
    <w:rsid w:val="00694BF1"/>
    <w:rsid w:val="006953F5"/>
    <w:rsid w:val="00695EC9"/>
    <w:rsid w:val="00696638"/>
    <w:rsid w:val="00696935"/>
    <w:rsid w:val="00696EEE"/>
    <w:rsid w:val="00697C00"/>
    <w:rsid w:val="006A06BD"/>
    <w:rsid w:val="006A0FC4"/>
    <w:rsid w:val="006A1346"/>
    <w:rsid w:val="006A19A3"/>
    <w:rsid w:val="006A1FE2"/>
    <w:rsid w:val="006A2A61"/>
    <w:rsid w:val="006A2B45"/>
    <w:rsid w:val="006A3E9D"/>
    <w:rsid w:val="006A3F8D"/>
    <w:rsid w:val="006A3FA7"/>
    <w:rsid w:val="006A4B88"/>
    <w:rsid w:val="006A56B4"/>
    <w:rsid w:val="006A5736"/>
    <w:rsid w:val="006A5B16"/>
    <w:rsid w:val="006A60DB"/>
    <w:rsid w:val="006A61D2"/>
    <w:rsid w:val="006A64A7"/>
    <w:rsid w:val="006A652C"/>
    <w:rsid w:val="006A6CB1"/>
    <w:rsid w:val="006A7328"/>
    <w:rsid w:val="006A7688"/>
    <w:rsid w:val="006A7C14"/>
    <w:rsid w:val="006B0C7C"/>
    <w:rsid w:val="006B0DA8"/>
    <w:rsid w:val="006B1042"/>
    <w:rsid w:val="006B1203"/>
    <w:rsid w:val="006B12B0"/>
    <w:rsid w:val="006B26BD"/>
    <w:rsid w:val="006B2F0B"/>
    <w:rsid w:val="006B346E"/>
    <w:rsid w:val="006B38CE"/>
    <w:rsid w:val="006B38F1"/>
    <w:rsid w:val="006B438F"/>
    <w:rsid w:val="006B4416"/>
    <w:rsid w:val="006B4F88"/>
    <w:rsid w:val="006B5B47"/>
    <w:rsid w:val="006B5B97"/>
    <w:rsid w:val="006B5CF2"/>
    <w:rsid w:val="006B5F51"/>
    <w:rsid w:val="006B6CF0"/>
    <w:rsid w:val="006B6F49"/>
    <w:rsid w:val="006B73B9"/>
    <w:rsid w:val="006B76D3"/>
    <w:rsid w:val="006B7E8F"/>
    <w:rsid w:val="006C09FF"/>
    <w:rsid w:val="006C0D71"/>
    <w:rsid w:val="006C12CD"/>
    <w:rsid w:val="006C18D7"/>
    <w:rsid w:val="006C21A1"/>
    <w:rsid w:val="006C2AD7"/>
    <w:rsid w:val="006C402E"/>
    <w:rsid w:val="006C423B"/>
    <w:rsid w:val="006C4EDA"/>
    <w:rsid w:val="006C4FBC"/>
    <w:rsid w:val="006C5667"/>
    <w:rsid w:val="006C5C90"/>
    <w:rsid w:val="006C6050"/>
    <w:rsid w:val="006C6124"/>
    <w:rsid w:val="006C6530"/>
    <w:rsid w:val="006C672E"/>
    <w:rsid w:val="006C6855"/>
    <w:rsid w:val="006C6860"/>
    <w:rsid w:val="006C68FD"/>
    <w:rsid w:val="006D0AF4"/>
    <w:rsid w:val="006D0AFD"/>
    <w:rsid w:val="006D0C40"/>
    <w:rsid w:val="006D0D4F"/>
    <w:rsid w:val="006D0FBE"/>
    <w:rsid w:val="006D140B"/>
    <w:rsid w:val="006D1812"/>
    <w:rsid w:val="006D253B"/>
    <w:rsid w:val="006D2585"/>
    <w:rsid w:val="006D2809"/>
    <w:rsid w:val="006D2D31"/>
    <w:rsid w:val="006D2D96"/>
    <w:rsid w:val="006D2F9C"/>
    <w:rsid w:val="006D309D"/>
    <w:rsid w:val="006D3682"/>
    <w:rsid w:val="006D3B60"/>
    <w:rsid w:val="006D4239"/>
    <w:rsid w:val="006D45D6"/>
    <w:rsid w:val="006D51F2"/>
    <w:rsid w:val="006D653F"/>
    <w:rsid w:val="006D68E6"/>
    <w:rsid w:val="006D6A32"/>
    <w:rsid w:val="006D70B8"/>
    <w:rsid w:val="006D7E1D"/>
    <w:rsid w:val="006E00BA"/>
    <w:rsid w:val="006E0469"/>
    <w:rsid w:val="006E0C94"/>
    <w:rsid w:val="006E1267"/>
    <w:rsid w:val="006E171A"/>
    <w:rsid w:val="006E1985"/>
    <w:rsid w:val="006E1BEE"/>
    <w:rsid w:val="006E1BF3"/>
    <w:rsid w:val="006E2640"/>
    <w:rsid w:val="006E2EA3"/>
    <w:rsid w:val="006E2FB1"/>
    <w:rsid w:val="006E3081"/>
    <w:rsid w:val="006E3B68"/>
    <w:rsid w:val="006E3EBA"/>
    <w:rsid w:val="006E510D"/>
    <w:rsid w:val="006E563E"/>
    <w:rsid w:val="006E598C"/>
    <w:rsid w:val="006E6A62"/>
    <w:rsid w:val="006E7014"/>
    <w:rsid w:val="006E73ED"/>
    <w:rsid w:val="006E7743"/>
    <w:rsid w:val="006E7C4C"/>
    <w:rsid w:val="006E7E0F"/>
    <w:rsid w:val="006F04D3"/>
    <w:rsid w:val="006F07F7"/>
    <w:rsid w:val="006F087D"/>
    <w:rsid w:val="006F1524"/>
    <w:rsid w:val="006F1E9A"/>
    <w:rsid w:val="006F2013"/>
    <w:rsid w:val="006F263D"/>
    <w:rsid w:val="006F2839"/>
    <w:rsid w:val="006F2D01"/>
    <w:rsid w:val="006F3577"/>
    <w:rsid w:val="006F3823"/>
    <w:rsid w:val="006F3982"/>
    <w:rsid w:val="006F4D60"/>
    <w:rsid w:val="006F4FB8"/>
    <w:rsid w:val="006F518D"/>
    <w:rsid w:val="006F51AC"/>
    <w:rsid w:val="006F53D8"/>
    <w:rsid w:val="006F5844"/>
    <w:rsid w:val="006F5ADD"/>
    <w:rsid w:val="006F5D5A"/>
    <w:rsid w:val="007001F2"/>
    <w:rsid w:val="00700848"/>
    <w:rsid w:val="00700F24"/>
    <w:rsid w:val="00701785"/>
    <w:rsid w:val="00701A86"/>
    <w:rsid w:val="00701ED4"/>
    <w:rsid w:val="007031CE"/>
    <w:rsid w:val="007038A0"/>
    <w:rsid w:val="00704501"/>
    <w:rsid w:val="00704661"/>
    <w:rsid w:val="007046A6"/>
    <w:rsid w:val="00704891"/>
    <w:rsid w:val="00704B97"/>
    <w:rsid w:val="00704BAF"/>
    <w:rsid w:val="00704BC8"/>
    <w:rsid w:val="0070605F"/>
    <w:rsid w:val="0070609D"/>
    <w:rsid w:val="0070656E"/>
    <w:rsid w:val="007067A7"/>
    <w:rsid w:val="00707A08"/>
    <w:rsid w:val="00707F90"/>
    <w:rsid w:val="00710178"/>
    <w:rsid w:val="007104C3"/>
    <w:rsid w:val="00711847"/>
    <w:rsid w:val="0071197D"/>
    <w:rsid w:val="00712206"/>
    <w:rsid w:val="0071325D"/>
    <w:rsid w:val="00713427"/>
    <w:rsid w:val="007134E4"/>
    <w:rsid w:val="007135A0"/>
    <w:rsid w:val="00713F81"/>
    <w:rsid w:val="00714255"/>
    <w:rsid w:val="00714481"/>
    <w:rsid w:val="0071508E"/>
    <w:rsid w:val="007152E6"/>
    <w:rsid w:val="00715CA7"/>
    <w:rsid w:val="00715DF6"/>
    <w:rsid w:val="0071602D"/>
    <w:rsid w:val="00716186"/>
    <w:rsid w:val="00716801"/>
    <w:rsid w:val="0071686B"/>
    <w:rsid w:val="007172F8"/>
    <w:rsid w:val="007177B2"/>
    <w:rsid w:val="007207AD"/>
    <w:rsid w:val="00721407"/>
    <w:rsid w:val="00721728"/>
    <w:rsid w:val="007225BE"/>
    <w:rsid w:val="0072287F"/>
    <w:rsid w:val="007231D9"/>
    <w:rsid w:val="00723207"/>
    <w:rsid w:val="00723E7B"/>
    <w:rsid w:val="007240D0"/>
    <w:rsid w:val="00724215"/>
    <w:rsid w:val="00724AF6"/>
    <w:rsid w:val="007253BF"/>
    <w:rsid w:val="007257EC"/>
    <w:rsid w:val="00726045"/>
    <w:rsid w:val="00726752"/>
    <w:rsid w:val="0072679B"/>
    <w:rsid w:val="007274B8"/>
    <w:rsid w:val="00727A54"/>
    <w:rsid w:val="00730226"/>
    <w:rsid w:val="007302B8"/>
    <w:rsid w:val="00731F8F"/>
    <w:rsid w:val="0073301E"/>
    <w:rsid w:val="007332B1"/>
    <w:rsid w:val="0073341B"/>
    <w:rsid w:val="007337DB"/>
    <w:rsid w:val="00733823"/>
    <w:rsid w:val="00733F75"/>
    <w:rsid w:val="0073471B"/>
    <w:rsid w:val="007349D6"/>
    <w:rsid w:val="00734A77"/>
    <w:rsid w:val="00734FF6"/>
    <w:rsid w:val="00735225"/>
    <w:rsid w:val="007353D6"/>
    <w:rsid w:val="00736384"/>
    <w:rsid w:val="0073664C"/>
    <w:rsid w:val="007375BF"/>
    <w:rsid w:val="00737712"/>
    <w:rsid w:val="00737CF4"/>
    <w:rsid w:val="00737D46"/>
    <w:rsid w:val="00737DA3"/>
    <w:rsid w:val="00737DBB"/>
    <w:rsid w:val="0074064F"/>
    <w:rsid w:val="0074115A"/>
    <w:rsid w:val="007418C9"/>
    <w:rsid w:val="0074196B"/>
    <w:rsid w:val="00741C78"/>
    <w:rsid w:val="00742DC7"/>
    <w:rsid w:val="007430DB"/>
    <w:rsid w:val="00743DAB"/>
    <w:rsid w:val="00744AF1"/>
    <w:rsid w:val="00745179"/>
    <w:rsid w:val="007463BE"/>
    <w:rsid w:val="0074685F"/>
    <w:rsid w:val="00747050"/>
    <w:rsid w:val="00747436"/>
    <w:rsid w:val="007508CC"/>
    <w:rsid w:val="00750B44"/>
    <w:rsid w:val="00750E0C"/>
    <w:rsid w:val="00750F52"/>
    <w:rsid w:val="0075120E"/>
    <w:rsid w:val="00751F04"/>
    <w:rsid w:val="00752D74"/>
    <w:rsid w:val="00753D71"/>
    <w:rsid w:val="00754163"/>
    <w:rsid w:val="00754546"/>
    <w:rsid w:val="007545E8"/>
    <w:rsid w:val="0075491A"/>
    <w:rsid w:val="00754EE8"/>
    <w:rsid w:val="007552AC"/>
    <w:rsid w:val="0075588A"/>
    <w:rsid w:val="00755D1C"/>
    <w:rsid w:val="00755DFC"/>
    <w:rsid w:val="00755FCA"/>
    <w:rsid w:val="00756B74"/>
    <w:rsid w:val="00756F82"/>
    <w:rsid w:val="007573D0"/>
    <w:rsid w:val="00757439"/>
    <w:rsid w:val="00760320"/>
    <w:rsid w:val="0076116B"/>
    <w:rsid w:val="0076206D"/>
    <w:rsid w:val="0076230B"/>
    <w:rsid w:val="00762721"/>
    <w:rsid w:val="00762817"/>
    <w:rsid w:val="007628BE"/>
    <w:rsid w:val="00763188"/>
    <w:rsid w:val="00763406"/>
    <w:rsid w:val="00763652"/>
    <w:rsid w:val="00763CCE"/>
    <w:rsid w:val="0076409E"/>
    <w:rsid w:val="00764102"/>
    <w:rsid w:val="007645C6"/>
    <w:rsid w:val="00764632"/>
    <w:rsid w:val="00765364"/>
    <w:rsid w:val="00766607"/>
    <w:rsid w:val="00766A17"/>
    <w:rsid w:val="00766E19"/>
    <w:rsid w:val="00767238"/>
    <w:rsid w:val="00767C65"/>
    <w:rsid w:val="00770019"/>
    <w:rsid w:val="007702DC"/>
    <w:rsid w:val="00771529"/>
    <w:rsid w:val="00771D83"/>
    <w:rsid w:val="00771EEB"/>
    <w:rsid w:val="0077204F"/>
    <w:rsid w:val="007720F9"/>
    <w:rsid w:val="007725F3"/>
    <w:rsid w:val="00772A28"/>
    <w:rsid w:val="007731B8"/>
    <w:rsid w:val="00773258"/>
    <w:rsid w:val="0077453F"/>
    <w:rsid w:val="007748E2"/>
    <w:rsid w:val="00774C71"/>
    <w:rsid w:val="00774F72"/>
    <w:rsid w:val="00774FE4"/>
    <w:rsid w:val="0077555E"/>
    <w:rsid w:val="00775ADB"/>
    <w:rsid w:val="00775BB7"/>
    <w:rsid w:val="00775C8A"/>
    <w:rsid w:val="00776233"/>
    <w:rsid w:val="007763B1"/>
    <w:rsid w:val="007768B2"/>
    <w:rsid w:val="00776F94"/>
    <w:rsid w:val="0077747F"/>
    <w:rsid w:val="00777506"/>
    <w:rsid w:val="00777AD9"/>
    <w:rsid w:val="00777B8C"/>
    <w:rsid w:val="00777C49"/>
    <w:rsid w:val="007813B5"/>
    <w:rsid w:val="00781572"/>
    <w:rsid w:val="0078185F"/>
    <w:rsid w:val="00781BDD"/>
    <w:rsid w:val="00781CF1"/>
    <w:rsid w:val="00781D07"/>
    <w:rsid w:val="00781DF2"/>
    <w:rsid w:val="00781FC4"/>
    <w:rsid w:val="00782681"/>
    <w:rsid w:val="00782E49"/>
    <w:rsid w:val="00783576"/>
    <w:rsid w:val="007838EA"/>
    <w:rsid w:val="007839F2"/>
    <w:rsid w:val="00783D28"/>
    <w:rsid w:val="00784149"/>
    <w:rsid w:val="007845C8"/>
    <w:rsid w:val="00784879"/>
    <w:rsid w:val="00784E37"/>
    <w:rsid w:val="00785220"/>
    <w:rsid w:val="00785667"/>
    <w:rsid w:val="00786103"/>
    <w:rsid w:val="0078712B"/>
    <w:rsid w:val="007878E7"/>
    <w:rsid w:val="00787951"/>
    <w:rsid w:val="00787B30"/>
    <w:rsid w:val="00787C7D"/>
    <w:rsid w:val="0079001B"/>
    <w:rsid w:val="0079015A"/>
    <w:rsid w:val="007903A3"/>
    <w:rsid w:val="007906EE"/>
    <w:rsid w:val="007911A0"/>
    <w:rsid w:val="007913B5"/>
    <w:rsid w:val="00792053"/>
    <w:rsid w:val="0079245F"/>
    <w:rsid w:val="007928DF"/>
    <w:rsid w:val="007931F1"/>
    <w:rsid w:val="00793D9C"/>
    <w:rsid w:val="00794BF0"/>
    <w:rsid w:val="00794E1D"/>
    <w:rsid w:val="00795076"/>
    <w:rsid w:val="007951A3"/>
    <w:rsid w:val="00795960"/>
    <w:rsid w:val="00795D10"/>
    <w:rsid w:val="00795D77"/>
    <w:rsid w:val="00796169"/>
    <w:rsid w:val="00796776"/>
    <w:rsid w:val="00797E3E"/>
    <w:rsid w:val="007A0743"/>
    <w:rsid w:val="007A0BEE"/>
    <w:rsid w:val="007A0DC2"/>
    <w:rsid w:val="007A1048"/>
    <w:rsid w:val="007A1196"/>
    <w:rsid w:val="007A18DF"/>
    <w:rsid w:val="007A1D35"/>
    <w:rsid w:val="007A27D9"/>
    <w:rsid w:val="007A282B"/>
    <w:rsid w:val="007A2A5E"/>
    <w:rsid w:val="007A2B38"/>
    <w:rsid w:val="007A2BEF"/>
    <w:rsid w:val="007A3D8B"/>
    <w:rsid w:val="007A401A"/>
    <w:rsid w:val="007A41FD"/>
    <w:rsid w:val="007A4F65"/>
    <w:rsid w:val="007A57FA"/>
    <w:rsid w:val="007A5855"/>
    <w:rsid w:val="007A6FC0"/>
    <w:rsid w:val="007A7200"/>
    <w:rsid w:val="007A7266"/>
    <w:rsid w:val="007A7C47"/>
    <w:rsid w:val="007B07EC"/>
    <w:rsid w:val="007B0C49"/>
    <w:rsid w:val="007B1119"/>
    <w:rsid w:val="007B12B0"/>
    <w:rsid w:val="007B159B"/>
    <w:rsid w:val="007B1901"/>
    <w:rsid w:val="007B2537"/>
    <w:rsid w:val="007B2808"/>
    <w:rsid w:val="007B28EA"/>
    <w:rsid w:val="007B2A68"/>
    <w:rsid w:val="007B2F6E"/>
    <w:rsid w:val="007B300C"/>
    <w:rsid w:val="007B31C4"/>
    <w:rsid w:val="007B3704"/>
    <w:rsid w:val="007B371E"/>
    <w:rsid w:val="007B3D65"/>
    <w:rsid w:val="007B41CB"/>
    <w:rsid w:val="007B4294"/>
    <w:rsid w:val="007B4664"/>
    <w:rsid w:val="007B559A"/>
    <w:rsid w:val="007B59CC"/>
    <w:rsid w:val="007B6AAC"/>
    <w:rsid w:val="007B7121"/>
    <w:rsid w:val="007B75E2"/>
    <w:rsid w:val="007B7910"/>
    <w:rsid w:val="007B7BC3"/>
    <w:rsid w:val="007B7C2A"/>
    <w:rsid w:val="007C0036"/>
    <w:rsid w:val="007C042E"/>
    <w:rsid w:val="007C062E"/>
    <w:rsid w:val="007C0898"/>
    <w:rsid w:val="007C17C0"/>
    <w:rsid w:val="007C17D0"/>
    <w:rsid w:val="007C1DD7"/>
    <w:rsid w:val="007C2657"/>
    <w:rsid w:val="007C281C"/>
    <w:rsid w:val="007C4613"/>
    <w:rsid w:val="007C5254"/>
    <w:rsid w:val="007C54B5"/>
    <w:rsid w:val="007C56C8"/>
    <w:rsid w:val="007C625E"/>
    <w:rsid w:val="007C65BE"/>
    <w:rsid w:val="007C69F6"/>
    <w:rsid w:val="007C6C2F"/>
    <w:rsid w:val="007C71F1"/>
    <w:rsid w:val="007C7C09"/>
    <w:rsid w:val="007D0055"/>
    <w:rsid w:val="007D0F7C"/>
    <w:rsid w:val="007D1B6F"/>
    <w:rsid w:val="007D1DFF"/>
    <w:rsid w:val="007D22CA"/>
    <w:rsid w:val="007D2C0F"/>
    <w:rsid w:val="007D2D52"/>
    <w:rsid w:val="007D2FE5"/>
    <w:rsid w:val="007D323A"/>
    <w:rsid w:val="007D350B"/>
    <w:rsid w:val="007D4440"/>
    <w:rsid w:val="007D48B8"/>
    <w:rsid w:val="007D49AA"/>
    <w:rsid w:val="007D4EE2"/>
    <w:rsid w:val="007D4F20"/>
    <w:rsid w:val="007D534B"/>
    <w:rsid w:val="007D557E"/>
    <w:rsid w:val="007D57D2"/>
    <w:rsid w:val="007D5A9C"/>
    <w:rsid w:val="007D6006"/>
    <w:rsid w:val="007D6675"/>
    <w:rsid w:val="007D688E"/>
    <w:rsid w:val="007D6D06"/>
    <w:rsid w:val="007D6F76"/>
    <w:rsid w:val="007D751C"/>
    <w:rsid w:val="007D7DC5"/>
    <w:rsid w:val="007D7FC4"/>
    <w:rsid w:val="007E0131"/>
    <w:rsid w:val="007E0531"/>
    <w:rsid w:val="007E1A86"/>
    <w:rsid w:val="007E2FC7"/>
    <w:rsid w:val="007E3051"/>
    <w:rsid w:val="007E3390"/>
    <w:rsid w:val="007E37C1"/>
    <w:rsid w:val="007E3B33"/>
    <w:rsid w:val="007E3D02"/>
    <w:rsid w:val="007E6051"/>
    <w:rsid w:val="007E66E8"/>
    <w:rsid w:val="007E6B20"/>
    <w:rsid w:val="007E6D51"/>
    <w:rsid w:val="007E746F"/>
    <w:rsid w:val="007F0B04"/>
    <w:rsid w:val="007F1061"/>
    <w:rsid w:val="007F154F"/>
    <w:rsid w:val="007F15CA"/>
    <w:rsid w:val="007F167C"/>
    <w:rsid w:val="007F223A"/>
    <w:rsid w:val="007F3188"/>
    <w:rsid w:val="007F33EA"/>
    <w:rsid w:val="007F34E7"/>
    <w:rsid w:val="007F3714"/>
    <w:rsid w:val="007F3EE5"/>
    <w:rsid w:val="007F4023"/>
    <w:rsid w:val="007F4123"/>
    <w:rsid w:val="007F52F0"/>
    <w:rsid w:val="007F555A"/>
    <w:rsid w:val="007F60E6"/>
    <w:rsid w:val="007F6247"/>
    <w:rsid w:val="007F6D99"/>
    <w:rsid w:val="007F6E06"/>
    <w:rsid w:val="007F6F47"/>
    <w:rsid w:val="007F7557"/>
    <w:rsid w:val="007F7701"/>
    <w:rsid w:val="007F78F0"/>
    <w:rsid w:val="007F7F54"/>
    <w:rsid w:val="00800AB9"/>
    <w:rsid w:val="00801100"/>
    <w:rsid w:val="008012C3"/>
    <w:rsid w:val="008025CC"/>
    <w:rsid w:val="008026D3"/>
    <w:rsid w:val="00802C5A"/>
    <w:rsid w:val="00803E82"/>
    <w:rsid w:val="008053D1"/>
    <w:rsid w:val="00805746"/>
    <w:rsid w:val="00806725"/>
    <w:rsid w:val="00806745"/>
    <w:rsid w:val="0080683C"/>
    <w:rsid w:val="00806966"/>
    <w:rsid w:val="00806E6A"/>
    <w:rsid w:val="00806E86"/>
    <w:rsid w:val="008077F4"/>
    <w:rsid w:val="008079CC"/>
    <w:rsid w:val="00807CBE"/>
    <w:rsid w:val="008102A8"/>
    <w:rsid w:val="00811199"/>
    <w:rsid w:val="008115CE"/>
    <w:rsid w:val="00811DC7"/>
    <w:rsid w:val="00812167"/>
    <w:rsid w:val="00812452"/>
    <w:rsid w:val="00813047"/>
    <w:rsid w:val="008131C6"/>
    <w:rsid w:val="00813809"/>
    <w:rsid w:val="00813F77"/>
    <w:rsid w:val="00814BCE"/>
    <w:rsid w:val="00815471"/>
    <w:rsid w:val="00815969"/>
    <w:rsid w:val="008165C2"/>
    <w:rsid w:val="00816DBB"/>
    <w:rsid w:val="008177FA"/>
    <w:rsid w:val="00820EB3"/>
    <w:rsid w:val="0082129B"/>
    <w:rsid w:val="00821516"/>
    <w:rsid w:val="008224EC"/>
    <w:rsid w:val="00822551"/>
    <w:rsid w:val="00822B78"/>
    <w:rsid w:val="0082310B"/>
    <w:rsid w:val="00823415"/>
    <w:rsid w:val="00824263"/>
    <w:rsid w:val="008244A4"/>
    <w:rsid w:val="0082479A"/>
    <w:rsid w:val="00824EB3"/>
    <w:rsid w:val="008254C6"/>
    <w:rsid w:val="008255B7"/>
    <w:rsid w:val="00825A73"/>
    <w:rsid w:val="00825D13"/>
    <w:rsid w:val="00825EF8"/>
    <w:rsid w:val="00826D2C"/>
    <w:rsid w:val="00826D5F"/>
    <w:rsid w:val="00826F29"/>
    <w:rsid w:val="00827576"/>
    <w:rsid w:val="0083004B"/>
    <w:rsid w:val="0083040C"/>
    <w:rsid w:val="008304A8"/>
    <w:rsid w:val="00830AD5"/>
    <w:rsid w:val="008323AA"/>
    <w:rsid w:val="008330C1"/>
    <w:rsid w:val="00833259"/>
    <w:rsid w:val="008336B9"/>
    <w:rsid w:val="0083400D"/>
    <w:rsid w:val="008343A0"/>
    <w:rsid w:val="00834C5D"/>
    <w:rsid w:val="00834F60"/>
    <w:rsid w:val="00835342"/>
    <w:rsid w:val="00835CED"/>
    <w:rsid w:val="0083609B"/>
    <w:rsid w:val="008368EE"/>
    <w:rsid w:val="00836D7C"/>
    <w:rsid w:val="00837041"/>
    <w:rsid w:val="0083721F"/>
    <w:rsid w:val="0084007A"/>
    <w:rsid w:val="00840453"/>
    <w:rsid w:val="0084060F"/>
    <w:rsid w:val="008408EA"/>
    <w:rsid w:val="008408F2"/>
    <w:rsid w:val="008412FE"/>
    <w:rsid w:val="0084130C"/>
    <w:rsid w:val="0084163E"/>
    <w:rsid w:val="008421B2"/>
    <w:rsid w:val="008427ED"/>
    <w:rsid w:val="008428FC"/>
    <w:rsid w:val="008437DB"/>
    <w:rsid w:val="00843C71"/>
    <w:rsid w:val="00844678"/>
    <w:rsid w:val="00844CEB"/>
    <w:rsid w:val="008452FB"/>
    <w:rsid w:val="00846352"/>
    <w:rsid w:val="00846C41"/>
    <w:rsid w:val="00846F48"/>
    <w:rsid w:val="0084721A"/>
    <w:rsid w:val="00847A4D"/>
    <w:rsid w:val="00847CA4"/>
    <w:rsid w:val="0085065F"/>
    <w:rsid w:val="0085069B"/>
    <w:rsid w:val="00850AB0"/>
    <w:rsid w:val="00850F75"/>
    <w:rsid w:val="00851B6A"/>
    <w:rsid w:val="00851C15"/>
    <w:rsid w:val="00851D11"/>
    <w:rsid w:val="00851E52"/>
    <w:rsid w:val="008529F0"/>
    <w:rsid w:val="00852CF8"/>
    <w:rsid w:val="00852D17"/>
    <w:rsid w:val="00853093"/>
    <w:rsid w:val="00853182"/>
    <w:rsid w:val="0085331B"/>
    <w:rsid w:val="00854528"/>
    <w:rsid w:val="008548AA"/>
    <w:rsid w:val="00854E96"/>
    <w:rsid w:val="00855838"/>
    <w:rsid w:val="00855DB1"/>
    <w:rsid w:val="00856151"/>
    <w:rsid w:val="00856342"/>
    <w:rsid w:val="00856C90"/>
    <w:rsid w:val="008572A0"/>
    <w:rsid w:val="00857C32"/>
    <w:rsid w:val="00860218"/>
    <w:rsid w:val="00860267"/>
    <w:rsid w:val="008605E2"/>
    <w:rsid w:val="00860A12"/>
    <w:rsid w:val="0086202D"/>
    <w:rsid w:val="00862CE4"/>
    <w:rsid w:val="008636FF"/>
    <w:rsid w:val="00863899"/>
    <w:rsid w:val="008639A2"/>
    <w:rsid w:val="008652EC"/>
    <w:rsid w:val="008654F2"/>
    <w:rsid w:val="00865587"/>
    <w:rsid w:val="008660CD"/>
    <w:rsid w:val="00866269"/>
    <w:rsid w:val="008665ED"/>
    <w:rsid w:val="00866C38"/>
    <w:rsid w:val="008670DF"/>
    <w:rsid w:val="0086739B"/>
    <w:rsid w:val="008675B4"/>
    <w:rsid w:val="00867C9D"/>
    <w:rsid w:val="00870796"/>
    <w:rsid w:val="008708B2"/>
    <w:rsid w:val="00871110"/>
    <w:rsid w:val="008728D2"/>
    <w:rsid w:val="00872CD3"/>
    <w:rsid w:val="0087325B"/>
    <w:rsid w:val="00873298"/>
    <w:rsid w:val="008735D9"/>
    <w:rsid w:val="00873878"/>
    <w:rsid w:val="00873D79"/>
    <w:rsid w:val="00873DDA"/>
    <w:rsid w:val="0087472B"/>
    <w:rsid w:val="0087511C"/>
    <w:rsid w:val="00875722"/>
    <w:rsid w:val="0087598B"/>
    <w:rsid w:val="00875BDF"/>
    <w:rsid w:val="008763AD"/>
    <w:rsid w:val="008765E5"/>
    <w:rsid w:val="00880216"/>
    <w:rsid w:val="00880E55"/>
    <w:rsid w:val="00880FAB"/>
    <w:rsid w:val="00881E63"/>
    <w:rsid w:val="00881FE7"/>
    <w:rsid w:val="0088230A"/>
    <w:rsid w:val="0088245B"/>
    <w:rsid w:val="008836D4"/>
    <w:rsid w:val="00884983"/>
    <w:rsid w:val="0088498C"/>
    <w:rsid w:val="00884CFB"/>
    <w:rsid w:val="00884E7C"/>
    <w:rsid w:val="00885530"/>
    <w:rsid w:val="0088694A"/>
    <w:rsid w:val="008869FA"/>
    <w:rsid w:val="00886D67"/>
    <w:rsid w:val="00886DA0"/>
    <w:rsid w:val="00886E38"/>
    <w:rsid w:val="00886F69"/>
    <w:rsid w:val="00887010"/>
    <w:rsid w:val="00887496"/>
    <w:rsid w:val="008874B3"/>
    <w:rsid w:val="0088785B"/>
    <w:rsid w:val="00887B40"/>
    <w:rsid w:val="00887B81"/>
    <w:rsid w:val="008905F1"/>
    <w:rsid w:val="00890D59"/>
    <w:rsid w:val="00890DEE"/>
    <w:rsid w:val="00891539"/>
    <w:rsid w:val="0089279D"/>
    <w:rsid w:val="008927A6"/>
    <w:rsid w:val="00893254"/>
    <w:rsid w:val="00893B89"/>
    <w:rsid w:val="00893EF7"/>
    <w:rsid w:val="00894169"/>
    <w:rsid w:val="008942B3"/>
    <w:rsid w:val="00894B9B"/>
    <w:rsid w:val="00894C81"/>
    <w:rsid w:val="00895500"/>
    <w:rsid w:val="008959E2"/>
    <w:rsid w:val="00896C38"/>
    <w:rsid w:val="00896D2F"/>
    <w:rsid w:val="008970E7"/>
    <w:rsid w:val="008977F2"/>
    <w:rsid w:val="0089797E"/>
    <w:rsid w:val="00897A54"/>
    <w:rsid w:val="008A01FE"/>
    <w:rsid w:val="008A078B"/>
    <w:rsid w:val="008A09F1"/>
    <w:rsid w:val="008A0B52"/>
    <w:rsid w:val="008A0F5A"/>
    <w:rsid w:val="008A1152"/>
    <w:rsid w:val="008A119F"/>
    <w:rsid w:val="008A11FC"/>
    <w:rsid w:val="008A30BC"/>
    <w:rsid w:val="008A31FC"/>
    <w:rsid w:val="008A3612"/>
    <w:rsid w:val="008A3656"/>
    <w:rsid w:val="008A414F"/>
    <w:rsid w:val="008A4201"/>
    <w:rsid w:val="008A4A33"/>
    <w:rsid w:val="008A4BE6"/>
    <w:rsid w:val="008A4C60"/>
    <w:rsid w:val="008A4C71"/>
    <w:rsid w:val="008A4D0F"/>
    <w:rsid w:val="008A519C"/>
    <w:rsid w:val="008A525C"/>
    <w:rsid w:val="008A5A89"/>
    <w:rsid w:val="008A5B46"/>
    <w:rsid w:val="008A636F"/>
    <w:rsid w:val="008A6723"/>
    <w:rsid w:val="008A67F4"/>
    <w:rsid w:val="008A6DCA"/>
    <w:rsid w:val="008A7BAA"/>
    <w:rsid w:val="008B047E"/>
    <w:rsid w:val="008B0BFE"/>
    <w:rsid w:val="008B0C64"/>
    <w:rsid w:val="008B1237"/>
    <w:rsid w:val="008B1852"/>
    <w:rsid w:val="008B3922"/>
    <w:rsid w:val="008B3B54"/>
    <w:rsid w:val="008B41DE"/>
    <w:rsid w:val="008B4C90"/>
    <w:rsid w:val="008B556D"/>
    <w:rsid w:val="008B5C1D"/>
    <w:rsid w:val="008B5D66"/>
    <w:rsid w:val="008B5FD9"/>
    <w:rsid w:val="008B6BFF"/>
    <w:rsid w:val="008B7A72"/>
    <w:rsid w:val="008C0ABC"/>
    <w:rsid w:val="008C0D7E"/>
    <w:rsid w:val="008C1135"/>
    <w:rsid w:val="008C115F"/>
    <w:rsid w:val="008C142D"/>
    <w:rsid w:val="008C3A1C"/>
    <w:rsid w:val="008C3A8B"/>
    <w:rsid w:val="008C42E0"/>
    <w:rsid w:val="008C4367"/>
    <w:rsid w:val="008C4369"/>
    <w:rsid w:val="008C45CB"/>
    <w:rsid w:val="008C4894"/>
    <w:rsid w:val="008C4C3E"/>
    <w:rsid w:val="008C4E39"/>
    <w:rsid w:val="008C544E"/>
    <w:rsid w:val="008C5AE1"/>
    <w:rsid w:val="008C5D8D"/>
    <w:rsid w:val="008C5DD0"/>
    <w:rsid w:val="008C67CC"/>
    <w:rsid w:val="008C75E3"/>
    <w:rsid w:val="008C7DE6"/>
    <w:rsid w:val="008D0674"/>
    <w:rsid w:val="008D0C62"/>
    <w:rsid w:val="008D18E2"/>
    <w:rsid w:val="008D1B03"/>
    <w:rsid w:val="008D1FC2"/>
    <w:rsid w:val="008D2A79"/>
    <w:rsid w:val="008D2AA3"/>
    <w:rsid w:val="008D32FB"/>
    <w:rsid w:val="008D33D4"/>
    <w:rsid w:val="008D44F3"/>
    <w:rsid w:val="008D4902"/>
    <w:rsid w:val="008D4C55"/>
    <w:rsid w:val="008D5258"/>
    <w:rsid w:val="008D6A56"/>
    <w:rsid w:val="008D6D98"/>
    <w:rsid w:val="008D76AC"/>
    <w:rsid w:val="008D78FC"/>
    <w:rsid w:val="008E0BD0"/>
    <w:rsid w:val="008E0F62"/>
    <w:rsid w:val="008E19F2"/>
    <w:rsid w:val="008E1B21"/>
    <w:rsid w:val="008E22AD"/>
    <w:rsid w:val="008E2618"/>
    <w:rsid w:val="008E2C8B"/>
    <w:rsid w:val="008E2E0F"/>
    <w:rsid w:val="008E2EB5"/>
    <w:rsid w:val="008E307A"/>
    <w:rsid w:val="008E3952"/>
    <w:rsid w:val="008E3CB5"/>
    <w:rsid w:val="008E3D71"/>
    <w:rsid w:val="008E3E63"/>
    <w:rsid w:val="008E4498"/>
    <w:rsid w:val="008E44BF"/>
    <w:rsid w:val="008E4873"/>
    <w:rsid w:val="008E4BA0"/>
    <w:rsid w:val="008E52D8"/>
    <w:rsid w:val="008E5613"/>
    <w:rsid w:val="008E58D4"/>
    <w:rsid w:val="008E5AB5"/>
    <w:rsid w:val="008E5EAA"/>
    <w:rsid w:val="008E676B"/>
    <w:rsid w:val="008E67FF"/>
    <w:rsid w:val="008E6DCA"/>
    <w:rsid w:val="008E7AF0"/>
    <w:rsid w:val="008F0073"/>
    <w:rsid w:val="008F0406"/>
    <w:rsid w:val="008F0777"/>
    <w:rsid w:val="008F0B83"/>
    <w:rsid w:val="008F0D10"/>
    <w:rsid w:val="008F157C"/>
    <w:rsid w:val="008F1961"/>
    <w:rsid w:val="008F2484"/>
    <w:rsid w:val="008F2906"/>
    <w:rsid w:val="008F2B2E"/>
    <w:rsid w:val="008F2E05"/>
    <w:rsid w:val="008F300C"/>
    <w:rsid w:val="008F37CE"/>
    <w:rsid w:val="008F39C5"/>
    <w:rsid w:val="008F3ABB"/>
    <w:rsid w:val="008F3E9F"/>
    <w:rsid w:val="008F42C3"/>
    <w:rsid w:val="008F42FE"/>
    <w:rsid w:val="008F52E2"/>
    <w:rsid w:val="008F5538"/>
    <w:rsid w:val="008F5641"/>
    <w:rsid w:val="008F56FB"/>
    <w:rsid w:val="008F600F"/>
    <w:rsid w:val="008F6A56"/>
    <w:rsid w:val="008F6D7F"/>
    <w:rsid w:val="00900201"/>
    <w:rsid w:val="00900442"/>
    <w:rsid w:val="00900E3E"/>
    <w:rsid w:val="00900F9C"/>
    <w:rsid w:val="00901C25"/>
    <w:rsid w:val="00901EE5"/>
    <w:rsid w:val="00903404"/>
    <w:rsid w:val="00903E57"/>
    <w:rsid w:val="00904115"/>
    <w:rsid w:val="0090472F"/>
    <w:rsid w:val="00905297"/>
    <w:rsid w:val="00905900"/>
    <w:rsid w:val="00905DE4"/>
    <w:rsid w:val="0090647A"/>
    <w:rsid w:val="009065DC"/>
    <w:rsid w:val="009067A8"/>
    <w:rsid w:val="00906D18"/>
    <w:rsid w:val="00907068"/>
    <w:rsid w:val="009070C1"/>
    <w:rsid w:val="009071FC"/>
    <w:rsid w:val="0090727F"/>
    <w:rsid w:val="009077A1"/>
    <w:rsid w:val="00907899"/>
    <w:rsid w:val="009079BE"/>
    <w:rsid w:val="0091049D"/>
    <w:rsid w:val="00910F7F"/>
    <w:rsid w:val="00911314"/>
    <w:rsid w:val="0091153A"/>
    <w:rsid w:val="00911A43"/>
    <w:rsid w:val="0091244D"/>
    <w:rsid w:val="009127D5"/>
    <w:rsid w:val="00913494"/>
    <w:rsid w:val="009139DC"/>
    <w:rsid w:val="00913ACF"/>
    <w:rsid w:val="00913DE1"/>
    <w:rsid w:val="00914655"/>
    <w:rsid w:val="00914918"/>
    <w:rsid w:val="009152AF"/>
    <w:rsid w:val="009154A1"/>
    <w:rsid w:val="00915630"/>
    <w:rsid w:val="009157CE"/>
    <w:rsid w:val="00915DA4"/>
    <w:rsid w:val="00916803"/>
    <w:rsid w:val="00917524"/>
    <w:rsid w:val="00917931"/>
    <w:rsid w:val="00920A39"/>
    <w:rsid w:val="00920BCA"/>
    <w:rsid w:val="00922160"/>
    <w:rsid w:val="00922255"/>
    <w:rsid w:val="0092274D"/>
    <w:rsid w:val="009229CC"/>
    <w:rsid w:val="00922B2D"/>
    <w:rsid w:val="00923072"/>
    <w:rsid w:val="00923681"/>
    <w:rsid w:val="009238C2"/>
    <w:rsid w:val="00923A9A"/>
    <w:rsid w:val="00923C49"/>
    <w:rsid w:val="00924B37"/>
    <w:rsid w:val="0092521A"/>
    <w:rsid w:val="0092524B"/>
    <w:rsid w:val="009254A7"/>
    <w:rsid w:val="009259F7"/>
    <w:rsid w:val="009259FE"/>
    <w:rsid w:val="00925B41"/>
    <w:rsid w:val="0092633E"/>
    <w:rsid w:val="00926782"/>
    <w:rsid w:val="00926A36"/>
    <w:rsid w:val="00926AAD"/>
    <w:rsid w:val="00926BAD"/>
    <w:rsid w:val="009272A3"/>
    <w:rsid w:val="009274CA"/>
    <w:rsid w:val="009278E1"/>
    <w:rsid w:val="0093072D"/>
    <w:rsid w:val="00930A97"/>
    <w:rsid w:val="0093117B"/>
    <w:rsid w:val="0093147B"/>
    <w:rsid w:val="0093291B"/>
    <w:rsid w:val="00932B92"/>
    <w:rsid w:val="00932C58"/>
    <w:rsid w:val="009331BF"/>
    <w:rsid w:val="0093388B"/>
    <w:rsid w:val="009339CC"/>
    <w:rsid w:val="00933E2E"/>
    <w:rsid w:val="009340B0"/>
    <w:rsid w:val="0093444D"/>
    <w:rsid w:val="00934BE8"/>
    <w:rsid w:val="00936009"/>
    <w:rsid w:val="0093685B"/>
    <w:rsid w:val="00936997"/>
    <w:rsid w:val="00936F34"/>
    <w:rsid w:val="00936F38"/>
    <w:rsid w:val="00937238"/>
    <w:rsid w:val="00937372"/>
    <w:rsid w:val="009379A0"/>
    <w:rsid w:val="00937A63"/>
    <w:rsid w:val="00940428"/>
    <w:rsid w:val="009408AB"/>
    <w:rsid w:val="00940B06"/>
    <w:rsid w:val="00940B64"/>
    <w:rsid w:val="00940F73"/>
    <w:rsid w:val="0094118B"/>
    <w:rsid w:val="00941959"/>
    <w:rsid w:val="00941F84"/>
    <w:rsid w:val="00942115"/>
    <w:rsid w:val="009421DC"/>
    <w:rsid w:val="00943081"/>
    <w:rsid w:val="009434DE"/>
    <w:rsid w:val="009437A1"/>
    <w:rsid w:val="00943993"/>
    <w:rsid w:val="00943F7A"/>
    <w:rsid w:val="0094448C"/>
    <w:rsid w:val="00944C6E"/>
    <w:rsid w:val="00944D19"/>
    <w:rsid w:val="00945D13"/>
    <w:rsid w:val="009462EE"/>
    <w:rsid w:val="00946B01"/>
    <w:rsid w:val="00946C36"/>
    <w:rsid w:val="00947553"/>
    <w:rsid w:val="00947B77"/>
    <w:rsid w:val="00947E61"/>
    <w:rsid w:val="00950389"/>
    <w:rsid w:val="00950513"/>
    <w:rsid w:val="00950F08"/>
    <w:rsid w:val="0095184D"/>
    <w:rsid w:val="00951F5B"/>
    <w:rsid w:val="00952150"/>
    <w:rsid w:val="009524B5"/>
    <w:rsid w:val="00952952"/>
    <w:rsid w:val="00952A01"/>
    <w:rsid w:val="00952C77"/>
    <w:rsid w:val="00953B5C"/>
    <w:rsid w:val="009543BB"/>
    <w:rsid w:val="00954751"/>
    <w:rsid w:val="00954CB5"/>
    <w:rsid w:val="009551CB"/>
    <w:rsid w:val="00955A9B"/>
    <w:rsid w:val="009566CD"/>
    <w:rsid w:val="00956740"/>
    <w:rsid w:val="00956875"/>
    <w:rsid w:val="00956CBA"/>
    <w:rsid w:val="0095708A"/>
    <w:rsid w:val="00957971"/>
    <w:rsid w:val="00960584"/>
    <w:rsid w:val="00960C4C"/>
    <w:rsid w:val="009615D5"/>
    <w:rsid w:val="00961A42"/>
    <w:rsid w:val="00961ABE"/>
    <w:rsid w:val="00961D24"/>
    <w:rsid w:val="009621E2"/>
    <w:rsid w:val="00962253"/>
    <w:rsid w:val="00962754"/>
    <w:rsid w:val="009629BF"/>
    <w:rsid w:val="009630C3"/>
    <w:rsid w:val="00963207"/>
    <w:rsid w:val="009646DA"/>
    <w:rsid w:val="0096492F"/>
    <w:rsid w:val="00964C59"/>
    <w:rsid w:val="00964E50"/>
    <w:rsid w:val="00964FD1"/>
    <w:rsid w:val="00965032"/>
    <w:rsid w:val="009658F1"/>
    <w:rsid w:val="00965A96"/>
    <w:rsid w:val="00966211"/>
    <w:rsid w:val="00966553"/>
    <w:rsid w:val="00966A93"/>
    <w:rsid w:val="00966F6B"/>
    <w:rsid w:val="009702D6"/>
    <w:rsid w:val="00972168"/>
    <w:rsid w:val="009722D4"/>
    <w:rsid w:val="0097294D"/>
    <w:rsid w:val="00972980"/>
    <w:rsid w:val="00972A76"/>
    <w:rsid w:val="00972D3C"/>
    <w:rsid w:val="00973061"/>
    <w:rsid w:val="009738BE"/>
    <w:rsid w:val="00974484"/>
    <w:rsid w:val="00974C6A"/>
    <w:rsid w:val="00974DDE"/>
    <w:rsid w:val="00974E98"/>
    <w:rsid w:val="0097507A"/>
    <w:rsid w:val="009757BA"/>
    <w:rsid w:val="00976440"/>
    <w:rsid w:val="0097688C"/>
    <w:rsid w:val="00976D6E"/>
    <w:rsid w:val="0097788D"/>
    <w:rsid w:val="00977D81"/>
    <w:rsid w:val="00977EFE"/>
    <w:rsid w:val="00980295"/>
    <w:rsid w:val="009802C2"/>
    <w:rsid w:val="009806C0"/>
    <w:rsid w:val="00980717"/>
    <w:rsid w:val="00980D32"/>
    <w:rsid w:val="009815A2"/>
    <w:rsid w:val="00981812"/>
    <w:rsid w:val="00981E91"/>
    <w:rsid w:val="009820A7"/>
    <w:rsid w:val="00982117"/>
    <w:rsid w:val="009822B0"/>
    <w:rsid w:val="0098275C"/>
    <w:rsid w:val="00982A44"/>
    <w:rsid w:val="00982E81"/>
    <w:rsid w:val="0098315B"/>
    <w:rsid w:val="00983393"/>
    <w:rsid w:val="009836DC"/>
    <w:rsid w:val="009837AC"/>
    <w:rsid w:val="009838B3"/>
    <w:rsid w:val="009839B7"/>
    <w:rsid w:val="00983A7D"/>
    <w:rsid w:val="00984071"/>
    <w:rsid w:val="009847E8"/>
    <w:rsid w:val="00985121"/>
    <w:rsid w:val="00985A7F"/>
    <w:rsid w:val="00985B91"/>
    <w:rsid w:val="00986835"/>
    <w:rsid w:val="009868D1"/>
    <w:rsid w:val="00986BD5"/>
    <w:rsid w:val="00987170"/>
    <w:rsid w:val="0098744E"/>
    <w:rsid w:val="00987F56"/>
    <w:rsid w:val="00990206"/>
    <w:rsid w:val="009904DC"/>
    <w:rsid w:val="00990594"/>
    <w:rsid w:val="00990DDA"/>
    <w:rsid w:val="00990F90"/>
    <w:rsid w:val="0099182D"/>
    <w:rsid w:val="0099195D"/>
    <w:rsid w:val="00991985"/>
    <w:rsid w:val="00992AEE"/>
    <w:rsid w:val="00993078"/>
    <w:rsid w:val="00993B0D"/>
    <w:rsid w:val="00993BCB"/>
    <w:rsid w:val="00993E90"/>
    <w:rsid w:val="009940BB"/>
    <w:rsid w:val="0099463D"/>
    <w:rsid w:val="009947AF"/>
    <w:rsid w:val="00995C3B"/>
    <w:rsid w:val="00996DDB"/>
    <w:rsid w:val="009972DB"/>
    <w:rsid w:val="009974EF"/>
    <w:rsid w:val="0099776B"/>
    <w:rsid w:val="009979F8"/>
    <w:rsid w:val="00997E14"/>
    <w:rsid w:val="009A0F5B"/>
    <w:rsid w:val="009A1502"/>
    <w:rsid w:val="009A152B"/>
    <w:rsid w:val="009A17ED"/>
    <w:rsid w:val="009A1F16"/>
    <w:rsid w:val="009A230D"/>
    <w:rsid w:val="009A276B"/>
    <w:rsid w:val="009A27FE"/>
    <w:rsid w:val="009A3EFF"/>
    <w:rsid w:val="009A43E8"/>
    <w:rsid w:val="009A43F8"/>
    <w:rsid w:val="009A48ED"/>
    <w:rsid w:val="009A4CDC"/>
    <w:rsid w:val="009A511C"/>
    <w:rsid w:val="009A5192"/>
    <w:rsid w:val="009A531B"/>
    <w:rsid w:val="009A55A3"/>
    <w:rsid w:val="009A592C"/>
    <w:rsid w:val="009A62D1"/>
    <w:rsid w:val="009A6482"/>
    <w:rsid w:val="009A6D5A"/>
    <w:rsid w:val="009A7199"/>
    <w:rsid w:val="009A7EE3"/>
    <w:rsid w:val="009B0540"/>
    <w:rsid w:val="009B0C07"/>
    <w:rsid w:val="009B2570"/>
    <w:rsid w:val="009B297F"/>
    <w:rsid w:val="009B2E72"/>
    <w:rsid w:val="009B305D"/>
    <w:rsid w:val="009B3376"/>
    <w:rsid w:val="009B37E3"/>
    <w:rsid w:val="009B39B6"/>
    <w:rsid w:val="009B404D"/>
    <w:rsid w:val="009B4134"/>
    <w:rsid w:val="009B4612"/>
    <w:rsid w:val="009B47A7"/>
    <w:rsid w:val="009B4B20"/>
    <w:rsid w:val="009B5134"/>
    <w:rsid w:val="009B5B61"/>
    <w:rsid w:val="009B69F9"/>
    <w:rsid w:val="009B706A"/>
    <w:rsid w:val="009B7A7F"/>
    <w:rsid w:val="009B7D99"/>
    <w:rsid w:val="009C0254"/>
    <w:rsid w:val="009C0310"/>
    <w:rsid w:val="009C0457"/>
    <w:rsid w:val="009C0539"/>
    <w:rsid w:val="009C0859"/>
    <w:rsid w:val="009C1287"/>
    <w:rsid w:val="009C1531"/>
    <w:rsid w:val="009C1E92"/>
    <w:rsid w:val="009C2692"/>
    <w:rsid w:val="009C2DA6"/>
    <w:rsid w:val="009C3103"/>
    <w:rsid w:val="009C3174"/>
    <w:rsid w:val="009C3ACD"/>
    <w:rsid w:val="009C3BCE"/>
    <w:rsid w:val="009C3E07"/>
    <w:rsid w:val="009C44B2"/>
    <w:rsid w:val="009C5179"/>
    <w:rsid w:val="009C56E7"/>
    <w:rsid w:val="009C57F9"/>
    <w:rsid w:val="009C587F"/>
    <w:rsid w:val="009C5A18"/>
    <w:rsid w:val="009C6261"/>
    <w:rsid w:val="009C6355"/>
    <w:rsid w:val="009C6AD5"/>
    <w:rsid w:val="009C757A"/>
    <w:rsid w:val="009C77B6"/>
    <w:rsid w:val="009C77DC"/>
    <w:rsid w:val="009C7E4F"/>
    <w:rsid w:val="009C7FB9"/>
    <w:rsid w:val="009D0621"/>
    <w:rsid w:val="009D090E"/>
    <w:rsid w:val="009D0C27"/>
    <w:rsid w:val="009D29C3"/>
    <w:rsid w:val="009D2EF3"/>
    <w:rsid w:val="009D3309"/>
    <w:rsid w:val="009D4A4D"/>
    <w:rsid w:val="009D4D0D"/>
    <w:rsid w:val="009D5959"/>
    <w:rsid w:val="009D5D99"/>
    <w:rsid w:val="009D6293"/>
    <w:rsid w:val="009D68CD"/>
    <w:rsid w:val="009D7145"/>
    <w:rsid w:val="009D7997"/>
    <w:rsid w:val="009D7D13"/>
    <w:rsid w:val="009D7D8B"/>
    <w:rsid w:val="009E05C7"/>
    <w:rsid w:val="009E13A7"/>
    <w:rsid w:val="009E1581"/>
    <w:rsid w:val="009E158A"/>
    <w:rsid w:val="009E19B2"/>
    <w:rsid w:val="009E19D5"/>
    <w:rsid w:val="009E1A8A"/>
    <w:rsid w:val="009E240E"/>
    <w:rsid w:val="009E24C3"/>
    <w:rsid w:val="009E293D"/>
    <w:rsid w:val="009E2E97"/>
    <w:rsid w:val="009E3FDD"/>
    <w:rsid w:val="009E444B"/>
    <w:rsid w:val="009E4721"/>
    <w:rsid w:val="009E492E"/>
    <w:rsid w:val="009E499C"/>
    <w:rsid w:val="009E4A38"/>
    <w:rsid w:val="009E4B12"/>
    <w:rsid w:val="009E4E93"/>
    <w:rsid w:val="009E4EB6"/>
    <w:rsid w:val="009E5F16"/>
    <w:rsid w:val="009E6530"/>
    <w:rsid w:val="009E65B6"/>
    <w:rsid w:val="009E73B5"/>
    <w:rsid w:val="009E7FE9"/>
    <w:rsid w:val="009F0439"/>
    <w:rsid w:val="009F06BB"/>
    <w:rsid w:val="009F0DBC"/>
    <w:rsid w:val="009F123C"/>
    <w:rsid w:val="009F140F"/>
    <w:rsid w:val="009F2F3D"/>
    <w:rsid w:val="009F3AAE"/>
    <w:rsid w:val="009F4795"/>
    <w:rsid w:val="009F503F"/>
    <w:rsid w:val="009F61A2"/>
    <w:rsid w:val="009F62A5"/>
    <w:rsid w:val="009F69C4"/>
    <w:rsid w:val="009F6BB9"/>
    <w:rsid w:val="009F6BC0"/>
    <w:rsid w:val="009F73C2"/>
    <w:rsid w:val="00A001C8"/>
    <w:rsid w:val="00A00AD7"/>
    <w:rsid w:val="00A01078"/>
    <w:rsid w:val="00A01C47"/>
    <w:rsid w:val="00A01C84"/>
    <w:rsid w:val="00A0278D"/>
    <w:rsid w:val="00A02860"/>
    <w:rsid w:val="00A03B16"/>
    <w:rsid w:val="00A03D81"/>
    <w:rsid w:val="00A0436E"/>
    <w:rsid w:val="00A04734"/>
    <w:rsid w:val="00A04D6E"/>
    <w:rsid w:val="00A04DEE"/>
    <w:rsid w:val="00A04E7D"/>
    <w:rsid w:val="00A0576E"/>
    <w:rsid w:val="00A0589D"/>
    <w:rsid w:val="00A0606D"/>
    <w:rsid w:val="00A06BD3"/>
    <w:rsid w:val="00A076AA"/>
    <w:rsid w:val="00A101CE"/>
    <w:rsid w:val="00A1080B"/>
    <w:rsid w:val="00A10FBF"/>
    <w:rsid w:val="00A11559"/>
    <w:rsid w:val="00A1162D"/>
    <w:rsid w:val="00A12138"/>
    <w:rsid w:val="00A12574"/>
    <w:rsid w:val="00A131CB"/>
    <w:rsid w:val="00A13ABF"/>
    <w:rsid w:val="00A14F48"/>
    <w:rsid w:val="00A1522B"/>
    <w:rsid w:val="00A16941"/>
    <w:rsid w:val="00A1701B"/>
    <w:rsid w:val="00A201BE"/>
    <w:rsid w:val="00A20720"/>
    <w:rsid w:val="00A20A0E"/>
    <w:rsid w:val="00A21297"/>
    <w:rsid w:val="00A21D0E"/>
    <w:rsid w:val="00A22329"/>
    <w:rsid w:val="00A23052"/>
    <w:rsid w:val="00A231EE"/>
    <w:rsid w:val="00A23C64"/>
    <w:rsid w:val="00A244B0"/>
    <w:rsid w:val="00A2475D"/>
    <w:rsid w:val="00A247F2"/>
    <w:rsid w:val="00A25815"/>
    <w:rsid w:val="00A25840"/>
    <w:rsid w:val="00A26B59"/>
    <w:rsid w:val="00A26F45"/>
    <w:rsid w:val="00A27292"/>
    <w:rsid w:val="00A30AEE"/>
    <w:rsid w:val="00A31221"/>
    <w:rsid w:val="00A312C4"/>
    <w:rsid w:val="00A31DEF"/>
    <w:rsid w:val="00A32E6B"/>
    <w:rsid w:val="00A34071"/>
    <w:rsid w:val="00A34CBD"/>
    <w:rsid w:val="00A34DF9"/>
    <w:rsid w:val="00A34F0B"/>
    <w:rsid w:val="00A354CF"/>
    <w:rsid w:val="00A35D2F"/>
    <w:rsid w:val="00A361B9"/>
    <w:rsid w:val="00A3621E"/>
    <w:rsid w:val="00A364D6"/>
    <w:rsid w:val="00A36E1F"/>
    <w:rsid w:val="00A3776B"/>
    <w:rsid w:val="00A37D3A"/>
    <w:rsid w:val="00A40622"/>
    <w:rsid w:val="00A40657"/>
    <w:rsid w:val="00A409AE"/>
    <w:rsid w:val="00A41F7A"/>
    <w:rsid w:val="00A42485"/>
    <w:rsid w:val="00A4268B"/>
    <w:rsid w:val="00A428FD"/>
    <w:rsid w:val="00A42AA3"/>
    <w:rsid w:val="00A435CE"/>
    <w:rsid w:val="00A437E6"/>
    <w:rsid w:val="00A43B33"/>
    <w:rsid w:val="00A440CD"/>
    <w:rsid w:val="00A45042"/>
    <w:rsid w:val="00A452FD"/>
    <w:rsid w:val="00A456C5"/>
    <w:rsid w:val="00A45B77"/>
    <w:rsid w:val="00A45BEB"/>
    <w:rsid w:val="00A46754"/>
    <w:rsid w:val="00A46992"/>
    <w:rsid w:val="00A470B1"/>
    <w:rsid w:val="00A473C7"/>
    <w:rsid w:val="00A477C1"/>
    <w:rsid w:val="00A50393"/>
    <w:rsid w:val="00A50BCC"/>
    <w:rsid w:val="00A515DF"/>
    <w:rsid w:val="00A51E82"/>
    <w:rsid w:val="00A5248E"/>
    <w:rsid w:val="00A525AB"/>
    <w:rsid w:val="00A52CAB"/>
    <w:rsid w:val="00A539A4"/>
    <w:rsid w:val="00A54268"/>
    <w:rsid w:val="00A54338"/>
    <w:rsid w:val="00A54580"/>
    <w:rsid w:val="00A54EED"/>
    <w:rsid w:val="00A55412"/>
    <w:rsid w:val="00A55495"/>
    <w:rsid w:val="00A55525"/>
    <w:rsid w:val="00A55784"/>
    <w:rsid w:val="00A560D8"/>
    <w:rsid w:val="00A568D9"/>
    <w:rsid w:val="00A56E36"/>
    <w:rsid w:val="00A57693"/>
    <w:rsid w:val="00A5773E"/>
    <w:rsid w:val="00A57CB5"/>
    <w:rsid w:val="00A57FF2"/>
    <w:rsid w:val="00A609FD"/>
    <w:rsid w:val="00A60B5B"/>
    <w:rsid w:val="00A60FE4"/>
    <w:rsid w:val="00A61155"/>
    <w:rsid w:val="00A6162F"/>
    <w:rsid w:val="00A61769"/>
    <w:rsid w:val="00A6346E"/>
    <w:rsid w:val="00A646A4"/>
    <w:rsid w:val="00A64DAA"/>
    <w:rsid w:val="00A653E6"/>
    <w:rsid w:val="00A65441"/>
    <w:rsid w:val="00A6611E"/>
    <w:rsid w:val="00A667F3"/>
    <w:rsid w:val="00A66AFB"/>
    <w:rsid w:val="00A66B66"/>
    <w:rsid w:val="00A67063"/>
    <w:rsid w:val="00A67206"/>
    <w:rsid w:val="00A675FF"/>
    <w:rsid w:val="00A67A75"/>
    <w:rsid w:val="00A67D12"/>
    <w:rsid w:val="00A700E9"/>
    <w:rsid w:val="00A701CA"/>
    <w:rsid w:val="00A7094B"/>
    <w:rsid w:val="00A70D1D"/>
    <w:rsid w:val="00A70D71"/>
    <w:rsid w:val="00A711A8"/>
    <w:rsid w:val="00A71485"/>
    <w:rsid w:val="00A71533"/>
    <w:rsid w:val="00A7199E"/>
    <w:rsid w:val="00A71CCC"/>
    <w:rsid w:val="00A7247E"/>
    <w:rsid w:val="00A72AD1"/>
    <w:rsid w:val="00A72B58"/>
    <w:rsid w:val="00A733F8"/>
    <w:rsid w:val="00A73B53"/>
    <w:rsid w:val="00A74CFE"/>
    <w:rsid w:val="00A7503F"/>
    <w:rsid w:val="00A751E1"/>
    <w:rsid w:val="00A753D2"/>
    <w:rsid w:val="00A757E1"/>
    <w:rsid w:val="00A75C27"/>
    <w:rsid w:val="00A7629C"/>
    <w:rsid w:val="00A76C04"/>
    <w:rsid w:val="00A7704C"/>
    <w:rsid w:val="00A7746F"/>
    <w:rsid w:val="00A777BA"/>
    <w:rsid w:val="00A77E0E"/>
    <w:rsid w:val="00A77FF7"/>
    <w:rsid w:val="00A801BA"/>
    <w:rsid w:val="00A802DF"/>
    <w:rsid w:val="00A816E9"/>
    <w:rsid w:val="00A81898"/>
    <w:rsid w:val="00A82624"/>
    <w:rsid w:val="00A82AB6"/>
    <w:rsid w:val="00A82D7F"/>
    <w:rsid w:val="00A82E0E"/>
    <w:rsid w:val="00A834BE"/>
    <w:rsid w:val="00A8351E"/>
    <w:rsid w:val="00A83B45"/>
    <w:rsid w:val="00A84261"/>
    <w:rsid w:val="00A8474C"/>
    <w:rsid w:val="00A84E05"/>
    <w:rsid w:val="00A8506F"/>
    <w:rsid w:val="00A8667E"/>
    <w:rsid w:val="00A86882"/>
    <w:rsid w:val="00A87858"/>
    <w:rsid w:val="00A9023B"/>
    <w:rsid w:val="00A90A80"/>
    <w:rsid w:val="00A90E2A"/>
    <w:rsid w:val="00A91F93"/>
    <w:rsid w:val="00A929B8"/>
    <w:rsid w:val="00A92E24"/>
    <w:rsid w:val="00A9389B"/>
    <w:rsid w:val="00A93E4B"/>
    <w:rsid w:val="00A9451B"/>
    <w:rsid w:val="00A946A2"/>
    <w:rsid w:val="00A9531F"/>
    <w:rsid w:val="00A95429"/>
    <w:rsid w:val="00A956A9"/>
    <w:rsid w:val="00A957F5"/>
    <w:rsid w:val="00A95B55"/>
    <w:rsid w:val="00A95C41"/>
    <w:rsid w:val="00AA003F"/>
    <w:rsid w:val="00AA07B2"/>
    <w:rsid w:val="00AA21BF"/>
    <w:rsid w:val="00AA2409"/>
    <w:rsid w:val="00AA2AC2"/>
    <w:rsid w:val="00AA38D2"/>
    <w:rsid w:val="00AA3C90"/>
    <w:rsid w:val="00AA425E"/>
    <w:rsid w:val="00AA46AB"/>
    <w:rsid w:val="00AA4B32"/>
    <w:rsid w:val="00AA4CFB"/>
    <w:rsid w:val="00AA5317"/>
    <w:rsid w:val="00AA533D"/>
    <w:rsid w:val="00AA5860"/>
    <w:rsid w:val="00AA60A2"/>
    <w:rsid w:val="00AA68D6"/>
    <w:rsid w:val="00AA7538"/>
    <w:rsid w:val="00AA77F5"/>
    <w:rsid w:val="00AB08BD"/>
    <w:rsid w:val="00AB0A10"/>
    <w:rsid w:val="00AB0AAB"/>
    <w:rsid w:val="00AB13C3"/>
    <w:rsid w:val="00AB1797"/>
    <w:rsid w:val="00AB1818"/>
    <w:rsid w:val="00AB19BC"/>
    <w:rsid w:val="00AB202D"/>
    <w:rsid w:val="00AB26ED"/>
    <w:rsid w:val="00AB2A19"/>
    <w:rsid w:val="00AB2D8E"/>
    <w:rsid w:val="00AB35BD"/>
    <w:rsid w:val="00AB3A8A"/>
    <w:rsid w:val="00AB3D26"/>
    <w:rsid w:val="00AB507A"/>
    <w:rsid w:val="00AB5F28"/>
    <w:rsid w:val="00AB64A7"/>
    <w:rsid w:val="00AB6591"/>
    <w:rsid w:val="00AB6833"/>
    <w:rsid w:val="00AB6949"/>
    <w:rsid w:val="00AB6DAE"/>
    <w:rsid w:val="00AB7642"/>
    <w:rsid w:val="00AB7915"/>
    <w:rsid w:val="00AC03FE"/>
    <w:rsid w:val="00AC1077"/>
    <w:rsid w:val="00AC21CA"/>
    <w:rsid w:val="00AC2466"/>
    <w:rsid w:val="00AC2662"/>
    <w:rsid w:val="00AC2B48"/>
    <w:rsid w:val="00AC2E54"/>
    <w:rsid w:val="00AC32BA"/>
    <w:rsid w:val="00AC3433"/>
    <w:rsid w:val="00AC4096"/>
    <w:rsid w:val="00AC4425"/>
    <w:rsid w:val="00AC471C"/>
    <w:rsid w:val="00AC4E68"/>
    <w:rsid w:val="00AC53EA"/>
    <w:rsid w:val="00AC5E52"/>
    <w:rsid w:val="00AC5F42"/>
    <w:rsid w:val="00AC676F"/>
    <w:rsid w:val="00AC6937"/>
    <w:rsid w:val="00AC6E7D"/>
    <w:rsid w:val="00AC752C"/>
    <w:rsid w:val="00AD0599"/>
    <w:rsid w:val="00AD071F"/>
    <w:rsid w:val="00AD07D5"/>
    <w:rsid w:val="00AD16DB"/>
    <w:rsid w:val="00AD2228"/>
    <w:rsid w:val="00AD24BC"/>
    <w:rsid w:val="00AD2689"/>
    <w:rsid w:val="00AD2AD9"/>
    <w:rsid w:val="00AD2EC4"/>
    <w:rsid w:val="00AD304C"/>
    <w:rsid w:val="00AD43EE"/>
    <w:rsid w:val="00AD53C3"/>
    <w:rsid w:val="00AD5409"/>
    <w:rsid w:val="00AD57FB"/>
    <w:rsid w:val="00AD618A"/>
    <w:rsid w:val="00AD6214"/>
    <w:rsid w:val="00AD6C4A"/>
    <w:rsid w:val="00AD6E63"/>
    <w:rsid w:val="00AD6F72"/>
    <w:rsid w:val="00AD7B0A"/>
    <w:rsid w:val="00AD7D46"/>
    <w:rsid w:val="00AE03C9"/>
    <w:rsid w:val="00AE06F5"/>
    <w:rsid w:val="00AE0815"/>
    <w:rsid w:val="00AE0A03"/>
    <w:rsid w:val="00AE1C9A"/>
    <w:rsid w:val="00AE2204"/>
    <w:rsid w:val="00AE28F8"/>
    <w:rsid w:val="00AE3B3F"/>
    <w:rsid w:val="00AE4099"/>
    <w:rsid w:val="00AE4133"/>
    <w:rsid w:val="00AE41AD"/>
    <w:rsid w:val="00AE4239"/>
    <w:rsid w:val="00AE5074"/>
    <w:rsid w:val="00AE61E2"/>
    <w:rsid w:val="00AE62E5"/>
    <w:rsid w:val="00AE64C0"/>
    <w:rsid w:val="00AE6ACF"/>
    <w:rsid w:val="00AE6D22"/>
    <w:rsid w:val="00AE6FDE"/>
    <w:rsid w:val="00AE7262"/>
    <w:rsid w:val="00AE7705"/>
    <w:rsid w:val="00AF0EF5"/>
    <w:rsid w:val="00AF0F41"/>
    <w:rsid w:val="00AF1157"/>
    <w:rsid w:val="00AF1635"/>
    <w:rsid w:val="00AF2236"/>
    <w:rsid w:val="00AF29D8"/>
    <w:rsid w:val="00AF310B"/>
    <w:rsid w:val="00AF31BD"/>
    <w:rsid w:val="00AF3602"/>
    <w:rsid w:val="00AF3C02"/>
    <w:rsid w:val="00AF430A"/>
    <w:rsid w:val="00AF4AE3"/>
    <w:rsid w:val="00AF5522"/>
    <w:rsid w:val="00AF56A3"/>
    <w:rsid w:val="00AF56B1"/>
    <w:rsid w:val="00AF5A04"/>
    <w:rsid w:val="00AF6780"/>
    <w:rsid w:val="00AF6824"/>
    <w:rsid w:val="00AF6EDE"/>
    <w:rsid w:val="00AF7916"/>
    <w:rsid w:val="00AF7DA9"/>
    <w:rsid w:val="00B003BD"/>
    <w:rsid w:val="00B0060B"/>
    <w:rsid w:val="00B00802"/>
    <w:rsid w:val="00B00968"/>
    <w:rsid w:val="00B00AA4"/>
    <w:rsid w:val="00B00D71"/>
    <w:rsid w:val="00B00EAB"/>
    <w:rsid w:val="00B01441"/>
    <w:rsid w:val="00B014D5"/>
    <w:rsid w:val="00B01973"/>
    <w:rsid w:val="00B01A99"/>
    <w:rsid w:val="00B01DFC"/>
    <w:rsid w:val="00B0276A"/>
    <w:rsid w:val="00B02D71"/>
    <w:rsid w:val="00B03191"/>
    <w:rsid w:val="00B0336C"/>
    <w:rsid w:val="00B03630"/>
    <w:rsid w:val="00B037EF"/>
    <w:rsid w:val="00B03E14"/>
    <w:rsid w:val="00B0446B"/>
    <w:rsid w:val="00B04BAD"/>
    <w:rsid w:val="00B04BE4"/>
    <w:rsid w:val="00B0523D"/>
    <w:rsid w:val="00B055D9"/>
    <w:rsid w:val="00B05EEC"/>
    <w:rsid w:val="00B06283"/>
    <w:rsid w:val="00B06552"/>
    <w:rsid w:val="00B0689A"/>
    <w:rsid w:val="00B06C08"/>
    <w:rsid w:val="00B078F3"/>
    <w:rsid w:val="00B10438"/>
    <w:rsid w:val="00B1061F"/>
    <w:rsid w:val="00B112D5"/>
    <w:rsid w:val="00B11439"/>
    <w:rsid w:val="00B11D78"/>
    <w:rsid w:val="00B12288"/>
    <w:rsid w:val="00B12485"/>
    <w:rsid w:val="00B12EA3"/>
    <w:rsid w:val="00B12EC1"/>
    <w:rsid w:val="00B131ED"/>
    <w:rsid w:val="00B133CE"/>
    <w:rsid w:val="00B1340B"/>
    <w:rsid w:val="00B14C1D"/>
    <w:rsid w:val="00B14E55"/>
    <w:rsid w:val="00B15238"/>
    <w:rsid w:val="00B15B48"/>
    <w:rsid w:val="00B1604B"/>
    <w:rsid w:val="00B16A63"/>
    <w:rsid w:val="00B16F38"/>
    <w:rsid w:val="00B17080"/>
    <w:rsid w:val="00B17191"/>
    <w:rsid w:val="00B1792D"/>
    <w:rsid w:val="00B17BF1"/>
    <w:rsid w:val="00B200A8"/>
    <w:rsid w:val="00B20ABE"/>
    <w:rsid w:val="00B20D2F"/>
    <w:rsid w:val="00B20E84"/>
    <w:rsid w:val="00B22780"/>
    <w:rsid w:val="00B22E58"/>
    <w:rsid w:val="00B230CA"/>
    <w:rsid w:val="00B23716"/>
    <w:rsid w:val="00B23A8E"/>
    <w:rsid w:val="00B24224"/>
    <w:rsid w:val="00B244EC"/>
    <w:rsid w:val="00B249B9"/>
    <w:rsid w:val="00B24A2B"/>
    <w:rsid w:val="00B24E5A"/>
    <w:rsid w:val="00B25539"/>
    <w:rsid w:val="00B265ED"/>
    <w:rsid w:val="00B2697F"/>
    <w:rsid w:val="00B269DE"/>
    <w:rsid w:val="00B26F73"/>
    <w:rsid w:val="00B27BF6"/>
    <w:rsid w:val="00B27C5C"/>
    <w:rsid w:val="00B305DC"/>
    <w:rsid w:val="00B308FD"/>
    <w:rsid w:val="00B31112"/>
    <w:rsid w:val="00B3163A"/>
    <w:rsid w:val="00B3189C"/>
    <w:rsid w:val="00B31DA2"/>
    <w:rsid w:val="00B31EEC"/>
    <w:rsid w:val="00B32ED7"/>
    <w:rsid w:val="00B33408"/>
    <w:rsid w:val="00B33743"/>
    <w:rsid w:val="00B33A25"/>
    <w:rsid w:val="00B33C68"/>
    <w:rsid w:val="00B33D6F"/>
    <w:rsid w:val="00B34A18"/>
    <w:rsid w:val="00B353E9"/>
    <w:rsid w:val="00B35B19"/>
    <w:rsid w:val="00B35C4C"/>
    <w:rsid w:val="00B36199"/>
    <w:rsid w:val="00B361A5"/>
    <w:rsid w:val="00B36519"/>
    <w:rsid w:val="00B3662E"/>
    <w:rsid w:val="00B36A8A"/>
    <w:rsid w:val="00B37061"/>
    <w:rsid w:val="00B370FF"/>
    <w:rsid w:val="00B372B4"/>
    <w:rsid w:val="00B37DF8"/>
    <w:rsid w:val="00B4103C"/>
    <w:rsid w:val="00B410FC"/>
    <w:rsid w:val="00B41B18"/>
    <w:rsid w:val="00B41DB0"/>
    <w:rsid w:val="00B42535"/>
    <w:rsid w:val="00B4299A"/>
    <w:rsid w:val="00B42B45"/>
    <w:rsid w:val="00B42DA4"/>
    <w:rsid w:val="00B43970"/>
    <w:rsid w:val="00B43E6A"/>
    <w:rsid w:val="00B44D05"/>
    <w:rsid w:val="00B4598F"/>
    <w:rsid w:val="00B45FAB"/>
    <w:rsid w:val="00B46867"/>
    <w:rsid w:val="00B46FE7"/>
    <w:rsid w:val="00B47F52"/>
    <w:rsid w:val="00B50029"/>
    <w:rsid w:val="00B50695"/>
    <w:rsid w:val="00B5115B"/>
    <w:rsid w:val="00B51F26"/>
    <w:rsid w:val="00B52C0E"/>
    <w:rsid w:val="00B5331C"/>
    <w:rsid w:val="00B53365"/>
    <w:rsid w:val="00B53DC9"/>
    <w:rsid w:val="00B54622"/>
    <w:rsid w:val="00B549B6"/>
    <w:rsid w:val="00B54C31"/>
    <w:rsid w:val="00B5592F"/>
    <w:rsid w:val="00B566A8"/>
    <w:rsid w:val="00B56897"/>
    <w:rsid w:val="00B56ADC"/>
    <w:rsid w:val="00B572C8"/>
    <w:rsid w:val="00B57C9C"/>
    <w:rsid w:val="00B57D37"/>
    <w:rsid w:val="00B6134B"/>
    <w:rsid w:val="00B6147C"/>
    <w:rsid w:val="00B61516"/>
    <w:rsid w:val="00B61BB0"/>
    <w:rsid w:val="00B62B06"/>
    <w:rsid w:val="00B62F06"/>
    <w:rsid w:val="00B630F0"/>
    <w:rsid w:val="00B632EF"/>
    <w:rsid w:val="00B6336A"/>
    <w:rsid w:val="00B63C18"/>
    <w:rsid w:val="00B64085"/>
    <w:rsid w:val="00B6461B"/>
    <w:rsid w:val="00B64670"/>
    <w:rsid w:val="00B64B6B"/>
    <w:rsid w:val="00B65202"/>
    <w:rsid w:val="00B65B84"/>
    <w:rsid w:val="00B6605A"/>
    <w:rsid w:val="00B66261"/>
    <w:rsid w:val="00B662C3"/>
    <w:rsid w:val="00B66B55"/>
    <w:rsid w:val="00B66EBD"/>
    <w:rsid w:val="00B6746C"/>
    <w:rsid w:val="00B675A8"/>
    <w:rsid w:val="00B6783D"/>
    <w:rsid w:val="00B70579"/>
    <w:rsid w:val="00B70838"/>
    <w:rsid w:val="00B70F9D"/>
    <w:rsid w:val="00B71D02"/>
    <w:rsid w:val="00B727CE"/>
    <w:rsid w:val="00B73406"/>
    <w:rsid w:val="00B746AB"/>
    <w:rsid w:val="00B74764"/>
    <w:rsid w:val="00B74C9B"/>
    <w:rsid w:val="00B75723"/>
    <w:rsid w:val="00B759B6"/>
    <w:rsid w:val="00B75E2B"/>
    <w:rsid w:val="00B76C90"/>
    <w:rsid w:val="00B76CDB"/>
    <w:rsid w:val="00B76EA9"/>
    <w:rsid w:val="00B77676"/>
    <w:rsid w:val="00B800A1"/>
    <w:rsid w:val="00B80307"/>
    <w:rsid w:val="00B80863"/>
    <w:rsid w:val="00B80C36"/>
    <w:rsid w:val="00B8133F"/>
    <w:rsid w:val="00B8151E"/>
    <w:rsid w:val="00B8163D"/>
    <w:rsid w:val="00B8243E"/>
    <w:rsid w:val="00B82C7E"/>
    <w:rsid w:val="00B83258"/>
    <w:rsid w:val="00B83AE6"/>
    <w:rsid w:val="00B84494"/>
    <w:rsid w:val="00B844DC"/>
    <w:rsid w:val="00B84525"/>
    <w:rsid w:val="00B845E9"/>
    <w:rsid w:val="00B84EA1"/>
    <w:rsid w:val="00B86431"/>
    <w:rsid w:val="00B8663C"/>
    <w:rsid w:val="00B867F4"/>
    <w:rsid w:val="00B86833"/>
    <w:rsid w:val="00B86DCC"/>
    <w:rsid w:val="00B86ED3"/>
    <w:rsid w:val="00B87028"/>
    <w:rsid w:val="00B8749B"/>
    <w:rsid w:val="00B87BDE"/>
    <w:rsid w:val="00B87C0A"/>
    <w:rsid w:val="00B87DED"/>
    <w:rsid w:val="00B9011B"/>
    <w:rsid w:val="00B9018C"/>
    <w:rsid w:val="00B903EE"/>
    <w:rsid w:val="00B906EC"/>
    <w:rsid w:val="00B90847"/>
    <w:rsid w:val="00B90A91"/>
    <w:rsid w:val="00B9127E"/>
    <w:rsid w:val="00B91389"/>
    <w:rsid w:val="00B914E8"/>
    <w:rsid w:val="00B91B2F"/>
    <w:rsid w:val="00B91D6E"/>
    <w:rsid w:val="00B92085"/>
    <w:rsid w:val="00B927D2"/>
    <w:rsid w:val="00B92AAB"/>
    <w:rsid w:val="00B933CA"/>
    <w:rsid w:val="00B9371E"/>
    <w:rsid w:val="00B93A20"/>
    <w:rsid w:val="00B93C94"/>
    <w:rsid w:val="00B93FB0"/>
    <w:rsid w:val="00B94132"/>
    <w:rsid w:val="00B9438D"/>
    <w:rsid w:val="00B9456A"/>
    <w:rsid w:val="00B94C7F"/>
    <w:rsid w:val="00B9520F"/>
    <w:rsid w:val="00B95697"/>
    <w:rsid w:val="00B96077"/>
    <w:rsid w:val="00B96CE8"/>
    <w:rsid w:val="00B97634"/>
    <w:rsid w:val="00B976A0"/>
    <w:rsid w:val="00B97B42"/>
    <w:rsid w:val="00B97FED"/>
    <w:rsid w:val="00BA0320"/>
    <w:rsid w:val="00BA0382"/>
    <w:rsid w:val="00BA2EEF"/>
    <w:rsid w:val="00BA3248"/>
    <w:rsid w:val="00BA32B9"/>
    <w:rsid w:val="00BA36B8"/>
    <w:rsid w:val="00BA3BD2"/>
    <w:rsid w:val="00BA3DDF"/>
    <w:rsid w:val="00BA45EC"/>
    <w:rsid w:val="00BA471D"/>
    <w:rsid w:val="00BA48C6"/>
    <w:rsid w:val="00BA4921"/>
    <w:rsid w:val="00BA4B33"/>
    <w:rsid w:val="00BA4DFC"/>
    <w:rsid w:val="00BA60F0"/>
    <w:rsid w:val="00BA6C30"/>
    <w:rsid w:val="00BB0321"/>
    <w:rsid w:val="00BB064A"/>
    <w:rsid w:val="00BB0829"/>
    <w:rsid w:val="00BB133F"/>
    <w:rsid w:val="00BB14A8"/>
    <w:rsid w:val="00BB14B4"/>
    <w:rsid w:val="00BB162A"/>
    <w:rsid w:val="00BB2478"/>
    <w:rsid w:val="00BB2D02"/>
    <w:rsid w:val="00BB30C1"/>
    <w:rsid w:val="00BB3AE9"/>
    <w:rsid w:val="00BB4D6F"/>
    <w:rsid w:val="00BB53C4"/>
    <w:rsid w:val="00BB5483"/>
    <w:rsid w:val="00BB5757"/>
    <w:rsid w:val="00BB577D"/>
    <w:rsid w:val="00BB578B"/>
    <w:rsid w:val="00BB5ADD"/>
    <w:rsid w:val="00BB656C"/>
    <w:rsid w:val="00BB6D5A"/>
    <w:rsid w:val="00BB6E36"/>
    <w:rsid w:val="00BB74A3"/>
    <w:rsid w:val="00BB779E"/>
    <w:rsid w:val="00BB7857"/>
    <w:rsid w:val="00BB7AEC"/>
    <w:rsid w:val="00BB7B4A"/>
    <w:rsid w:val="00BB7C29"/>
    <w:rsid w:val="00BB7FE9"/>
    <w:rsid w:val="00BC10C6"/>
    <w:rsid w:val="00BC1287"/>
    <w:rsid w:val="00BC15C0"/>
    <w:rsid w:val="00BC1D1C"/>
    <w:rsid w:val="00BC206A"/>
    <w:rsid w:val="00BC27BA"/>
    <w:rsid w:val="00BC2845"/>
    <w:rsid w:val="00BC5715"/>
    <w:rsid w:val="00BC5FC1"/>
    <w:rsid w:val="00BC6040"/>
    <w:rsid w:val="00BC652A"/>
    <w:rsid w:val="00BC65C3"/>
    <w:rsid w:val="00BC6AE3"/>
    <w:rsid w:val="00BC6F9A"/>
    <w:rsid w:val="00BC72D4"/>
    <w:rsid w:val="00BC7A80"/>
    <w:rsid w:val="00BD0608"/>
    <w:rsid w:val="00BD082B"/>
    <w:rsid w:val="00BD0C6C"/>
    <w:rsid w:val="00BD0F94"/>
    <w:rsid w:val="00BD100F"/>
    <w:rsid w:val="00BD1500"/>
    <w:rsid w:val="00BD163C"/>
    <w:rsid w:val="00BD18C2"/>
    <w:rsid w:val="00BD1B3F"/>
    <w:rsid w:val="00BD1C3C"/>
    <w:rsid w:val="00BD1ED2"/>
    <w:rsid w:val="00BD1F47"/>
    <w:rsid w:val="00BD1FE7"/>
    <w:rsid w:val="00BD207B"/>
    <w:rsid w:val="00BD25A2"/>
    <w:rsid w:val="00BD26F0"/>
    <w:rsid w:val="00BD272B"/>
    <w:rsid w:val="00BD3139"/>
    <w:rsid w:val="00BD346D"/>
    <w:rsid w:val="00BD37E3"/>
    <w:rsid w:val="00BD3915"/>
    <w:rsid w:val="00BD3FA4"/>
    <w:rsid w:val="00BD403B"/>
    <w:rsid w:val="00BD4167"/>
    <w:rsid w:val="00BD4445"/>
    <w:rsid w:val="00BD49BB"/>
    <w:rsid w:val="00BD4DA7"/>
    <w:rsid w:val="00BD4FCD"/>
    <w:rsid w:val="00BD55B3"/>
    <w:rsid w:val="00BD5675"/>
    <w:rsid w:val="00BD677F"/>
    <w:rsid w:val="00BD6AF5"/>
    <w:rsid w:val="00BD6CD6"/>
    <w:rsid w:val="00BD7191"/>
    <w:rsid w:val="00BD7FF5"/>
    <w:rsid w:val="00BE012B"/>
    <w:rsid w:val="00BE0923"/>
    <w:rsid w:val="00BE09D3"/>
    <w:rsid w:val="00BE0D00"/>
    <w:rsid w:val="00BE0EEA"/>
    <w:rsid w:val="00BE1119"/>
    <w:rsid w:val="00BE3028"/>
    <w:rsid w:val="00BE37D7"/>
    <w:rsid w:val="00BE39B7"/>
    <w:rsid w:val="00BE3A1B"/>
    <w:rsid w:val="00BE447D"/>
    <w:rsid w:val="00BE4867"/>
    <w:rsid w:val="00BE4F5E"/>
    <w:rsid w:val="00BE5274"/>
    <w:rsid w:val="00BE52E1"/>
    <w:rsid w:val="00BE6172"/>
    <w:rsid w:val="00BE6277"/>
    <w:rsid w:val="00BE6509"/>
    <w:rsid w:val="00BE6B42"/>
    <w:rsid w:val="00BE7037"/>
    <w:rsid w:val="00BE72A4"/>
    <w:rsid w:val="00BE7A80"/>
    <w:rsid w:val="00BE7A87"/>
    <w:rsid w:val="00BE7FB0"/>
    <w:rsid w:val="00BF0765"/>
    <w:rsid w:val="00BF09FF"/>
    <w:rsid w:val="00BF0DD2"/>
    <w:rsid w:val="00BF0E9D"/>
    <w:rsid w:val="00BF17B1"/>
    <w:rsid w:val="00BF1C0D"/>
    <w:rsid w:val="00BF29AB"/>
    <w:rsid w:val="00BF2C3C"/>
    <w:rsid w:val="00BF3006"/>
    <w:rsid w:val="00BF31CC"/>
    <w:rsid w:val="00BF3639"/>
    <w:rsid w:val="00BF3CA5"/>
    <w:rsid w:val="00BF3FCC"/>
    <w:rsid w:val="00BF466D"/>
    <w:rsid w:val="00BF56AC"/>
    <w:rsid w:val="00BF58A7"/>
    <w:rsid w:val="00BF5C98"/>
    <w:rsid w:val="00BF5DC1"/>
    <w:rsid w:val="00BF6631"/>
    <w:rsid w:val="00BF6B5D"/>
    <w:rsid w:val="00BF6F18"/>
    <w:rsid w:val="00BF6F9B"/>
    <w:rsid w:val="00BF7EE7"/>
    <w:rsid w:val="00C00A97"/>
    <w:rsid w:val="00C026CC"/>
    <w:rsid w:val="00C0274D"/>
    <w:rsid w:val="00C02C69"/>
    <w:rsid w:val="00C02CF7"/>
    <w:rsid w:val="00C02E90"/>
    <w:rsid w:val="00C033CA"/>
    <w:rsid w:val="00C03643"/>
    <w:rsid w:val="00C045FB"/>
    <w:rsid w:val="00C048DA"/>
    <w:rsid w:val="00C049B6"/>
    <w:rsid w:val="00C04CDF"/>
    <w:rsid w:val="00C04E96"/>
    <w:rsid w:val="00C054D4"/>
    <w:rsid w:val="00C06044"/>
    <w:rsid w:val="00C06104"/>
    <w:rsid w:val="00C0642C"/>
    <w:rsid w:val="00C069A1"/>
    <w:rsid w:val="00C078F8"/>
    <w:rsid w:val="00C10186"/>
    <w:rsid w:val="00C106FF"/>
    <w:rsid w:val="00C10A28"/>
    <w:rsid w:val="00C1102F"/>
    <w:rsid w:val="00C1155C"/>
    <w:rsid w:val="00C11D20"/>
    <w:rsid w:val="00C11DD9"/>
    <w:rsid w:val="00C126C1"/>
    <w:rsid w:val="00C12FA1"/>
    <w:rsid w:val="00C1355F"/>
    <w:rsid w:val="00C1373C"/>
    <w:rsid w:val="00C13751"/>
    <w:rsid w:val="00C139CF"/>
    <w:rsid w:val="00C144BE"/>
    <w:rsid w:val="00C14861"/>
    <w:rsid w:val="00C14F1E"/>
    <w:rsid w:val="00C15114"/>
    <w:rsid w:val="00C15B75"/>
    <w:rsid w:val="00C16576"/>
    <w:rsid w:val="00C165EA"/>
    <w:rsid w:val="00C17081"/>
    <w:rsid w:val="00C17663"/>
    <w:rsid w:val="00C17BF0"/>
    <w:rsid w:val="00C2028A"/>
    <w:rsid w:val="00C2263B"/>
    <w:rsid w:val="00C22C06"/>
    <w:rsid w:val="00C23854"/>
    <w:rsid w:val="00C23CBC"/>
    <w:rsid w:val="00C23FEA"/>
    <w:rsid w:val="00C242E2"/>
    <w:rsid w:val="00C24C1D"/>
    <w:rsid w:val="00C2558B"/>
    <w:rsid w:val="00C25669"/>
    <w:rsid w:val="00C25738"/>
    <w:rsid w:val="00C25974"/>
    <w:rsid w:val="00C25A7E"/>
    <w:rsid w:val="00C25C3E"/>
    <w:rsid w:val="00C26030"/>
    <w:rsid w:val="00C260CF"/>
    <w:rsid w:val="00C263CF"/>
    <w:rsid w:val="00C26C3C"/>
    <w:rsid w:val="00C26C63"/>
    <w:rsid w:val="00C26E05"/>
    <w:rsid w:val="00C26F00"/>
    <w:rsid w:val="00C27E61"/>
    <w:rsid w:val="00C30128"/>
    <w:rsid w:val="00C30566"/>
    <w:rsid w:val="00C30669"/>
    <w:rsid w:val="00C30B97"/>
    <w:rsid w:val="00C31981"/>
    <w:rsid w:val="00C31A06"/>
    <w:rsid w:val="00C31F16"/>
    <w:rsid w:val="00C32051"/>
    <w:rsid w:val="00C324DC"/>
    <w:rsid w:val="00C33A80"/>
    <w:rsid w:val="00C33CAD"/>
    <w:rsid w:val="00C34313"/>
    <w:rsid w:val="00C3490E"/>
    <w:rsid w:val="00C34AB4"/>
    <w:rsid w:val="00C34E07"/>
    <w:rsid w:val="00C3510D"/>
    <w:rsid w:val="00C35CF9"/>
    <w:rsid w:val="00C364AB"/>
    <w:rsid w:val="00C36964"/>
    <w:rsid w:val="00C36F0F"/>
    <w:rsid w:val="00C37238"/>
    <w:rsid w:val="00C37636"/>
    <w:rsid w:val="00C37C1B"/>
    <w:rsid w:val="00C37D63"/>
    <w:rsid w:val="00C37D9F"/>
    <w:rsid w:val="00C41084"/>
    <w:rsid w:val="00C41A8E"/>
    <w:rsid w:val="00C428D2"/>
    <w:rsid w:val="00C429D6"/>
    <w:rsid w:val="00C43260"/>
    <w:rsid w:val="00C43AD6"/>
    <w:rsid w:val="00C4567C"/>
    <w:rsid w:val="00C45747"/>
    <w:rsid w:val="00C45A30"/>
    <w:rsid w:val="00C45D49"/>
    <w:rsid w:val="00C463EB"/>
    <w:rsid w:val="00C465B6"/>
    <w:rsid w:val="00C469BC"/>
    <w:rsid w:val="00C47638"/>
    <w:rsid w:val="00C50379"/>
    <w:rsid w:val="00C505ED"/>
    <w:rsid w:val="00C5086F"/>
    <w:rsid w:val="00C50A5A"/>
    <w:rsid w:val="00C511C2"/>
    <w:rsid w:val="00C512FE"/>
    <w:rsid w:val="00C51C70"/>
    <w:rsid w:val="00C51C7A"/>
    <w:rsid w:val="00C5210E"/>
    <w:rsid w:val="00C52D5D"/>
    <w:rsid w:val="00C52D87"/>
    <w:rsid w:val="00C52DBF"/>
    <w:rsid w:val="00C530AD"/>
    <w:rsid w:val="00C5374C"/>
    <w:rsid w:val="00C53C4E"/>
    <w:rsid w:val="00C55C65"/>
    <w:rsid w:val="00C55D2C"/>
    <w:rsid w:val="00C56738"/>
    <w:rsid w:val="00C56961"/>
    <w:rsid w:val="00C56DC5"/>
    <w:rsid w:val="00C60329"/>
    <w:rsid w:val="00C60AA4"/>
    <w:rsid w:val="00C60D44"/>
    <w:rsid w:val="00C61176"/>
    <w:rsid w:val="00C618FA"/>
    <w:rsid w:val="00C61B08"/>
    <w:rsid w:val="00C626DB"/>
    <w:rsid w:val="00C636C9"/>
    <w:rsid w:val="00C63A09"/>
    <w:rsid w:val="00C63A55"/>
    <w:rsid w:val="00C63B76"/>
    <w:rsid w:val="00C63BD9"/>
    <w:rsid w:val="00C641B1"/>
    <w:rsid w:val="00C649D3"/>
    <w:rsid w:val="00C64A3B"/>
    <w:rsid w:val="00C64EC9"/>
    <w:rsid w:val="00C65B5B"/>
    <w:rsid w:val="00C6618B"/>
    <w:rsid w:val="00C663D3"/>
    <w:rsid w:val="00C6660D"/>
    <w:rsid w:val="00C6661D"/>
    <w:rsid w:val="00C66B20"/>
    <w:rsid w:val="00C66F39"/>
    <w:rsid w:val="00C67F01"/>
    <w:rsid w:val="00C709E9"/>
    <w:rsid w:val="00C70D4F"/>
    <w:rsid w:val="00C7117F"/>
    <w:rsid w:val="00C71781"/>
    <w:rsid w:val="00C7202F"/>
    <w:rsid w:val="00C72649"/>
    <w:rsid w:val="00C72F21"/>
    <w:rsid w:val="00C72F62"/>
    <w:rsid w:val="00C73020"/>
    <w:rsid w:val="00C73D26"/>
    <w:rsid w:val="00C74500"/>
    <w:rsid w:val="00C74AAA"/>
    <w:rsid w:val="00C74BE7"/>
    <w:rsid w:val="00C75A39"/>
    <w:rsid w:val="00C75A95"/>
    <w:rsid w:val="00C76AB2"/>
    <w:rsid w:val="00C77397"/>
    <w:rsid w:val="00C801DD"/>
    <w:rsid w:val="00C80BF1"/>
    <w:rsid w:val="00C812E6"/>
    <w:rsid w:val="00C817E5"/>
    <w:rsid w:val="00C823DA"/>
    <w:rsid w:val="00C8241C"/>
    <w:rsid w:val="00C8283E"/>
    <w:rsid w:val="00C82F25"/>
    <w:rsid w:val="00C847D5"/>
    <w:rsid w:val="00C849F1"/>
    <w:rsid w:val="00C84BA7"/>
    <w:rsid w:val="00C851F7"/>
    <w:rsid w:val="00C8565A"/>
    <w:rsid w:val="00C85679"/>
    <w:rsid w:val="00C85E83"/>
    <w:rsid w:val="00C85FA9"/>
    <w:rsid w:val="00C86A27"/>
    <w:rsid w:val="00C87460"/>
    <w:rsid w:val="00C87D5D"/>
    <w:rsid w:val="00C87DCB"/>
    <w:rsid w:val="00C90195"/>
    <w:rsid w:val="00C90704"/>
    <w:rsid w:val="00C90B32"/>
    <w:rsid w:val="00C9130A"/>
    <w:rsid w:val="00C91345"/>
    <w:rsid w:val="00C91962"/>
    <w:rsid w:val="00C91FFF"/>
    <w:rsid w:val="00C922AB"/>
    <w:rsid w:val="00C926E4"/>
    <w:rsid w:val="00C932C3"/>
    <w:rsid w:val="00C93598"/>
    <w:rsid w:val="00C937FA"/>
    <w:rsid w:val="00C93C52"/>
    <w:rsid w:val="00C9406D"/>
    <w:rsid w:val="00C94317"/>
    <w:rsid w:val="00C94FF6"/>
    <w:rsid w:val="00C9528D"/>
    <w:rsid w:val="00C954CC"/>
    <w:rsid w:val="00C962E1"/>
    <w:rsid w:val="00C96353"/>
    <w:rsid w:val="00C96374"/>
    <w:rsid w:val="00C968C8"/>
    <w:rsid w:val="00C970DC"/>
    <w:rsid w:val="00C972F3"/>
    <w:rsid w:val="00C9738C"/>
    <w:rsid w:val="00CA0C5A"/>
    <w:rsid w:val="00CA0FB1"/>
    <w:rsid w:val="00CA12F4"/>
    <w:rsid w:val="00CA1AAB"/>
    <w:rsid w:val="00CA212F"/>
    <w:rsid w:val="00CA22A3"/>
    <w:rsid w:val="00CA22AB"/>
    <w:rsid w:val="00CA28CB"/>
    <w:rsid w:val="00CA2934"/>
    <w:rsid w:val="00CA2DEB"/>
    <w:rsid w:val="00CA36D1"/>
    <w:rsid w:val="00CA42BC"/>
    <w:rsid w:val="00CA465F"/>
    <w:rsid w:val="00CA4B03"/>
    <w:rsid w:val="00CA4C31"/>
    <w:rsid w:val="00CA54E0"/>
    <w:rsid w:val="00CA5594"/>
    <w:rsid w:val="00CA56E9"/>
    <w:rsid w:val="00CA5CC6"/>
    <w:rsid w:val="00CA7048"/>
    <w:rsid w:val="00CA7A5A"/>
    <w:rsid w:val="00CB069D"/>
    <w:rsid w:val="00CB101A"/>
    <w:rsid w:val="00CB1B92"/>
    <w:rsid w:val="00CB253F"/>
    <w:rsid w:val="00CB2D98"/>
    <w:rsid w:val="00CB3E63"/>
    <w:rsid w:val="00CB4504"/>
    <w:rsid w:val="00CB4970"/>
    <w:rsid w:val="00CB5694"/>
    <w:rsid w:val="00CB5C45"/>
    <w:rsid w:val="00CB6109"/>
    <w:rsid w:val="00CB64F4"/>
    <w:rsid w:val="00CB66D8"/>
    <w:rsid w:val="00CB7A6B"/>
    <w:rsid w:val="00CB7E87"/>
    <w:rsid w:val="00CC1E16"/>
    <w:rsid w:val="00CC285E"/>
    <w:rsid w:val="00CC2FFE"/>
    <w:rsid w:val="00CC301C"/>
    <w:rsid w:val="00CC30AA"/>
    <w:rsid w:val="00CC30D3"/>
    <w:rsid w:val="00CC3217"/>
    <w:rsid w:val="00CC32A3"/>
    <w:rsid w:val="00CC3821"/>
    <w:rsid w:val="00CC3848"/>
    <w:rsid w:val="00CC4468"/>
    <w:rsid w:val="00CC4E29"/>
    <w:rsid w:val="00CC5A26"/>
    <w:rsid w:val="00CC5DD4"/>
    <w:rsid w:val="00CC6484"/>
    <w:rsid w:val="00CC6D33"/>
    <w:rsid w:val="00CC6EA8"/>
    <w:rsid w:val="00CC7620"/>
    <w:rsid w:val="00CC765E"/>
    <w:rsid w:val="00CD0893"/>
    <w:rsid w:val="00CD0933"/>
    <w:rsid w:val="00CD1314"/>
    <w:rsid w:val="00CD1A32"/>
    <w:rsid w:val="00CD1B40"/>
    <w:rsid w:val="00CD288F"/>
    <w:rsid w:val="00CD3838"/>
    <w:rsid w:val="00CD3E17"/>
    <w:rsid w:val="00CD43BC"/>
    <w:rsid w:val="00CD4562"/>
    <w:rsid w:val="00CD4D0C"/>
    <w:rsid w:val="00CD4E5F"/>
    <w:rsid w:val="00CD5247"/>
    <w:rsid w:val="00CD52BB"/>
    <w:rsid w:val="00CD57B6"/>
    <w:rsid w:val="00CD58F0"/>
    <w:rsid w:val="00CD685A"/>
    <w:rsid w:val="00CD69FA"/>
    <w:rsid w:val="00CD6A4F"/>
    <w:rsid w:val="00CD71FF"/>
    <w:rsid w:val="00CD75B0"/>
    <w:rsid w:val="00CD7622"/>
    <w:rsid w:val="00CD7820"/>
    <w:rsid w:val="00CD782A"/>
    <w:rsid w:val="00CD7C13"/>
    <w:rsid w:val="00CE02A6"/>
    <w:rsid w:val="00CE0E58"/>
    <w:rsid w:val="00CE1819"/>
    <w:rsid w:val="00CE18F4"/>
    <w:rsid w:val="00CE1C29"/>
    <w:rsid w:val="00CE1E75"/>
    <w:rsid w:val="00CE2A9B"/>
    <w:rsid w:val="00CE341B"/>
    <w:rsid w:val="00CE35AB"/>
    <w:rsid w:val="00CE370F"/>
    <w:rsid w:val="00CE5AEA"/>
    <w:rsid w:val="00CE5F10"/>
    <w:rsid w:val="00CE650F"/>
    <w:rsid w:val="00CE658D"/>
    <w:rsid w:val="00CE663A"/>
    <w:rsid w:val="00CE6674"/>
    <w:rsid w:val="00CE6BC3"/>
    <w:rsid w:val="00CE71AA"/>
    <w:rsid w:val="00CE7305"/>
    <w:rsid w:val="00CE79A3"/>
    <w:rsid w:val="00CE7A25"/>
    <w:rsid w:val="00CE7D31"/>
    <w:rsid w:val="00CF0C27"/>
    <w:rsid w:val="00CF10FC"/>
    <w:rsid w:val="00CF130C"/>
    <w:rsid w:val="00CF1E63"/>
    <w:rsid w:val="00CF1EBB"/>
    <w:rsid w:val="00CF2166"/>
    <w:rsid w:val="00CF28BF"/>
    <w:rsid w:val="00CF2B6C"/>
    <w:rsid w:val="00CF39AC"/>
    <w:rsid w:val="00CF593A"/>
    <w:rsid w:val="00CF64DE"/>
    <w:rsid w:val="00CF67EC"/>
    <w:rsid w:val="00CF691F"/>
    <w:rsid w:val="00CF6E3B"/>
    <w:rsid w:val="00CF6E62"/>
    <w:rsid w:val="00D002F2"/>
    <w:rsid w:val="00D003CF"/>
    <w:rsid w:val="00D003D7"/>
    <w:rsid w:val="00D0066D"/>
    <w:rsid w:val="00D0171E"/>
    <w:rsid w:val="00D018CC"/>
    <w:rsid w:val="00D01E8C"/>
    <w:rsid w:val="00D0314D"/>
    <w:rsid w:val="00D03207"/>
    <w:rsid w:val="00D035D5"/>
    <w:rsid w:val="00D0384B"/>
    <w:rsid w:val="00D03B53"/>
    <w:rsid w:val="00D05250"/>
    <w:rsid w:val="00D05B85"/>
    <w:rsid w:val="00D05F3A"/>
    <w:rsid w:val="00D0604C"/>
    <w:rsid w:val="00D064DC"/>
    <w:rsid w:val="00D06541"/>
    <w:rsid w:val="00D0698F"/>
    <w:rsid w:val="00D06A28"/>
    <w:rsid w:val="00D06B4B"/>
    <w:rsid w:val="00D06DF5"/>
    <w:rsid w:val="00D06F34"/>
    <w:rsid w:val="00D07156"/>
    <w:rsid w:val="00D076FE"/>
    <w:rsid w:val="00D07753"/>
    <w:rsid w:val="00D07ACF"/>
    <w:rsid w:val="00D10158"/>
    <w:rsid w:val="00D11468"/>
    <w:rsid w:val="00D11932"/>
    <w:rsid w:val="00D11A0F"/>
    <w:rsid w:val="00D11F20"/>
    <w:rsid w:val="00D125FC"/>
    <w:rsid w:val="00D127D1"/>
    <w:rsid w:val="00D1295B"/>
    <w:rsid w:val="00D12BA4"/>
    <w:rsid w:val="00D1339D"/>
    <w:rsid w:val="00D133D0"/>
    <w:rsid w:val="00D1347B"/>
    <w:rsid w:val="00D1399A"/>
    <w:rsid w:val="00D13C2F"/>
    <w:rsid w:val="00D13E2C"/>
    <w:rsid w:val="00D145A6"/>
    <w:rsid w:val="00D14B36"/>
    <w:rsid w:val="00D14BE4"/>
    <w:rsid w:val="00D14DF7"/>
    <w:rsid w:val="00D15621"/>
    <w:rsid w:val="00D16661"/>
    <w:rsid w:val="00D17291"/>
    <w:rsid w:val="00D17D05"/>
    <w:rsid w:val="00D17E90"/>
    <w:rsid w:val="00D2026A"/>
    <w:rsid w:val="00D21080"/>
    <w:rsid w:val="00D21130"/>
    <w:rsid w:val="00D214F3"/>
    <w:rsid w:val="00D2169F"/>
    <w:rsid w:val="00D21B07"/>
    <w:rsid w:val="00D2221E"/>
    <w:rsid w:val="00D22518"/>
    <w:rsid w:val="00D22896"/>
    <w:rsid w:val="00D233C8"/>
    <w:rsid w:val="00D235D7"/>
    <w:rsid w:val="00D238BD"/>
    <w:rsid w:val="00D23AAC"/>
    <w:rsid w:val="00D24611"/>
    <w:rsid w:val="00D24A8D"/>
    <w:rsid w:val="00D253B8"/>
    <w:rsid w:val="00D25539"/>
    <w:rsid w:val="00D25BAC"/>
    <w:rsid w:val="00D25C1C"/>
    <w:rsid w:val="00D271B9"/>
    <w:rsid w:val="00D27827"/>
    <w:rsid w:val="00D30277"/>
    <w:rsid w:val="00D3101B"/>
    <w:rsid w:val="00D31225"/>
    <w:rsid w:val="00D3124C"/>
    <w:rsid w:val="00D32600"/>
    <w:rsid w:val="00D32869"/>
    <w:rsid w:val="00D3286C"/>
    <w:rsid w:val="00D332E9"/>
    <w:rsid w:val="00D33E42"/>
    <w:rsid w:val="00D3484F"/>
    <w:rsid w:val="00D34C1E"/>
    <w:rsid w:val="00D34C95"/>
    <w:rsid w:val="00D35142"/>
    <w:rsid w:val="00D35201"/>
    <w:rsid w:val="00D35730"/>
    <w:rsid w:val="00D35797"/>
    <w:rsid w:val="00D35BAB"/>
    <w:rsid w:val="00D35E34"/>
    <w:rsid w:val="00D36397"/>
    <w:rsid w:val="00D3679D"/>
    <w:rsid w:val="00D36F0D"/>
    <w:rsid w:val="00D37271"/>
    <w:rsid w:val="00D405C7"/>
    <w:rsid w:val="00D41218"/>
    <w:rsid w:val="00D42785"/>
    <w:rsid w:val="00D42867"/>
    <w:rsid w:val="00D429A3"/>
    <w:rsid w:val="00D42F2E"/>
    <w:rsid w:val="00D432B6"/>
    <w:rsid w:val="00D4339E"/>
    <w:rsid w:val="00D4393D"/>
    <w:rsid w:val="00D43E62"/>
    <w:rsid w:val="00D445D6"/>
    <w:rsid w:val="00D4490C"/>
    <w:rsid w:val="00D44A18"/>
    <w:rsid w:val="00D44A6B"/>
    <w:rsid w:val="00D44FCB"/>
    <w:rsid w:val="00D45505"/>
    <w:rsid w:val="00D45DB5"/>
    <w:rsid w:val="00D45E07"/>
    <w:rsid w:val="00D46050"/>
    <w:rsid w:val="00D46234"/>
    <w:rsid w:val="00D46AD6"/>
    <w:rsid w:val="00D46B85"/>
    <w:rsid w:val="00D47852"/>
    <w:rsid w:val="00D47C8A"/>
    <w:rsid w:val="00D47E82"/>
    <w:rsid w:val="00D50389"/>
    <w:rsid w:val="00D5099F"/>
    <w:rsid w:val="00D50AC6"/>
    <w:rsid w:val="00D51A30"/>
    <w:rsid w:val="00D51A43"/>
    <w:rsid w:val="00D51B45"/>
    <w:rsid w:val="00D51B77"/>
    <w:rsid w:val="00D51E70"/>
    <w:rsid w:val="00D51F08"/>
    <w:rsid w:val="00D52619"/>
    <w:rsid w:val="00D52A96"/>
    <w:rsid w:val="00D534A4"/>
    <w:rsid w:val="00D53A84"/>
    <w:rsid w:val="00D53BF8"/>
    <w:rsid w:val="00D54E4C"/>
    <w:rsid w:val="00D54E4E"/>
    <w:rsid w:val="00D55DC5"/>
    <w:rsid w:val="00D56BED"/>
    <w:rsid w:val="00D570EC"/>
    <w:rsid w:val="00D57187"/>
    <w:rsid w:val="00D572C4"/>
    <w:rsid w:val="00D57446"/>
    <w:rsid w:val="00D60BE5"/>
    <w:rsid w:val="00D60D53"/>
    <w:rsid w:val="00D6133A"/>
    <w:rsid w:val="00D61B65"/>
    <w:rsid w:val="00D61D9A"/>
    <w:rsid w:val="00D61FAD"/>
    <w:rsid w:val="00D62B2B"/>
    <w:rsid w:val="00D62EC5"/>
    <w:rsid w:val="00D63713"/>
    <w:rsid w:val="00D637CE"/>
    <w:rsid w:val="00D6405F"/>
    <w:rsid w:val="00D6411C"/>
    <w:rsid w:val="00D64366"/>
    <w:rsid w:val="00D64554"/>
    <w:rsid w:val="00D65909"/>
    <w:rsid w:val="00D65C72"/>
    <w:rsid w:val="00D66062"/>
    <w:rsid w:val="00D662A7"/>
    <w:rsid w:val="00D666A3"/>
    <w:rsid w:val="00D66A60"/>
    <w:rsid w:val="00D67184"/>
    <w:rsid w:val="00D67246"/>
    <w:rsid w:val="00D6769D"/>
    <w:rsid w:val="00D67C25"/>
    <w:rsid w:val="00D70720"/>
    <w:rsid w:val="00D71354"/>
    <w:rsid w:val="00D71C23"/>
    <w:rsid w:val="00D72098"/>
    <w:rsid w:val="00D72883"/>
    <w:rsid w:val="00D72890"/>
    <w:rsid w:val="00D731F6"/>
    <w:rsid w:val="00D73689"/>
    <w:rsid w:val="00D737B9"/>
    <w:rsid w:val="00D73DF5"/>
    <w:rsid w:val="00D7405A"/>
    <w:rsid w:val="00D74729"/>
    <w:rsid w:val="00D74C98"/>
    <w:rsid w:val="00D757DB"/>
    <w:rsid w:val="00D75807"/>
    <w:rsid w:val="00D75DA5"/>
    <w:rsid w:val="00D76DD1"/>
    <w:rsid w:val="00D76EAD"/>
    <w:rsid w:val="00D76FCD"/>
    <w:rsid w:val="00D7793A"/>
    <w:rsid w:val="00D77F94"/>
    <w:rsid w:val="00D803CE"/>
    <w:rsid w:val="00D80935"/>
    <w:rsid w:val="00D80BF5"/>
    <w:rsid w:val="00D80CAD"/>
    <w:rsid w:val="00D8144B"/>
    <w:rsid w:val="00D81ADE"/>
    <w:rsid w:val="00D81F70"/>
    <w:rsid w:val="00D827A4"/>
    <w:rsid w:val="00D8327A"/>
    <w:rsid w:val="00D8378A"/>
    <w:rsid w:val="00D848D6"/>
    <w:rsid w:val="00D857A1"/>
    <w:rsid w:val="00D85CBF"/>
    <w:rsid w:val="00D861A0"/>
    <w:rsid w:val="00D862CF"/>
    <w:rsid w:val="00D86440"/>
    <w:rsid w:val="00D8728C"/>
    <w:rsid w:val="00D872E4"/>
    <w:rsid w:val="00D87322"/>
    <w:rsid w:val="00D875EA"/>
    <w:rsid w:val="00D8766A"/>
    <w:rsid w:val="00D87AAD"/>
    <w:rsid w:val="00D90796"/>
    <w:rsid w:val="00D909C5"/>
    <w:rsid w:val="00D91896"/>
    <w:rsid w:val="00D91F46"/>
    <w:rsid w:val="00D92722"/>
    <w:rsid w:val="00D928B9"/>
    <w:rsid w:val="00D928E3"/>
    <w:rsid w:val="00D94594"/>
    <w:rsid w:val="00D9591F"/>
    <w:rsid w:val="00D95A12"/>
    <w:rsid w:val="00D95B7B"/>
    <w:rsid w:val="00D95FD3"/>
    <w:rsid w:val="00D96508"/>
    <w:rsid w:val="00D96606"/>
    <w:rsid w:val="00D97573"/>
    <w:rsid w:val="00D97B83"/>
    <w:rsid w:val="00D97E00"/>
    <w:rsid w:val="00D97FDB"/>
    <w:rsid w:val="00DA0178"/>
    <w:rsid w:val="00DA1476"/>
    <w:rsid w:val="00DA158B"/>
    <w:rsid w:val="00DA1790"/>
    <w:rsid w:val="00DA191A"/>
    <w:rsid w:val="00DA1F58"/>
    <w:rsid w:val="00DA2172"/>
    <w:rsid w:val="00DA24A1"/>
    <w:rsid w:val="00DA289F"/>
    <w:rsid w:val="00DA348D"/>
    <w:rsid w:val="00DA3565"/>
    <w:rsid w:val="00DA36DF"/>
    <w:rsid w:val="00DA3E58"/>
    <w:rsid w:val="00DA414D"/>
    <w:rsid w:val="00DA44C5"/>
    <w:rsid w:val="00DA4DDF"/>
    <w:rsid w:val="00DA4F4C"/>
    <w:rsid w:val="00DA5425"/>
    <w:rsid w:val="00DA54B6"/>
    <w:rsid w:val="00DA5952"/>
    <w:rsid w:val="00DA5A97"/>
    <w:rsid w:val="00DA5F05"/>
    <w:rsid w:val="00DA6204"/>
    <w:rsid w:val="00DA650A"/>
    <w:rsid w:val="00DA6946"/>
    <w:rsid w:val="00DA6E7A"/>
    <w:rsid w:val="00DA6E91"/>
    <w:rsid w:val="00DA7736"/>
    <w:rsid w:val="00DA7AF9"/>
    <w:rsid w:val="00DA7D7B"/>
    <w:rsid w:val="00DB0005"/>
    <w:rsid w:val="00DB0AEA"/>
    <w:rsid w:val="00DB1ACD"/>
    <w:rsid w:val="00DB248D"/>
    <w:rsid w:val="00DB248E"/>
    <w:rsid w:val="00DB3227"/>
    <w:rsid w:val="00DB345A"/>
    <w:rsid w:val="00DB3A31"/>
    <w:rsid w:val="00DB3AC1"/>
    <w:rsid w:val="00DB4966"/>
    <w:rsid w:val="00DB4C6F"/>
    <w:rsid w:val="00DB4EC5"/>
    <w:rsid w:val="00DB6596"/>
    <w:rsid w:val="00DB6644"/>
    <w:rsid w:val="00DB6C63"/>
    <w:rsid w:val="00DB6DDF"/>
    <w:rsid w:val="00DB71E7"/>
    <w:rsid w:val="00DC0BF5"/>
    <w:rsid w:val="00DC2737"/>
    <w:rsid w:val="00DC3309"/>
    <w:rsid w:val="00DC4A82"/>
    <w:rsid w:val="00DC4F1D"/>
    <w:rsid w:val="00DC4F1F"/>
    <w:rsid w:val="00DC5179"/>
    <w:rsid w:val="00DC52B0"/>
    <w:rsid w:val="00DC6554"/>
    <w:rsid w:val="00DC6815"/>
    <w:rsid w:val="00DC68AC"/>
    <w:rsid w:val="00DC6B95"/>
    <w:rsid w:val="00DC6DD4"/>
    <w:rsid w:val="00DC7BC6"/>
    <w:rsid w:val="00DC7E16"/>
    <w:rsid w:val="00DC7EE3"/>
    <w:rsid w:val="00DD1114"/>
    <w:rsid w:val="00DD1241"/>
    <w:rsid w:val="00DD1250"/>
    <w:rsid w:val="00DD1425"/>
    <w:rsid w:val="00DD170D"/>
    <w:rsid w:val="00DD2273"/>
    <w:rsid w:val="00DD2612"/>
    <w:rsid w:val="00DD3315"/>
    <w:rsid w:val="00DD33F8"/>
    <w:rsid w:val="00DD34C1"/>
    <w:rsid w:val="00DD3D44"/>
    <w:rsid w:val="00DD3EA9"/>
    <w:rsid w:val="00DD4211"/>
    <w:rsid w:val="00DD4296"/>
    <w:rsid w:val="00DD5024"/>
    <w:rsid w:val="00DD5DF3"/>
    <w:rsid w:val="00DD699E"/>
    <w:rsid w:val="00DD710A"/>
    <w:rsid w:val="00DE0082"/>
    <w:rsid w:val="00DE00AB"/>
    <w:rsid w:val="00DE0647"/>
    <w:rsid w:val="00DE11BD"/>
    <w:rsid w:val="00DE1323"/>
    <w:rsid w:val="00DE1602"/>
    <w:rsid w:val="00DE2D1F"/>
    <w:rsid w:val="00DE2EDB"/>
    <w:rsid w:val="00DE5188"/>
    <w:rsid w:val="00DE5F96"/>
    <w:rsid w:val="00DE6230"/>
    <w:rsid w:val="00DE6AEF"/>
    <w:rsid w:val="00DE728B"/>
    <w:rsid w:val="00DE734C"/>
    <w:rsid w:val="00DE7F6C"/>
    <w:rsid w:val="00DF0854"/>
    <w:rsid w:val="00DF11FA"/>
    <w:rsid w:val="00DF135B"/>
    <w:rsid w:val="00DF16AA"/>
    <w:rsid w:val="00DF1DC3"/>
    <w:rsid w:val="00DF1EA7"/>
    <w:rsid w:val="00DF1FB5"/>
    <w:rsid w:val="00DF23BE"/>
    <w:rsid w:val="00DF29B4"/>
    <w:rsid w:val="00DF3D99"/>
    <w:rsid w:val="00DF4290"/>
    <w:rsid w:val="00DF47E5"/>
    <w:rsid w:val="00DF5402"/>
    <w:rsid w:val="00DF59B1"/>
    <w:rsid w:val="00DF5E6B"/>
    <w:rsid w:val="00DF61A7"/>
    <w:rsid w:val="00DF6745"/>
    <w:rsid w:val="00DF732F"/>
    <w:rsid w:val="00DF7BCE"/>
    <w:rsid w:val="00DF7C2E"/>
    <w:rsid w:val="00E00405"/>
    <w:rsid w:val="00E00886"/>
    <w:rsid w:val="00E008CC"/>
    <w:rsid w:val="00E00D9C"/>
    <w:rsid w:val="00E00DAE"/>
    <w:rsid w:val="00E012D8"/>
    <w:rsid w:val="00E01798"/>
    <w:rsid w:val="00E01966"/>
    <w:rsid w:val="00E01D91"/>
    <w:rsid w:val="00E01D98"/>
    <w:rsid w:val="00E01D9C"/>
    <w:rsid w:val="00E02FFC"/>
    <w:rsid w:val="00E04F3C"/>
    <w:rsid w:val="00E05C15"/>
    <w:rsid w:val="00E06A09"/>
    <w:rsid w:val="00E06FCC"/>
    <w:rsid w:val="00E071FA"/>
    <w:rsid w:val="00E07E7D"/>
    <w:rsid w:val="00E07F5E"/>
    <w:rsid w:val="00E10AF6"/>
    <w:rsid w:val="00E112EE"/>
    <w:rsid w:val="00E115EC"/>
    <w:rsid w:val="00E11784"/>
    <w:rsid w:val="00E11B40"/>
    <w:rsid w:val="00E11B74"/>
    <w:rsid w:val="00E129CF"/>
    <w:rsid w:val="00E13904"/>
    <w:rsid w:val="00E13BD1"/>
    <w:rsid w:val="00E13D12"/>
    <w:rsid w:val="00E143BD"/>
    <w:rsid w:val="00E147A3"/>
    <w:rsid w:val="00E1498F"/>
    <w:rsid w:val="00E14F01"/>
    <w:rsid w:val="00E1509E"/>
    <w:rsid w:val="00E1523A"/>
    <w:rsid w:val="00E15FEF"/>
    <w:rsid w:val="00E16219"/>
    <w:rsid w:val="00E168B0"/>
    <w:rsid w:val="00E16BEC"/>
    <w:rsid w:val="00E175BC"/>
    <w:rsid w:val="00E17A43"/>
    <w:rsid w:val="00E203E1"/>
    <w:rsid w:val="00E20B2B"/>
    <w:rsid w:val="00E213CF"/>
    <w:rsid w:val="00E21DB3"/>
    <w:rsid w:val="00E22F67"/>
    <w:rsid w:val="00E23632"/>
    <w:rsid w:val="00E23E72"/>
    <w:rsid w:val="00E2412D"/>
    <w:rsid w:val="00E24A6C"/>
    <w:rsid w:val="00E24E3E"/>
    <w:rsid w:val="00E25165"/>
    <w:rsid w:val="00E254FA"/>
    <w:rsid w:val="00E2551D"/>
    <w:rsid w:val="00E26DA9"/>
    <w:rsid w:val="00E26F3F"/>
    <w:rsid w:val="00E273D2"/>
    <w:rsid w:val="00E27B6C"/>
    <w:rsid w:val="00E30521"/>
    <w:rsid w:val="00E31FD9"/>
    <w:rsid w:val="00E328B5"/>
    <w:rsid w:val="00E32C77"/>
    <w:rsid w:val="00E330CE"/>
    <w:rsid w:val="00E33AA5"/>
    <w:rsid w:val="00E33CFD"/>
    <w:rsid w:val="00E33D1A"/>
    <w:rsid w:val="00E341DD"/>
    <w:rsid w:val="00E34FAE"/>
    <w:rsid w:val="00E350A9"/>
    <w:rsid w:val="00E3579D"/>
    <w:rsid w:val="00E3633E"/>
    <w:rsid w:val="00E367E5"/>
    <w:rsid w:val="00E36D20"/>
    <w:rsid w:val="00E36D21"/>
    <w:rsid w:val="00E37155"/>
    <w:rsid w:val="00E372C8"/>
    <w:rsid w:val="00E377B4"/>
    <w:rsid w:val="00E379F9"/>
    <w:rsid w:val="00E37A11"/>
    <w:rsid w:val="00E400B0"/>
    <w:rsid w:val="00E4018E"/>
    <w:rsid w:val="00E404E9"/>
    <w:rsid w:val="00E40AF6"/>
    <w:rsid w:val="00E4179E"/>
    <w:rsid w:val="00E41F93"/>
    <w:rsid w:val="00E42505"/>
    <w:rsid w:val="00E4260C"/>
    <w:rsid w:val="00E42651"/>
    <w:rsid w:val="00E42E06"/>
    <w:rsid w:val="00E43749"/>
    <w:rsid w:val="00E43D8F"/>
    <w:rsid w:val="00E43D96"/>
    <w:rsid w:val="00E441F6"/>
    <w:rsid w:val="00E44C55"/>
    <w:rsid w:val="00E44F67"/>
    <w:rsid w:val="00E458E1"/>
    <w:rsid w:val="00E45EDE"/>
    <w:rsid w:val="00E45F73"/>
    <w:rsid w:val="00E46137"/>
    <w:rsid w:val="00E46292"/>
    <w:rsid w:val="00E46556"/>
    <w:rsid w:val="00E46654"/>
    <w:rsid w:val="00E47164"/>
    <w:rsid w:val="00E47312"/>
    <w:rsid w:val="00E47CB1"/>
    <w:rsid w:val="00E47FB7"/>
    <w:rsid w:val="00E50AE9"/>
    <w:rsid w:val="00E51598"/>
    <w:rsid w:val="00E5210F"/>
    <w:rsid w:val="00E52E2B"/>
    <w:rsid w:val="00E532BA"/>
    <w:rsid w:val="00E53543"/>
    <w:rsid w:val="00E5435F"/>
    <w:rsid w:val="00E543D0"/>
    <w:rsid w:val="00E54757"/>
    <w:rsid w:val="00E548A6"/>
    <w:rsid w:val="00E54A1F"/>
    <w:rsid w:val="00E55465"/>
    <w:rsid w:val="00E55965"/>
    <w:rsid w:val="00E563CB"/>
    <w:rsid w:val="00E56ABB"/>
    <w:rsid w:val="00E56DCD"/>
    <w:rsid w:val="00E56DD7"/>
    <w:rsid w:val="00E57304"/>
    <w:rsid w:val="00E57A3E"/>
    <w:rsid w:val="00E604C5"/>
    <w:rsid w:val="00E60A80"/>
    <w:rsid w:val="00E60E5F"/>
    <w:rsid w:val="00E60E6A"/>
    <w:rsid w:val="00E618F1"/>
    <w:rsid w:val="00E61AB7"/>
    <w:rsid w:val="00E62203"/>
    <w:rsid w:val="00E624B0"/>
    <w:rsid w:val="00E62552"/>
    <w:rsid w:val="00E626D8"/>
    <w:rsid w:val="00E62817"/>
    <w:rsid w:val="00E629EB"/>
    <w:rsid w:val="00E62AD4"/>
    <w:rsid w:val="00E62E07"/>
    <w:rsid w:val="00E62FBC"/>
    <w:rsid w:val="00E6373D"/>
    <w:rsid w:val="00E63CC7"/>
    <w:rsid w:val="00E6459F"/>
    <w:rsid w:val="00E65413"/>
    <w:rsid w:val="00E65967"/>
    <w:rsid w:val="00E65A10"/>
    <w:rsid w:val="00E664B4"/>
    <w:rsid w:val="00E66A18"/>
    <w:rsid w:val="00E66C54"/>
    <w:rsid w:val="00E6710A"/>
    <w:rsid w:val="00E67A93"/>
    <w:rsid w:val="00E70072"/>
    <w:rsid w:val="00E7037F"/>
    <w:rsid w:val="00E706F5"/>
    <w:rsid w:val="00E70F82"/>
    <w:rsid w:val="00E714D0"/>
    <w:rsid w:val="00E7168F"/>
    <w:rsid w:val="00E71CE0"/>
    <w:rsid w:val="00E72118"/>
    <w:rsid w:val="00E727E3"/>
    <w:rsid w:val="00E72D24"/>
    <w:rsid w:val="00E73B9B"/>
    <w:rsid w:val="00E73BC1"/>
    <w:rsid w:val="00E743CD"/>
    <w:rsid w:val="00E74494"/>
    <w:rsid w:val="00E748C2"/>
    <w:rsid w:val="00E74DF6"/>
    <w:rsid w:val="00E74F4F"/>
    <w:rsid w:val="00E75DEB"/>
    <w:rsid w:val="00E766AA"/>
    <w:rsid w:val="00E7703A"/>
    <w:rsid w:val="00E773B4"/>
    <w:rsid w:val="00E779DC"/>
    <w:rsid w:val="00E809CC"/>
    <w:rsid w:val="00E80C2C"/>
    <w:rsid w:val="00E817FD"/>
    <w:rsid w:val="00E823DC"/>
    <w:rsid w:val="00E836A3"/>
    <w:rsid w:val="00E83B43"/>
    <w:rsid w:val="00E847CE"/>
    <w:rsid w:val="00E84AD6"/>
    <w:rsid w:val="00E8506F"/>
    <w:rsid w:val="00E85424"/>
    <w:rsid w:val="00E85BC9"/>
    <w:rsid w:val="00E86190"/>
    <w:rsid w:val="00E8665B"/>
    <w:rsid w:val="00E86F93"/>
    <w:rsid w:val="00E8719D"/>
    <w:rsid w:val="00E87407"/>
    <w:rsid w:val="00E878FD"/>
    <w:rsid w:val="00E87AD2"/>
    <w:rsid w:val="00E87D5F"/>
    <w:rsid w:val="00E9033A"/>
    <w:rsid w:val="00E912B1"/>
    <w:rsid w:val="00E91322"/>
    <w:rsid w:val="00E91AD3"/>
    <w:rsid w:val="00E91C3E"/>
    <w:rsid w:val="00E9277A"/>
    <w:rsid w:val="00E92B38"/>
    <w:rsid w:val="00E93257"/>
    <w:rsid w:val="00E93920"/>
    <w:rsid w:val="00E93C3D"/>
    <w:rsid w:val="00E93D33"/>
    <w:rsid w:val="00E93D97"/>
    <w:rsid w:val="00E947C3"/>
    <w:rsid w:val="00E951EC"/>
    <w:rsid w:val="00E95466"/>
    <w:rsid w:val="00E96131"/>
    <w:rsid w:val="00E9629F"/>
    <w:rsid w:val="00E96A21"/>
    <w:rsid w:val="00E96CDA"/>
    <w:rsid w:val="00E978E7"/>
    <w:rsid w:val="00E97AEF"/>
    <w:rsid w:val="00EA0094"/>
    <w:rsid w:val="00EA03F2"/>
    <w:rsid w:val="00EA059F"/>
    <w:rsid w:val="00EA09B9"/>
    <w:rsid w:val="00EA0FD0"/>
    <w:rsid w:val="00EA12A7"/>
    <w:rsid w:val="00EA12F5"/>
    <w:rsid w:val="00EA1CA0"/>
    <w:rsid w:val="00EA204E"/>
    <w:rsid w:val="00EA2773"/>
    <w:rsid w:val="00EA286A"/>
    <w:rsid w:val="00EA2EA1"/>
    <w:rsid w:val="00EA3278"/>
    <w:rsid w:val="00EA3567"/>
    <w:rsid w:val="00EA3642"/>
    <w:rsid w:val="00EA383F"/>
    <w:rsid w:val="00EA4053"/>
    <w:rsid w:val="00EA4537"/>
    <w:rsid w:val="00EA45DA"/>
    <w:rsid w:val="00EA4996"/>
    <w:rsid w:val="00EA5671"/>
    <w:rsid w:val="00EA6349"/>
    <w:rsid w:val="00EA65A3"/>
    <w:rsid w:val="00EA6678"/>
    <w:rsid w:val="00EA713E"/>
    <w:rsid w:val="00EA748A"/>
    <w:rsid w:val="00EA7954"/>
    <w:rsid w:val="00EB0480"/>
    <w:rsid w:val="00EB06C9"/>
    <w:rsid w:val="00EB0E2C"/>
    <w:rsid w:val="00EB0F4E"/>
    <w:rsid w:val="00EB2419"/>
    <w:rsid w:val="00EB2426"/>
    <w:rsid w:val="00EB2C92"/>
    <w:rsid w:val="00EB3281"/>
    <w:rsid w:val="00EB3C7F"/>
    <w:rsid w:val="00EB4155"/>
    <w:rsid w:val="00EB500A"/>
    <w:rsid w:val="00EB568D"/>
    <w:rsid w:val="00EB5946"/>
    <w:rsid w:val="00EB5B58"/>
    <w:rsid w:val="00EB5CE8"/>
    <w:rsid w:val="00EB6158"/>
    <w:rsid w:val="00EB671E"/>
    <w:rsid w:val="00EB6BAB"/>
    <w:rsid w:val="00EB6F1A"/>
    <w:rsid w:val="00EB6FF6"/>
    <w:rsid w:val="00EB7271"/>
    <w:rsid w:val="00EB7329"/>
    <w:rsid w:val="00EB743E"/>
    <w:rsid w:val="00EB79C3"/>
    <w:rsid w:val="00EB7A59"/>
    <w:rsid w:val="00EB7E45"/>
    <w:rsid w:val="00EC0184"/>
    <w:rsid w:val="00EC0695"/>
    <w:rsid w:val="00EC1115"/>
    <w:rsid w:val="00EC141F"/>
    <w:rsid w:val="00EC1735"/>
    <w:rsid w:val="00EC1BC6"/>
    <w:rsid w:val="00EC2BDF"/>
    <w:rsid w:val="00EC33AF"/>
    <w:rsid w:val="00EC4661"/>
    <w:rsid w:val="00EC47D3"/>
    <w:rsid w:val="00EC5A71"/>
    <w:rsid w:val="00EC5C64"/>
    <w:rsid w:val="00EC5EAE"/>
    <w:rsid w:val="00EC62F0"/>
    <w:rsid w:val="00EC6412"/>
    <w:rsid w:val="00EC6833"/>
    <w:rsid w:val="00EC6C65"/>
    <w:rsid w:val="00EC76D0"/>
    <w:rsid w:val="00EC7A16"/>
    <w:rsid w:val="00ED32DD"/>
    <w:rsid w:val="00ED3413"/>
    <w:rsid w:val="00ED3AAF"/>
    <w:rsid w:val="00ED438A"/>
    <w:rsid w:val="00ED4556"/>
    <w:rsid w:val="00ED50ED"/>
    <w:rsid w:val="00ED5249"/>
    <w:rsid w:val="00ED5515"/>
    <w:rsid w:val="00ED66CE"/>
    <w:rsid w:val="00ED6944"/>
    <w:rsid w:val="00ED72F4"/>
    <w:rsid w:val="00ED74C6"/>
    <w:rsid w:val="00ED7A94"/>
    <w:rsid w:val="00ED7EAC"/>
    <w:rsid w:val="00EE0B01"/>
    <w:rsid w:val="00EE0CCC"/>
    <w:rsid w:val="00EE1265"/>
    <w:rsid w:val="00EE15F9"/>
    <w:rsid w:val="00EE1AA8"/>
    <w:rsid w:val="00EE1BC8"/>
    <w:rsid w:val="00EE1CEE"/>
    <w:rsid w:val="00EE2166"/>
    <w:rsid w:val="00EE2CD6"/>
    <w:rsid w:val="00EE2D4D"/>
    <w:rsid w:val="00EE4900"/>
    <w:rsid w:val="00EE52B9"/>
    <w:rsid w:val="00EE585A"/>
    <w:rsid w:val="00EE5B99"/>
    <w:rsid w:val="00EE5BC1"/>
    <w:rsid w:val="00EE5E08"/>
    <w:rsid w:val="00EE6036"/>
    <w:rsid w:val="00EE62E8"/>
    <w:rsid w:val="00EE6DE5"/>
    <w:rsid w:val="00EF0442"/>
    <w:rsid w:val="00EF0F0D"/>
    <w:rsid w:val="00EF10D4"/>
    <w:rsid w:val="00EF1840"/>
    <w:rsid w:val="00EF2AE1"/>
    <w:rsid w:val="00EF356B"/>
    <w:rsid w:val="00EF3647"/>
    <w:rsid w:val="00EF3FE0"/>
    <w:rsid w:val="00EF4191"/>
    <w:rsid w:val="00EF4822"/>
    <w:rsid w:val="00EF4F11"/>
    <w:rsid w:val="00EF4FC1"/>
    <w:rsid w:val="00EF53D7"/>
    <w:rsid w:val="00EF5E75"/>
    <w:rsid w:val="00EF63E4"/>
    <w:rsid w:val="00EF656F"/>
    <w:rsid w:val="00EF6B62"/>
    <w:rsid w:val="00EF7C23"/>
    <w:rsid w:val="00EF7D07"/>
    <w:rsid w:val="00F003D6"/>
    <w:rsid w:val="00F00868"/>
    <w:rsid w:val="00F00C8C"/>
    <w:rsid w:val="00F02B11"/>
    <w:rsid w:val="00F032BE"/>
    <w:rsid w:val="00F033B4"/>
    <w:rsid w:val="00F04367"/>
    <w:rsid w:val="00F04618"/>
    <w:rsid w:val="00F0477C"/>
    <w:rsid w:val="00F04BC4"/>
    <w:rsid w:val="00F04D02"/>
    <w:rsid w:val="00F050B2"/>
    <w:rsid w:val="00F0546F"/>
    <w:rsid w:val="00F05A14"/>
    <w:rsid w:val="00F05FD7"/>
    <w:rsid w:val="00F06A75"/>
    <w:rsid w:val="00F07A98"/>
    <w:rsid w:val="00F10D39"/>
    <w:rsid w:val="00F11A7E"/>
    <w:rsid w:val="00F11B66"/>
    <w:rsid w:val="00F11C35"/>
    <w:rsid w:val="00F11CF1"/>
    <w:rsid w:val="00F123F2"/>
    <w:rsid w:val="00F125D4"/>
    <w:rsid w:val="00F129C3"/>
    <w:rsid w:val="00F133AE"/>
    <w:rsid w:val="00F15001"/>
    <w:rsid w:val="00F1517C"/>
    <w:rsid w:val="00F1569F"/>
    <w:rsid w:val="00F1571D"/>
    <w:rsid w:val="00F1590C"/>
    <w:rsid w:val="00F15B15"/>
    <w:rsid w:val="00F160C4"/>
    <w:rsid w:val="00F1662B"/>
    <w:rsid w:val="00F16B95"/>
    <w:rsid w:val="00F17CAC"/>
    <w:rsid w:val="00F2021D"/>
    <w:rsid w:val="00F2071C"/>
    <w:rsid w:val="00F20922"/>
    <w:rsid w:val="00F20E68"/>
    <w:rsid w:val="00F227E8"/>
    <w:rsid w:val="00F2352F"/>
    <w:rsid w:val="00F24349"/>
    <w:rsid w:val="00F24E54"/>
    <w:rsid w:val="00F25CE0"/>
    <w:rsid w:val="00F25E1A"/>
    <w:rsid w:val="00F261DB"/>
    <w:rsid w:val="00F26C9C"/>
    <w:rsid w:val="00F27144"/>
    <w:rsid w:val="00F271EA"/>
    <w:rsid w:val="00F27904"/>
    <w:rsid w:val="00F27AE8"/>
    <w:rsid w:val="00F27EDC"/>
    <w:rsid w:val="00F30210"/>
    <w:rsid w:val="00F30948"/>
    <w:rsid w:val="00F30EBF"/>
    <w:rsid w:val="00F30EE0"/>
    <w:rsid w:val="00F3188A"/>
    <w:rsid w:val="00F31901"/>
    <w:rsid w:val="00F31E30"/>
    <w:rsid w:val="00F31EA8"/>
    <w:rsid w:val="00F32108"/>
    <w:rsid w:val="00F32517"/>
    <w:rsid w:val="00F3252B"/>
    <w:rsid w:val="00F32F7D"/>
    <w:rsid w:val="00F33A82"/>
    <w:rsid w:val="00F33A9D"/>
    <w:rsid w:val="00F341FA"/>
    <w:rsid w:val="00F3464A"/>
    <w:rsid w:val="00F350BD"/>
    <w:rsid w:val="00F362F6"/>
    <w:rsid w:val="00F36AC9"/>
    <w:rsid w:val="00F36CFA"/>
    <w:rsid w:val="00F36EBE"/>
    <w:rsid w:val="00F37124"/>
    <w:rsid w:val="00F37F68"/>
    <w:rsid w:val="00F40110"/>
    <w:rsid w:val="00F4024A"/>
    <w:rsid w:val="00F40AAE"/>
    <w:rsid w:val="00F40F10"/>
    <w:rsid w:val="00F41177"/>
    <w:rsid w:val="00F41260"/>
    <w:rsid w:val="00F41586"/>
    <w:rsid w:val="00F420E0"/>
    <w:rsid w:val="00F4295F"/>
    <w:rsid w:val="00F42DD3"/>
    <w:rsid w:val="00F43051"/>
    <w:rsid w:val="00F43423"/>
    <w:rsid w:val="00F4345C"/>
    <w:rsid w:val="00F43908"/>
    <w:rsid w:val="00F439D1"/>
    <w:rsid w:val="00F45A2F"/>
    <w:rsid w:val="00F464A2"/>
    <w:rsid w:val="00F46766"/>
    <w:rsid w:val="00F469C1"/>
    <w:rsid w:val="00F46FE3"/>
    <w:rsid w:val="00F47D26"/>
    <w:rsid w:val="00F47E92"/>
    <w:rsid w:val="00F508FC"/>
    <w:rsid w:val="00F51116"/>
    <w:rsid w:val="00F5125C"/>
    <w:rsid w:val="00F512D5"/>
    <w:rsid w:val="00F513C8"/>
    <w:rsid w:val="00F51759"/>
    <w:rsid w:val="00F51A2F"/>
    <w:rsid w:val="00F51AB8"/>
    <w:rsid w:val="00F523EB"/>
    <w:rsid w:val="00F52984"/>
    <w:rsid w:val="00F52B97"/>
    <w:rsid w:val="00F547CB"/>
    <w:rsid w:val="00F552D4"/>
    <w:rsid w:val="00F5683E"/>
    <w:rsid w:val="00F56C5E"/>
    <w:rsid w:val="00F56C98"/>
    <w:rsid w:val="00F570D3"/>
    <w:rsid w:val="00F57A36"/>
    <w:rsid w:val="00F57F8D"/>
    <w:rsid w:val="00F603AD"/>
    <w:rsid w:val="00F61593"/>
    <w:rsid w:val="00F61F1C"/>
    <w:rsid w:val="00F62053"/>
    <w:rsid w:val="00F62794"/>
    <w:rsid w:val="00F627B6"/>
    <w:rsid w:val="00F63069"/>
    <w:rsid w:val="00F630AD"/>
    <w:rsid w:val="00F6442D"/>
    <w:rsid w:val="00F64676"/>
    <w:rsid w:val="00F64E6F"/>
    <w:rsid w:val="00F64ED5"/>
    <w:rsid w:val="00F652D0"/>
    <w:rsid w:val="00F6543F"/>
    <w:rsid w:val="00F6556A"/>
    <w:rsid w:val="00F658E4"/>
    <w:rsid w:val="00F662CB"/>
    <w:rsid w:val="00F664D6"/>
    <w:rsid w:val="00F66595"/>
    <w:rsid w:val="00F6692B"/>
    <w:rsid w:val="00F67188"/>
    <w:rsid w:val="00F67C39"/>
    <w:rsid w:val="00F701CB"/>
    <w:rsid w:val="00F702AA"/>
    <w:rsid w:val="00F70520"/>
    <w:rsid w:val="00F70686"/>
    <w:rsid w:val="00F70D51"/>
    <w:rsid w:val="00F70FEC"/>
    <w:rsid w:val="00F7136C"/>
    <w:rsid w:val="00F724AB"/>
    <w:rsid w:val="00F72634"/>
    <w:rsid w:val="00F726B6"/>
    <w:rsid w:val="00F72EE4"/>
    <w:rsid w:val="00F7316F"/>
    <w:rsid w:val="00F73697"/>
    <w:rsid w:val="00F73783"/>
    <w:rsid w:val="00F73D1D"/>
    <w:rsid w:val="00F73D88"/>
    <w:rsid w:val="00F74198"/>
    <w:rsid w:val="00F742E3"/>
    <w:rsid w:val="00F74DDD"/>
    <w:rsid w:val="00F75144"/>
    <w:rsid w:val="00F75252"/>
    <w:rsid w:val="00F753B4"/>
    <w:rsid w:val="00F75C64"/>
    <w:rsid w:val="00F76BA9"/>
    <w:rsid w:val="00F7787D"/>
    <w:rsid w:val="00F77B68"/>
    <w:rsid w:val="00F80044"/>
    <w:rsid w:val="00F80294"/>
    <w:rsid w:val="00F808EF"/>
    <w:rsid w:val="00F80948"/>
    <w:rsid w:val="00F80B47"/>
    <w:rsid w:val="00F813FD"/>
    <w:rsid w:val="00F81524"/>
    <w:rsid w:val="00F81E49"/>
    <w:rsid w:val="00F82097"/>
    <w:rsid w:val="00F82098"/>
    <w:rsid w:val="00F82753"/>
    <w:rsid w:val="00F83399"/>
    <w:rsid w:val="00F8364F"/>
    <w:rsid w:val="00F8393F"/>
    <w:rsid w:val="00F83D73"/>
    <w:rsid w:val="00F84363"/>
    <w:rsid w:val="00F8486E"/>
    <w:rsid w:val="00F84B07"/>
    <w:rsid w:val="00F84D53"/>
    <w:rsid w:val="00F851DC"/>
    <w:rsid w:val="00F85648"/>
    <w:rsid w:val="00F85716"/>
    <w:rsid w:val="00F85AB7"/>
    <w:rsid w:val="00F85D22"/>
    <w:rsid w:val="00F8644E"/>
    <w:rsid w:val="00F8680F"/>
    <w:rsid w:val="00F8684A"/>
    <w:rsid w:val="00F874AD"/>
    <w:rsid w:val="00F874D9"/>
    <w:rsid w:val="00F87CA9"/>
    <w:rsid w:val="00F87FA9"/>
    <w:rsid w:val="00F90829"/>
    <w:rsid w:val="00F90991"/>
    <w:rsid w:val="00F9127C"/>
    <w:rsid w:val="00F915B8"/>
    <w:rsid w:val="00F916AC"/>
    <w:rsid w:val="00F925D0"/>
    <w:rsid w:val="00F92D40"/>
    <w:rsid w:val="00F9359B"/>
    <w:rsid w:val="00F936BC"/>
    <w:rsid w:val="00F938F0"/>
    <w:rsid w:val="00F94070"/>
    <w:rsid w:val="00F940B2"/>
    <w:rsid w:val="00F9448D"/>
    <w:rsid w:val="00F94ACB"/>
    <w:rsid w:val="00F94E68"/>
    <w:rsid w:val="00F9517B"/>
    <w:rsid w:val="00F951DA"/>
    <w:rsid w:val="00F95423"/>
    <w:rsid w:val="00F9579F"/>
    <w:rsid w:val="00F958BC"/>
    <w:rsid w:val="00F95C81"/>
    <w:rsid w:val="00F960AE"/>
    <w:rsid w:val="00F965FC"/>
    <w:rsid w:val="00F96CBE"/>
    <w:rsid w:val="00F9783C"/>
    <w:rsid w:val="00F97B01"/>
    <w:rsid w:val="00F97E2A"/>
    <w:rsid w:val="00FA076F"/>
    <w:rsid w:val="00FA0FBD"/>
    <w:rsid w:val="00FA126A"/>
    <w:rsid w:val="00FA1C91"/>
    <w:rsid w:val="00FA2655"/>
    <w:rsid w:val="00FA3672"/>
    <w:rsid w:val="00FA3785"/>
    <w:rsid w:val="00FA3976"/>
    <w:rsid w:val="00FA3C6D"/>
    <w:rsid w:val="00FA4DAF"/>
    <w:rsid w:val="00FA6378"/>
    <w:rsid w:val="00FA6B1D"/>
    <w:rsid w:val="00FA6DDA"/>
    <w:rsid w:val="00FA7095"/>
    <w:rsid w:val="00FA70F4"/>
    <w:rsid w:val="00FA7B29"/>
    <w:rsid w:val="00FB0E7E"/>
    <w:rsid w:val="00FB0EB1"/>
    <w:rsid w:val="00FB1425"/>
    <w:rsid w:val="00FB1ABB"/>
    <w:rsid w:val="00FB20E4"/>
    <w:rsid w:val="00FB2D45"/>
    <w:rsid w:val="00FB38A0"/>
    <w:rsid w:val="00FB3D2F"/>
    <w:rsid w:val="00FB3E07"/>
    <w:rsid w:val="00FB3E25"/>
    <w:rsid w:val="00FB3E6C"/>
    <w:rsid w:val="00FB4963"/>
    <w:rsid w:val="00FB499B"/>
    <w:rsid w:val="00FB4DB5"/>
    <w:rsid w:val="00FB4ED7"/>
    <w:rsid w:val="00FB5130"/>
    <w:rsid w:val="00FB5652"/>
    <w:rsid w:val="00FB574D"/>
    <w:rsid w:val="00FB5E3F"/>
    <w:rsid w:val="00FB6AAA"/>
    <w:rsid w:val="00FB6E40"/>
    <w:rsid w:val="00FB7129"/>
    <w:rsid w:val="00FB7625"/>
    <w:rsid w:val="00FB7C93"/>
    <w:rsid w:val="00FC0068"/>
    <w:rsid w:val="00FC033D"/>
    <w:rsid w:val="00FC1EDF"/>
    <w:rsid w:val="00FC2ED0"/>
    <w:rsid w:val="00FC2F63"/>
    <w:rsid w:val="00FC3806"/>
    <w:rsid w:val="00FC393A"/>
    <w:rsid w:val="00FC3F91"/>
    <w:rsid w:val="00FC40A6"/>
    <w:rsid w:val="00FC48E3"/>
    <w:rsid w:val="00FC498C"/>
    <w:rsid w:val="00FC4A45"/>
    <w:rsid w:val="00FC5FE6"/>
    <w:rsid w:val="00FC65EE"/>
    <w:rsid w:val="00FC6DF5"/>
    <w:rsid w:val="00FC7968"/>
    <w:rsid w:val="00FC7E2E"/>
    <w:rsid w:val="00FD12CB"/>
    <w:rsid w:val="00FD16B5"/>
    <w:rsid w:val="00FD1888"/>
    <w:rsid w:val="00FD1DF6"/>
    <w:rsid w:val="00FD29EA"/>
    <w:rsid w:val="00FD2D8D"/>
    <w:rsid w:val="00FD30EF"/>
    <w:rsid w:val="00FD3399"/>
    <w:rsid w:val="00FD355B"/>
    <w:rsid w:val="00FD3628"/>
    <w:rsid w:val="00FD3B4E"/>
    <w:rsid w:val="00FD3F61"/>
    <w:rsid w:val="00FD4003"/>
    <w:rsid w:val="00FD429C"/>
    <w:rsid w:val="00FD46AF"/>
    <w:rsid w:val="00FD4D7C"/>
    <w:rsid w:val="00FD4F88"/>
    <w:rsid w:val="00FD51D6"/>
    <w:rsid w:val="00FD521C"/>
    <w:rsid w:val="00FD57A9"/>
    <w:rsid w:val="00FD5A3B"/>
    <w:rsid w:val="00FD65AE"/>
    <w:rsid w:val="00FD6E44"/>
    <w:rsid w:val="00FD7069"/>
    <w:rsid w:val="00FD71E5"/>
    <w:rsid w:val="00FD7D5E"/>
    <w:rsid w:val="00FE05DE"/>
    <w:rsid w:val="00FE0DEA"/>
    <w:rsid w:val="00FE2506"/>
    <w:rsid w:val="00FE2B1A"/>
    <w:rsid w:val="00FE2E8D"/>
    <w:rsid w:val="00FE2F06"/>
    <w:rsid w:val="00FE2F50"/>
    <w:rsid w:val="00FE2FCA"/>
    <w:rsid w:val="00FE3440"/>
    <w:rsid w:val="00FE39DE"/>
    <w:rsid w:val="00FE4601"/>
    <w:rsid w:val="00FE4634"/>
    <w:rsid w:val="00FE4DBC"/>
    <w:rsid w:val="00FE4FE9"/>
    <w:rsid w:val="00FE5B4B"/>
    <w:rsid w:val="00FE5D4E"/>
    <w:rsid w:val="00FE6752"/>
    <w:rsid w:val="00FE6E8B"/>
    <w:rsid w:val="00FE719E"/>
    <w:rsid w:val="00FE7252"/>
    <w:rsid w:val="00FE73AB"/>
    <w:rsid w:val="00FE770A"/>
    <w:rsid w:val="00FE7C15"/>
    <w:rsid w:val="00FE7FC9"/>
    <w:rsid w:val="00FF0772"/>
    <w:rsid w:val="00FF0949"/>
    <w:rsid w:val="00FF0A51"/>
    <w:rsid w:val="00FF0DD8"/>
    <w:rsid w:val="00FF153D"/>
    <w:rsid w:val="00FF1C84"/>
    <w:rsid w:val="00FF2F59"/>
    <w:rsid w:val="00FF3610"/>
    <w:rsid w:val="00FF3AC7"/>
    <w:rsid w:val="00FF44AB"/>
    <w:rsid w:val="00FF5219"/>
    <w:rsid w:val="00FF572B"/>
    <w:rsid w:val="00FF57A8"/>
    <w:rsid w:val="00FF5917"/>
    <w:rsid w:val="00FF5AD2"/>
    <w:rsid w:val="00FF5E71"/>
    <w:rsid w:val="00FF61C3"/>
    <w:rsid w:val="00FF662F"/>
    <w:rsid w:val="00FF67EE"/>
    <w:rsid w:val="00FF6FB1"/>
    <w:rsid w:val="00FF769D"/>
    <w:rsid w:val="00FF76AE"/>
    <w:rsid w:val="00FF7756"/>
    <w:rsid w:val="00FF7F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BBDC24F-EC41-464A-AAD7-A2C2C7D1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23B"/>
    <w:pPr>
      <w:spacing w:after="120"/>
    </w:pPr>
    <w:rPr>
      <w:rFonts w:ascii="Arial" w:hAnsi="Arial"/>
      <w:sz w:val="22"/>
      <w:szCs w:val="24"/>
    </w:rPr>
  </w:style>
  <w:style w:type="paragraph" w:styleId="Heading1">
    <w:name w:val="heading 1"/>
    <w:basedOn w:val="Normal"/>
    <w:next w:val="Normal"/>
    <w:link w:val="Heading1Char"/>
    <w:qFormat/>
    <w:rsid w:val="00440B49"/>
    <w:pPr>
      <w:keepNext/>
      <w:spacing w:after="240"/>
      <w:outlineLvl w:val="0"/>
    </w:pPr>
    <w:rPr>
      <w:rFonts w:cs="Arial"/>
      <w:b/>
      <w:bCs/>
      <w:kern w:val="32"/>
      <w:sz w:val="48"/>
      <w:szCs w:val="32"/>
    </w:rPr>
  </w:style>
  <w:style w:type="paragraph" w:styleId="Heading2">
    <w:name w:val="heading 2"/>
    <w:basedOn w:val="Normal"/>
    <w:next w:val="Normal"/>
    <w:link w:val="Heading2Char"/>
    <w:qFormat/>
    <w:rsid w:val="004F12EC"/>
    <w:pPr>
      <w:keepNext/>
      <w:spacing w:before="120" w:after="60"/>
      <w:outlineLvl w:val="1"/>
    </w:pPr>
    <w:rPr>
      <w:rFonts w:cs="Arial"/>
      <w:b/>
      <w:bCs/>
      <w:iCs/>
      <w:sz w:val="36"/>
      <w:szCs w:val="28"/>
    </w:rPr>
  </w:style>
  <w:style w:type="paragraph" w:styleId="Heading3">
    <w:name w:val="heading 3"/>
    <w:basedOn w:val="Normal"/>
    <w:next w:val="Normal"/>
    <w:qFormat/>
    <w:rsid w:val="004F12EC"/>
    <w:pPr>
      <w:keepNext/>
      <w:spacing w:before="60" w:after="0"/>
      <w:outlineLvl w:val="2"/>
    </w:pPr>
    <w:rPr>
      <w:rFonts w:cs="Arial"/>
      <w:b/>
      <w:bCs/>
      <w:sz w:val="26"/>
      <w:szCs w:val="26"/>
    </w:rPr>
  </w:style>
  <w:style w:type="paragraph" w:styleId="Heading4">
    <w:name w:val="heading 4"/>
    <w:basedOn w:val="Normal"/>
    <w:next w:val="Normal"/>
    <w:link w:val="Heading4Char"/>
    <w:qFormat/>
    <w:rsid w:val="009437A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6CDB"/>
    <w:pPr>
      <w:tabs>
        <w:tab w:val="center" w:pos="4153"/>
        <w:tab w:val="right" w:pos="8306"/>
      </w:tabs>
    </w:pPr>
  </w:style>
  <w:style w:type="paragraph" w:styleId="Footer">
    <w:name w:val="footer"/>
    <w:basedOn w:val="Normal"/>
    <w:link w:val="FooterChar"/>
    <w:uiPriority w:val="99"/>
    <w:rsid w:val="003E194E"/>
    <w:pPr>
      <w:tabs>
        <w:tab w:val="center" w:pos="4153"/>
        <w:tab w:val="right" w:pos="8306"/>
      </w:tabs>
      <w:jc w:val="center"/>
    </w:pPr>
  </w:style>
  <w:style w:type="paragraph" w:styleId="BalloonText">
    <w:name w:val="Balloon Text"/>
    <w:basedOn w:val="Normal"/>
    <w:link w:val="BalloonTextChar"/>
    <w:rsid w:val="009738BE"/>
    <w:rPr>
      <w:rFonts w:ascii="Tahoma" w:hAnsi="Tahoma" w:cs="Tahoma"/>
      <w:sz w:val="16"/>
      <w:szCs w:val="16"/>
    </w:rPr>
  </w:style>
  <w:style w:type="character" w:customStyle="1" w:styleId="BalloonTextChar">
    <w:name w:val="Balloon Text Char"/>
    <w:link w:val="BalloonText"/>
    <w:rsid w:val="009738BE"/>
    <w:rPr>
      <w:rFonts w:ascii="Tahoma" w:hAnsi="Tahoma" w:cs="Tahoma"/>
      <w:sz w:val="16"/>
      <w:szCs w:val="16"/>
    </w:rPr>
  </w:style>
  <w:style w:type="character" w:customStyle="1" w:styleId="Heading1Char">
    <w:name w:val="Heading 1 Char"/>
    <w:link w:val="Heading1"/>
    <w:rsid w:val="00440B49"/>
    <w:rPr>
      <w:rFonts w:ascii="Arial" w:hAnsi="Arial" w:cs="Arial"/>
      <w:b/>
      <w:bCs/>
      <w:kern w:val="32"/>
      <w:sz w:val="48"/>
      <w:szCs w:val="32"/>
    </w:rPr>
  </w:style>
  <w:style w:type="character" w:customStyle="1" w:styleId="Heading2Char">
    <w:name w:val="Heading 2 Char"/>
    <w:link w:val="Heading2"/>
    <w:rsid w:val="004F12EC"/>
    <w:rPr>
      <w:rFonts w:ascii="Arial" w:hAnsi="Arial" w:cs="Arial"/>
      <w:b/>
      <w:bCs/>
      <w:iCs/>
      <w:sz w:val="36"/>
      <w:szCs w:val="28"/>
    </w:rPr>
  </w:style>
  <w:style w:type="character" w:customStyle="1" w:styleId="FooterChar">
    <w:name w:val="Footer Char"/>
    <w:link w:val="Footer"/>
    <w:uiPriority w:val="99"/>
    <w:rsid w:val="003E194E"/>
    <w:rPr>
      <w:rFonts w:ascii="Arial" w:hAnsi="Arial"/>
      <w:sz w:val="22"/>
      <w:szCs w:val="24"/>
      <w:lang w:eastAsia="en-AU"/>
    </w:rPr>
  </w:style>
  <w:style w:type="paragraph" w:customStyle="1" w:styleId="Titleheading">
    <w:name w:val="Title heading"/>
    <w:basedOn w:val="Heading1"/>
    <w:qFormat/>
    <w:rsid w:val="00D46AD6"/>
    <w:rPr>
      <w:sz w:val="72"/>
      <w:szCs w:val="72"/>
    </w:rPr>
  </w:style>
  <w:style w:type="paragraph" w:styleId="TOCHeading">
    <w:name w:val="TOC Heading"/>
    <w:basedOn w:val="Heading1"/>
    <w:next w:val="Normal"/>
    <w:uiPriority w:val="39"/>
    <w:semiHidden/>
    <w:unhideWhenUsed/>
    <w:qFormat/>
    <w:rsid w:val="008728D2"/>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qFormat/>
    <w:rsid w:val="00353824"/>
    <w:pPr>
      <w:tabs>
        <w:tab w:val="right" w:leader="dot" w:pos="9628"/>
      </w:tabs>
    </w:pPr>
    <w:rPr>
      <w:b/>
      <w:noProof/>
    </w:rPr>
  </w:style>
  <w:style w:type="paragraph" w:styleId="TOC2">
    <w:name w:val="toc 2"/>
    <w:basedOn w:val="Normal"/>
    <w:next w:val="Normal"/>
    <w:autoRedefine/>
    <w:uiPriority w:val="39"/>
    <w:qFormat/>
    <w:rsid w:val="008728D2"/>
    <w:pPr>
      <w:ind w:left="220"/>
    </w:pPr>
  </w:style>
  <w:style w:type="paragraph" w:styleId="TOC3">
    <w:name w:val="toc 3"/>
    <w:basedOn w:val="Normal"/>
    <w:next w:val="Normal"/>
    <w:autoRedefine/>
    <w:uiPriority w:val="39"/>
    <w:qFormat/>
    <w:rsid w:val="008728D2"/>
    <w:pPr>
      <w:ind w:left="440"/>
    </w:pPr>
  </w:style>
  <w:style w:type="character" w:styleId="Hyperlink">
    <w:name w:val="Hyperlink"/>
    <w:uiPriority w:val="99"/>
    <w:unhideWhenUsed/>
    <w:rsid w:val="008728D2"/>
    <w:rPr>
      <w:color w:val="0000FF"/>
      <w:u w:val="single"/>
    </w:rPr>
  </w:style>
  <w:style w:type="paragraph" w:customStyle="1" w:styleId="ColorfulList-Accent11">
    <w:name w:val="Colorful List - Accent 11"/>
    <w:basedOn w:val="Normal"/>
    <w:link w:val="ColorfulList-Accent1Char"/>
    <w:uiPriority w:val="34"/>
    <w:qFormat/>
    <w:rsid w:val="007A2B38"/>
    <w:pPr>
      <w:suppressAutoHyphens/>
      <w:spacing w:after="100"/>
      <w:ind w:left="720"/>
      <w:contextualSpacing/>
    </w:pPr>
  </w:style>
  <w:style w:type="paragraph" w:customStyle="1" w:styleId="Level1">
    <w:name w:val="Level 1"/>
    <w:basedOn w:val="Normal"/>
    <w:rsid w:val="002403CE"/>
    <w:pPr>
      <w:widowControl w:val="0"/>
      <w:autoSpaceDE w:val="0"/>
      <w:autoSpaceDN w:val="0"/>
      <w:adjustRightInd w:val="0"/>
      <w:spacing w:after="0"/>
      <w:ind w:left="720" w:hanging="720"/>
    </w:pPr>
    <w:rPr>
      <w:rFonts w:ascii="Times New Roman" w:hAnsi="Times New Roman"/>
      <w:sz w:val="20"/>
      <w:szCs w:val="20"/>
      <w:lang w:val="en-US"/>
    </w:rPr>
  </w:style>
  <w:style w:type="table" w:styleId="TableGrid">
    <w:name w:val="Table Grid"/>
    <w:basedOn w:val="TableNormal"/>
    <w:uiPriority w:val="39"/>
    <w:rsid w:val="0058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8377E"/>
    <w:rPr>
      <w:sz w:val="20"/>
      <w:szCs w:val="20"/>
    </w:rPr>
  </w:style>
  <w:style w:type="character" w:customStyle="1" w:styleId="FootnoteTextChar">
    <w:name w:val="Footnote Text Char"/>
    <w:link w:val="FootnoteText"/>
    <w:rsid w:val="0058377E"/>
    <w:rPr>
      <w:rFonts w:ascii="Arial" w:hAnsi="Arial"/>
    </w:rPr>
  </w:style>
  <w:style w:type="character" w:styleId="FootnoteReference">
    <w:name w:val="footnote reference"/>
    <w:uiPriority w:val="99"/>
    <w:rsid w:val="0058377E"/>
    <w:rPr>
      <w:vertAlign w:val="superscript"/>
    </w:rPr>
  </w:style>
  <w:style w:type="character" w:styleId="CommentReference">
    <w:name w:val="annotation reference"/>
    <w:rsid w:val="003902CC"/>
    <w:rPr>
      <w:sz w:val="16"/>
      <w:szCs w:val="16"/>
    </w:rPr>
  </w:style>
  <w:style w:type="paragraph" w:styleId="CommentText">
    <w:name w:val="annotation text"/>
    <w:basedOn w:val="Normal"/>
    <w:link w:val="CommentTextChar"/>
    <w:rsid w:val="003902CC"/>
    <w:rPr>
      <w:sz w:val="20"/>
      <w:szCs w:val="20"/>
    </w:rPr>
  </w:style>
  <w:style w:type="character" w:customStyle="1" w:styleId="CommentTextChar">
    <w:name w:val="Comment Text Char"/>
    <w:link w:val="CommentText"/>
    <w:rsid w:val="003902CC"/>
    <w:rPr>
      <w:rFonts w:ascii="Arial" w:hAnsi="Arial"/>
    </w:rPr>
  </w:style>
  <w:style w:type="paragraph" w:styleId="CommentSubject">
    <w:name w:val="annotation subject"/>
    <w:basedOn w:val="CommentText"/>
    <w:next w:val="CommentText"/>
    <w:link w:val="CommentSubjectChar"/>
    <w:rsid w:val="003902CC"/>
    <w:rPr>
      <w:b/>
      <w:bCs/>
    </w:rPr>
  </w:style>
  <w:style w:type="character" w:customStyle="1" w:styleId="CommentSubjectChar">
    <w:name w:val="Comment Subject Char"/>
    <w:link w:val="CommentSubject"/>
    <w:rsid w:val="003902CC"/>
    <w:rPr>
      <w:rFonts w:ascii="Arial" w:hAnsi="Arial"/>
      <w:b/>
      <w:bCs/>
    </w:rPr>
  </w:style>
  <w:style w:type="paragraph" w:styleId="NormalWeb">
    <w:name w:val="Normal (Web)"/>
    <w:basedOn w:val="Normal"/>
    <w:uiPriority w:val="99"/>
    <w:unhideWhenUsed/>
    <w:rsid w:val="007F78F0"/>
    <w:pPr>
      <w:spacing w:before="120" w:after="240"/>
    </w:pPr>
    <w:rPr>
      <w:rFonts w:ascii="Times New Roman" w:hAnsi="Times New Roman"/>
      <w:sz w:val="24"/>
    </w:rPr>
  </w:style>
  <w:style w:type="character" w:customStyle="1" w:styleId="meta1">
    <w:name w:val="meta1"/>
    <w:rsid w:val="007F78F0"/>
  </w:style>
  <w:style w:type="character" w:customStyle="1" w:styleId="filetype">
    <w:name w:val="filetype"/>
    <w:rsid w:val="007F78F0"/>
  </w:style>
  <w:style w:type="paragraph" w:customStyle="1" w:styleId="ColorfulShading-Accent11">
    <w:name w:val="Colorful Shading - Accent 11"/>
    <w:hidden/>
    <w:uiPriority w:val="99"/>
    <w:semiHidden/>
    <w:rsid w:val="00E563CB"/>
    <w:rPr>
      <w:rFonts w:ascii="Arial" w:hAnsi="Arial"/>
      <w:sz w:val="22"/>
      <w:szCs w:val="24"/>
    </w:rPr>
  </w:style>
  <w:style w:type="paragraph" w:customStyle="1" w:styleId="Default">
    <w:name w:val="Default"/>
    <w:rsid w:val="00A609F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DF6745"/>
    <w:pPr>
      <w:spacing w:before="240" w:after="60"/>
      <w:jc w:val="center"/>
      <w:outlineLvl w:val="0"/>
    </w:pPr>
    <w:rPr>
      <w:rFonts w:ascii="Cambria" w:hAnsi="Cambria"/>
      <w:b/>
      <w:bCs/>
      <w:kern w:val="28"/>
      <w:sz w:val="32"/>
      <w:szCs w:val="32"/>
    </w:rPr>
  </w:style>
  <w:style w:type="character" w:customStyle="1" w:styleId="TitleChar">
    <w:name w:val="Title Char"/>
    <w:link w:val="Title"/>
    <w:rsid w:val="00DF6745"/>
    <w:rPr>
      <w:rFonts w:ascii="Cambria" w:eastAsia="Times New Roman" w:hAnsi="Cambria" w:cs="Times New Roman"/>
      <w:b/>
      <w:bCs/>
      <w:kern w:val="28"/>
      <w:sz w:val="32"/>
      <w:szCs w:val="32"/>
    </w:rPr>
  </w:style>
  <w:style w:type="character" w:styleId="FollowedHyperlink">
    <w:name w:val="FollowedHyperlink"/>
    <w:rsid w:val="000D46F6"/>
    <w:rPr>
      <w:color w:val="800080"/>
      <w:u w:val="single"/>
    </w:rPr>
  </w:style>
  <w:style w:type="character" w:styleId="Strong">
    <w:name w:val="Strong"/>
    <w:uiPriority w:val="22"/>
    <w:qFormat/>
    <w:rsid w:val="000D46F6"/>
    <w:rPr>
      <w:b/>
      <w:bCs/>
      <w:i w:val="0"/>
      <w:iCs w:val="0"/>
    </w:rPr>
  </w:style>
  <w:style w:type="character" w:styleId="Emphasis">
    <w:name w:val="Emphasis"/>
    <w:uiPriority w:val="20"/>
    <w:qFormat/>
    <w:rsid w:val="007A1D35"/>
    <w:rPr>
      <w:i/>
      <w:iCs/>
    </w:rPr>
  </w:style>
  <w:style w:type="table" w:customStyle="1" w:styleId="TableGrid1">
    <w:name w:val="Table Grid1"/>
    <w:basedOn w:val="TableNormal"/>
    <w:next w:val="TableGrid"/>
    <w:uiPriority w:val="59"/>
    <w:rsid w:val="00E626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ffscreen1">
    <w:name w:val="offscreen1"/>
    <w:rsid w:val="00366034"/>
  </w:style>
  <w:style w:type="character" w:customStyle="1" w:styleId="ColorfulList-Accent1Char">
    <w:name w:val="Colorful List - Accent 1 Char"/>
    <w:link w:val="ColorfulList-Accent11"/>
    <w:uiPriority w:val="34"/>
    <w:locked/>
    <w:rsid w:val="00CB6109"/>
    <w:rPr>
      <w:rFonts w:ascii="Arial" w:hAnsi="Arial"/>
      <w:sz w:val="22"/>
      <w:szCs w:val="24"/>
    </w:rPr>
  </w:style>
  <w:style w:type="character" w:customStyle="1" w:styleId="Heading4Char">
    <w:name w:val="Heading 4 Char"/>
    <w:link w:val="Heading4"/>
    <w:rsid w:val="009437A1"/>
    <w:rPr>
      <w:rFonts w:ascii="Calibri" w:eastAsia="Times New Roman" w:hAnsi="Calibri" w:cs="Times New Roman"/>
      <w:b/>
      <w:bCs/>
      <w:sz w:val="28"/>
      <w:szCs w:val="28"/>
    </w:rPr>
  </w:style>
  <w:style w:type="paragraph" w:styleId="Revision">
    <w:name w:val="Revision"/>
    <w:hidden/>
    <w:uiPriority w:val="99"/>
    <w:semiHidden/>
    <w:rsid w:val="00754163"/>
    <w:rPr>
      <w:rFonts w:ascii="Arial" w:hAnsi="Arial"/>
      <w:sz w:val="22"/>
      <w:szCs w:val="24"/>
    </w:rPr>
  </w:style>
  <w:style w:type="paragraph" w:styleId="ListParagraph">
    <w:name w:val="List Paragraph"/>
    <w:basedOn w:val="Normal"/>
    <w:uiPriority w:val="34"/>
    <w:qFormat/>
    <w:rsid w:val="002E06E6"/>
    <w:pPr>
      <w:spacing w:after="200" w:line="276" w:lineRule="auto"/>
      <w:ind w:left="720"/>
      <w:contextualSpacing/>
    </w:pPr>
    <w:rPr>
      <w:rFonts w:ascii="Calibri" w:eastAsia="Calibri" w:hAnsi="Calibri"/>
      <w:szCs w:val="22"/>
      <w:lang w:eastAsia="en-US"/>
    </w:rPr>
  </w:style>
  <w:style w:type="character" w:customStyle="1" w:styleId="HeaderChar">
    <w:name w:val="Header Char"/>
    <w:link w:val="Header"/>
    <w:rsid w:val="004F07DC"/>
    <w:rPr>
      <w:rFonts w:ascii="Arial" w:hAnsi="Arial"/>
      <w:sz w:val="22"/>
      <w:szCs w:val="24"/>
    </w:rPr>
  </w:style>
  <w:style w:type="character" w:customStyle="1" w:styleId="detail">
    <w:name w:val="detail"/>
    <w:basedOn w:val="DefaultParagraphFont"/>
    <w:rsid w:val="00540FF9"/>
  </w:style>
  <w:style w:type="paragraph" w:customStyle="1" w:styleId="level10">
    <w:name w:val="level1"/>
    <w:basedOn w:val="Normal"/>
    <w:rsid w:val="00EC0695"/>
    <w:pPr>
      <w:spacing w:after="0"/>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685">
      <w:bodyDiv w:val="1"/>
      <w:marLeft w:val="0"/>
      <w:marRight w:val="0"/>
      <w:marTop w:val="0"/>
      <w:marBottom w:val="0"/>
      <w:divBdr>
        <w:top w:val="none" w:sz="0" w:space="0" w:color="auto"/>
        <w:left w:val="none" w:sz="0" w:space="0" w:color="auto"/>
        <w:bottom w:val="none" w:sz="0" w:space="0" w:color="auto"/>
        <w:right w:val="none" w:sz="0" w:space="0" w:color="auto"/>
      </w:divBdr>
    </w:div>
    <w:div w:id="32002083">
      <w:bodyDiv w:val="1"/>
      <w:marLeft w:val="0"/>
      <w:marRight w:val="0"/>
      <w:marTop w:val="0"/>
      <w:marBottom w:val="0"/>
      <w:divBdr>
        <w:top w:val="none" w:sz="0" w:space="0" w:color="auto"/>
        <w:left w:val="none" w:sz="0" w:space="0" w:color="auto"/>
        <w:bottom w:val="none" w:sz="0" w:space="0" w:color="auto"/>
        <w:right w:val="none" w:sz="0" w:space="0" w:color="auto"/>
      </w:divBdr>
      <w:divsChild>
        <w:div w:id="362247029">
          <w:marLeft w:val="0"/>
          <w:marRight w:val="0"/>
          <w:marTop w:val="0"/>
          <w:marBottom w:val="0"/>
          <w:divBdr>
            <w:top w:val="none" w:sz="0" w:space="0" w:color="auto"/>
            <w:left w:val="none" w:sz="0" w:space="0" w:color="auto"/>
            <w:bottom w:val="none" w:sz="0" w:space="0" w:color="auto"/>
            <w:right w:val="none" w:sz="0" w:space="0" w:color="auto"/>
          </w:divBdr>
          <w:divsChild>
            <w:div w:id="1714424847">
              <w:marLeft w:val="0"/>
              <w:marRight w:val="0"/>
              <w:marTop w:val="0"/>
              <w:marBottom w:val="0"/>
              <w:divBdr>
                <w:top w:val="none" w:sz="0" w:space="0" w:color="auto"/>
                <w:left w:val="none" w:sz="0" w:space="0" w:color="auto"/>
                <w:bottom w:val="none" w:sz="0" w:space="0" w:color="auto"/>
                <w:right w:val="none" w:sz="0" w:space="0" w:color="auto"/>
              </w:divBdr>
              <w:divsChild>
                <w:div w:id="1827478272">
                  <w:marLeft w:val="0"/>
                  <w:marRight w:val="0"/>
                  <w:marTop w:val="0"/>
                  <w:marBottom w:val="0"/>
                  <w:divBdr>
                    <w:top w:val="none" w:sz="0" w:space="0" w:color="auto"/>
                    <w:left w:val="none" w:sz="0" w:space="0" w:color="auto"/>
                    <w:bottom w:val="none" w:sz="0" w:space="0" w:color="auto"/>
                    <w:right w:val="none" w:sz="0" w:space="0" w:color="auto"/>
                  </w:divBdr>
                  <w:divsChild>
                    <w:div w:id="8701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7404">
      <w:bodyDiv w:val="1"/>
      <w:marLeft w:val="0"/>
      <w:marRight w:val="0"/>
      <w:marTop w:val="0"/>
      <w:marBottom w:val="0"/>
      <w:divBdr>
        <w:top w:val="none" w:sz="0" w:space="0" w:color="auto"/>
        <w:left w:val="none" w:sz="0" w:space="0" w:color="auto"/>
        <w:bottom w:val="none" w:sz="0" w:space="0" w:color="auto"/>
        <w:right w:val="none" w:sz="0" w:space="0" w:color="auto"/>
      </w:divBdr>
    </w:div>
    <w:div w:id="52508943">
      <w:bodyDiv w:val="1"/>
      <w:marLeft w:val="0"/>
      <w:marRight w:val="0"/>
      <w:marTop w:val="0"/>
      <w:marBottom w:val="0"/>
      <w:divBdr>
        <w:top w:val="none" w:sz="0" w:space="0" w:color="auto"/>
        <w:left w:val="none" w:sz="0" w:space="0" w:color="auto"/>
        <w:bottom w:val="none" w:sz="0" w:space="0" w:color="auto"/>
        <w:right w:val="none" w:sz="0" w:space="0" w:color="auto"/>
      </w:divBdr>
    </w:div>
    <w:div w:id="95833092">
      <w:bodyDiv w:val="1"/>
      <w:marLeft w:val="0"/>
      <w:marRight w:val="0"/>
      <w:marTop w:val="0"/>
      <w:marBottom w:val="0"/>
      <w:divBdr>
        <w:top w:val="none" w:sz="0" w:space="0" w:color="auto"/>
        <w:left w:val="none" w:sz="0" w:space="0" w:color="auto"/>
        <w:bottom w:val="none" w:sz="0" w:space="0" w:color="auto"/>
        <w:right w:val="none" w:sz="0" w:space="0" w:color="auto"/>
      </w:divBdr>
      <w:divsChild>
        <w:div w:id="38867766">
          <w:marLeft w:val="0"/>
          <w:marRight w:val="0"/>
          <w:marTop w:val="0"/>
          <w:marBottom w:val="0"/>
          <w:divBdr>
            <w:top w:val="none" w:sz="0" w:space="0" w:color="auto"/>
            <w:left w:val="none" w:sz="0" w:space="0" w:color="auto"/>
            <w:bottom w:val="none" w:sz="0" w:space="0" w:color="auto"/>
            <w:right w:val="none" w:sz="0" w:space="0" w:color="auto"/>
          </w:divBdr>
          <w:divsChild>
            <w:div w:id="1372456700">
              <w:marLeft w:val="0"/>
              <w:marRight w:val="0"/>
              <w:marTop w:val="0"/>
              <w:marBottom w:val="0"/>
              <w:divBdr>
                <w:top w:val="none" w:sz="0" w:space="0" w:color="auto"/>
                <w:left w:val="none" w:sz="0" w:space="0" w:color="auto"/>
                <w:bottom w:val="none" w:sz="0" w:space="0" w:color="auto"/>
                <w:right w:val="none" w:sz="0" w:space="0" w:color="auto"/>
              </w:divBdr>
              <w:divsChild>
                <w:div w:id="2016154437">
                  <w:marLeft w:val="0"/>
                  <w:marRight w:val="0"/>
                  <w:marTop w:val="0"/>
                  <w:marBottom w:val="240"/>
                  <w:divBdr>
                    <w:top w:val="none" w:sz="0" w:space="0" w:color="auto"/>
                    <w:left w:val="none" w:sz="0" w:space="0" w:color="auto"/>
                    <w:bottom w:val="none" w:sz="0" w:space="0" w:color="auto"/>
                    <w:right w:val="none" w:sz="0" w:space="0" w:color="auto"/>
                  </w:divBdr>
                  <w:divsChild>
                    <w:div w:id="13900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17704">
      <w:bodyDiv w:val="1"/>
      <w:marLeft w:val="0"/>
      <w:marRight w:val="0"/>
      <w:marTop w:val="0"/>
      <w:marBottom w:val="0"/>
      <w:divBdr>
        <w:top w:val="none" w:sz="0" w:space="0" w:color="auto"/>
        <w:left w:val="none" w:sz="0" w:space="0" w:color="auto"/>
        <w:bottom w:val="none" w:sz="0" w:space="0" w:color="auto"/>
        <w:right w:val="none" w:sz="0" w:space="0" w:color="auto"/>
      </w:divBdr>
      <w:divsChild>
        <w:div w:id="1287153685">
          <w:marLeft w:val="0"/>
          <w:marRight w:val="0"/>
          <w:marTop w:val="0"/>
          <w:marBottom w:val="0"/>
          <w:divBdr>
            <w:top w:val="none" w:sz="0" w:space="0" w:color="auto"/>
            <w:left w:val="none" w:sz="0" w:space="0" w:color="auto"/>
            <w:bottom w:val="none" w:sz="0" w:space="0" w:color="auto"/>
            <w:right w:val="none" w:sz="0" w:space="0" w:color="auto"/>
          </w:divBdr>
          <w:divsChild>
            <w:div w:id="456485797">
              <w:marLeft w:val="-300"/>
              <w:marRight w:val="-300"/>
              <w:marTop w:val="0"/>
              <w:marBottom w:val="0"/>
              <w:divBdr>
                <w:top w:val="none" w:sz="0" w:space="0" w:color="auto"/>
                <w:left w:val="none" w:sz="0" w:space="0" w:color="auto"/>
                <w:bottom w:val="none" w:sz="0" w:space="0" w:color="auto"/>
                <w:right w:val="none" w:sz="0" w:space="0" w:color="auto"/>
              </w:divBdr>
              <w:divsChild>
                <w:div w:id="1319920384">
                  <w:marLeft w:val="0"/>
                  <w:marRight w:val="0"/>
                  <w:marTop w:val="0"/>
                  <w:marBottom w:val="0"/>
                  <w:divBdr>
                    <w:top w:val="none" w:sz="0" w:space="0" w:color="auto"/>
                    <w:left w:val="none" w:sz="0" w:space="0" w:color="auto"/>
                    <w:bottom w:val="none" w:sz="0" w:space="0" w:color="auto"/>
                    <w:right w:val="none" w:sz="0" w:space="0" w:color="auto"/>
                  </w:divBdr>
                  <w:divsChild>
                    <w:div w:id="1523126622">
                      <w:marLeft w:val="0"/>
                      <w:marRight w:val="0"/>
                      <w:marTop w:val="0"/>
                      <w:marBottom w:val="0"/>
                      <w:divBdr>
                        <w:top w:val="none" w:sz="0" w:space="0" w:color="auto"/>
                        <w:left w:val="none" w:sz="0" w:space="0" w:color="auto"/>
                        <w:bottom w:val="none" w:sz="0" w:space="0" w:color="auto"/>
                        <w:right w:val="none" w:sz="0" w:space="0" w:color="auto"/>
                      </w:divBdr>
                      <w:divsChild>
                        <w:div w:id="1239633387">
                          <w:marLeft w:val="0"/>
                          <w:marRight w:val="0"/>
                          <w:marTop w:val="0"/>
                          <w:marBottom w:val="0"/>
                          <w:divBdr>
                            <w:top w:val="none" w:sz="0" w:space="0" w:color="auto"/>
                            <w:left w:val="none" w:sz="0" w:space="0" w:color="auto"/>
                            <w:bottom w:val="none" w:sz="0" w:space="0" w:color="auto"/>
                            <w:right w:val="none" w:sz="0" w:space="0" w:color="auto"/>
                          </w:divBdr>
                          <w:divsChild>
                            <w:div w:id="1909463634">
                              <w:marLeft w:val="0"/>
                              <w:marRight w:val="0"/>
                              <w:marTop w:val="0"/>
                              <w:marBottom w:val="0"/>
                              <w:divBdr>
                                <w:top w:val="none" w:sz="0" w:space="0" w:color="auto"/>
                                <w:left w:val="none" w:sz="0" w:space="0" w:color="auto"/>
                                <w:bottom w:val="none" w:sz="0" w:space="0" w:color="auto"/>
                                <w:right w:val="none" w:sz="0" w:space="0" w:color="auto"/>
                              </w:divBdr>
                              <w:divsChild>
                                <w:div w:id="477890166">
                                  <w:marLeft w:val="0"/>
                                  <w:marRight w:val="0"/>
                                  <w:marTop w:val="0"/>
                                  <w:marBottom w:val="0"/>
                                  <w:divBdr>
                                    <w:top w:val="none" w:sz="0" w:space="0" w:color="auto"/>
                                    <w:left w:val="none" w:sz="0" w:space="0" w:color="auto"/>
                                    <w:bottom w:val="none" w:sz="0" w:space="0" w:color="auto"/>
                                    <w:right w:val="none" w:sz="0" w:space="0" w:color="auto"/>
                                  </w:divBdr>
                                  <w:divsChild>
                                    <w:div w:id="21094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30707">
      <w:bodyDiv w:val="1"/>
      <w:marLeft w:val="0"/>
      <w:marRight w:val="0"/>
      <w:marTop w:val="0"/>
      <w:marBottom w:val="0"/>
      <w:divBdr>
        <w:top w:val="none" w:sz="0" w:space="0" w:color="auto"/>
        <w:left w:val="none" w:sz="0" w:space="0" w:color="auto"/>
        <w:bottom w:val="none" w:sz="0" w:space="0" w:color="auto"/>
        <w:right w:val="none" w:sz="0" w:space="0" w:color="auto"/>
      </w:divBdr>
    </w:div>
    <w:div w:id="206995075">
      <w:bodyDiv w:val="1"/>
      <w:marLeft w:val="0"/>
      <w:marRight w:val="0"/>
      <w:marTop w:val="0"/>
      <w:marBottom w:val="0"/>
      <w:divBdr>
        <w:top w:val="none" w:sz="0" w:space="0" w:color="auto"/>
        <w:left w:val="none" w:sz="0" w:space="0" w:color="auto"/>
        <w:bottom w:val="none" w:sz="0" w:space="0" w:color="auto"/>
        <w:right w:val="none" w:sz="0" w:space="0" w:color="auto"/>
      </w:divBdr>
    </w:div>
    <w:div w:id="261106289">
      <w:bodyDiv w:val="1"/>
      <w:marLeft w:val="0"/>
      <w:marRight w:val="0"/>
      <w:marTop w:val="0"/>
      <w:marBottom w:val="0"/>
      <w:divBdr>
        <w:top w:val="none" w:sz="0" w:space="0" w:color="auto"/>
        <w:left w:val="none" w:sz="0" w:space="0" w:color="auto"/>
        <w:bottom w:val="none" w:sz="0" w:space="0" w:color="auto"/>
        <w:right w:val="none" w:sz="0" w:space="0" w:color="auto"/>
      </w:divBdr>
    </w:div>
    <w:div w:id="264653862">
      <w:bodyDiv w:val="1"/>
      <w:marLeft w:val="0"/>
      <w:marRight w:val="0"/>
      <w:marTop w:val="0"/>
      <w:marBottom w:val="0"/>
      <w:divBdr>
        <w:top w:val="none" w:sz="0" w:space="0" w:color="auto"/>
        <w:left w:val="none" w:sz="0" w:space="0" w:color="auto"/>
        <w:bottom w:val="none" w:sz="0" w:space="0" w:color="auto"/>
        <w:right w:val="none" w:sz="0" w:space="0" w:color="auto"/>
      </w:divBdr>
    </w:div>
    <w:div w:id="279651831">
      <w:bodyDiv w:val="1"/>
      <w:marLeft w:val="0"/>
      <w:marRight w:val="0"/>
      <w:marTop w:val="0"/>
      <w:marBottom w:val="0"/>
      <w:divBdr>
        <w:top w:val="none" w:sz="0" w:space="0" w:color="auto"/>
        <w:left w:val="none" w:sz="0" w:space="0" w:color="auto"/>
        <w:bottom w:val="none" w:sz="0" w:space="0" w:color="auto"/>
        <w:right w:val="none" w:sz="0" w:space="0" w:color="auto"/>
      </w:divBdr>
    </w:div>
    <w:div w:id="289170081">
      <w:bodyDiv w:val="1"/>
      <w:marLeft w:val="0"/>
      <w:marRight w:val="0"/>
      <w:marTop w:val="0"/>
      <w:marBottom w:val="0"/>
      <w:divBdr>
        <w:top w:val="none" w:sz="0" w:space="0" w:color="auto"/>
        <w:left w:val="none" w:sz="0" w:space="0" w:color="auto"/>
        <w:bottom w:val="none" w:sz="0" w:space="0" w:color="auto"/>
        <w:right w:val="none" w:sz="0" w:space="0" w:color="auto"/>
      </w:divBdr>
    </w:div>
    <w:div w:id="349338502">
      <w:bodyDiv w:val="1"/>
      <w:marLeft w:val="0"/>
      <w:marRight w:val="0"/>
      <w:marTop w:val="0"/>
      <w:marBottom w:val="0"/>
      <w:divBdr>
        <w:top w:val="none" w:sz="0" w:space="0" w:color="auto"/>
        <w:left w:val="none" w:sz="0" w:space="0" w:color="auto"/>
        <w:bottom w:val="none" w:sz="0" w:space="0" w:color="auto"/>
        <w:right w:val="none" w:sz="0" w:space="0" w:color="auto"/>
      </w:divBdr>
      <w:divsChild>
        <w:div w:id="575360296">
          <w:marLeft w:val="0"/>
          <w:marRight w:val="0"/>
          <w:marTop w:val="0"/>
          <w:marBottom w:val="0"/>
          <w:divBdr>
            <w:top w:val="none" w:sz="0" w:space="0" w:color="auto"/>
            <w:left w:val="none" w:sz="0" w:space="0" w:color="auto"/>
            <w:bottom w:val="none" w:sz="0" w:space="0" w:color="auto"/>
            <w:right w:val="none" w:sz="0" w:space="0" w:color="auto"/>
          </w:divBdr>
          <w:divsChild>
            <w:div w:id="471798559">
              <w:marLeft w:val="0"/>
              <w:marRight w:val="0"/>
              <w:marTop w:val="0"/>
              <w:marBottom w:val="0"/>
              <w:divBdr>
                <w:top w:val="none" w:sz="0" w:space="0" w:color="auto"/>
                <w:left w:val="none" w:sz="0" w:space="0" w:color="auto"/>
                <w:bottom w:val="none" w:sz="0" w:space="0" w:color="auto"/>
                <w:right w:val="none" w:sz="0" w:space="0" w:color="auto"/>
              </w:divBdr>
              <w:divsChild>
                <w:div w:id="2065441785">
                  <w:marLeft w:val="0"/>
                  <w:marRight w:val="0"/>
                  <w:marTop w:val="0"/>
                  <w:marBottom w:val="0"/>
                  <w:divBdr>
                    <w:top w:val="none" w:sz="0" w:space="0" w:color="auto"/>
                    <w:left w:val="none" w:sz="0" w:space="0" w:color="auto"/>
                    <w:bottom w:val="none" w:sz="0" w:space="0" w:color="auto"/>
                    <w:right w:val="none" w:sz="0" w:space="0" w:color="auto"/>
                  </w:divBdr>
                  <w:divsChild>
                    <w:div w:id="12497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2722">
      <w:bodyDiv w:val="1"/>
      <w:marLeft w:val="0"/>
      <w:marRight w:val="0"/>
      <w:marTop w:val="0"/>
      <w:marBottom w:val="0"/>
      <w:divBdr>
        <w:top w:val="none" w:sz="0" w:space="0" w:color="auto"/>
        <w:left w:val="none" w:sz="0" w:space="0" w:color="auto"/>
        <w:bottom w:val="none" w:sz="0" w:space="0" w:color="auto"/>
        <w:right w:val="none" w:sz="0" w:space="0" w:color="auto"/>
      </w:divBdr>
    </w:div>
    <w:div w:id="444931571">
      <w:bodyDiv w:val="1"/>
      <w:marLeft w:val="0"/>
      <w:marRight w:val="0"/>
      <w:marTop w:val="0"/>
      <w:marBottom w:val="0"/>
      <w:divBdr>
        <w:top w:val="none" w:sz="0" w:space="0" w:color="auto"/>
        <w:left w:val="none" w:sz="0" w:space="0" w:color="auto"/>
        <w:bottom w:val="none" w:sz="0" w:space="0" w:color="auto"/>
        <w:right w:val="none" w:sz="0" w:space="0" w:color="auto"/>
      </w:divBdr>
    </w:div>
    <w:div w:id="474419354">
      <w:bodyDiv w:val="1"/>
      <w:marLeft w:val="0"/>
      <w:marRight w:val="0"/>
      <w:marTop w:val="0"/>
      <w:marBottom w:val="0"/>
      <w:divBdr>
        <w:top w:val="none" w:sz="0" w:space="0" w:color="auto"/>
        <w:left w:val="none" w:sz="0" w:space="0" w:color="auto"/>
        <w:bottom w:val="none" w:sz="0" w:space="0" w:color="auto"/>
        <w:right w:val="none" w:sz="0" w:space="0" w:color="auto"/>
      </w:divBdr>
    </w:div>
    <w:div w:id="513764937">
      <w:bodyDiv w:val="1"/>
      <w:marLeft w:val="0"/>
      <w:marRight w:val="0"/>
      <w:marTop w:val="0"/>
      <w:marBottom w:val="0"/>
      <w:divBdr>
        <w:top w:val="none" w:sz="0" w:space="0" w:color="auto"/>
        <w:left w:val="none" w:sz="0" w:space="0" w:color="auto"/>
        <w:bottom w:val="none" w:sz="0" w:space="0" w:color="auto"/>
        <w:right w:val="none" w:sz="0" w:space="0" w:color="auto"/>
      </w:divBdr>
      <w:divsChild>
        <w:div w:id="1885561740">
          <w:marLeft w:val="0"/>
          <w:marRight w:val="0"/>
          <w:marTop w:val="0"/>
          <w:marBottom w:val="0"/>
          <w:divBdr>
            <w:top w:val="none" w:sz="0" w:space="0" w:color="auto"/>
            <w:left w:val="none" w:sz="0" w:space="0" w:color="auto"/>
            <w:bottom w:val="none" w:sz="0" w:space="0" w:color="auto"/>
            <w:right w:val="none" w:sz="0" w:space="0" w:color="auto"/>
          </w:divBdr>
          <w:divsChild>
            <w:div w:id="2134014477">
              <w:marLeft w:val="0"/>
              <w:marRight w:val="0"/>
              <w:marTop w:val="0"/>
              <w:marBottom w:val="0"/>
              <w:divBdr>
                <w:top w:val="none" w:sz="0" w:space="0" w:color="auto"/>
                <w:left w:val="none" w:sz="0" w:space="0" w:color="auto"/>
                <w:bottom w:val="none" w:sz="0" w:space="0" w:color="auto"/>
                <w:right w:val="none" w:sz="0" w:space="0" w:color="auto"/>
              </w:divBdr>
              <w:divsChild>
                <w:div w:id="2066755387">
                  <w:marLeft w:val="0"/>
                  <w:marRight w:val="0"/>
                  <w:marTop w:val="0"/>
                  <w:marBottom w:val="240"/>
                  <w:divBdr>
                    <w:top w:val="none" w:sz="0" w:space="0" w:color="auto"/>
                    <w:left w:val="none" w:sz="0" w:space="0" w:color="auto"/>
                    <w:bottom w:val="none" w:sz="0" w:space="0" w:color="auto"/>
                    <w:right w:val="none" w:sz="0" w:space="0" w:color="auto"/>
                  </w:divBdr>
                  <w:divsChild>
                    <w:div w:id="3779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77459">
      <w:bodyDiv w:val="1"/>
      <w:marLeft w:val="0"/>
      <w:marRight w:val="0"/>
      <w:marTop w:val="0"/>
      <w:marBottom w:val="0"/>
      <w:divBdr>
        <w:top w:val="none" w:sz="0" w:space="0" w:color="auto"/>
        <w:left w:val="none" w:sz="0" w:space="0" w:color="auto"/>
        <w:bottom w:val="none" w:sz="0" w:space="0" w:color="auto"/>
        <w:right w:val="none" w:sz="0" w:space="0" w:color="auto"/>
      </w:divBdr>
    </w:div>
    <w:div w:id="586155860">
      <w:bodyDiv w:val="1"/>
      <w:marLeft w:val="0"/>
      <w:marRight w:val="0"/>
      <w:marTop w:val="0"/>
      <w:marBottom w:val="0"/>
      <w:divBdr>
        <w:top w:val="none" w:sz="0" w:space="0" w:color="auto"/>
        <w:left w:val="none" w:sz="0" w:space="0" w:color="auto"/>
        <w:bottom w:val="none" w:sz="0" w:space="0" w:color="auto"/>
        <w:right w:val="none" w:sz="0" w:space="0" w:color="auto"/>
      </w:divBdr>
    </w:div>
    <w:div w:id="605311523">
      <w:bodyDiv w:val="1"/>
      <w:marLeft w:val="0"/>
      <w:marRight w:val="0"/>
      <w:marTop w:val="0"/>
      <w:marBottom w:val="0"/>
      <w:divBdr>
        <w:top w:val="none" w:sz="0" w:space="0" w:color="auto"/>
        <w:left w:val="none" w:sz="0" w:space="0" w:color="auto"/>
        <w:bottom w:val="none" w:sz="0" w:space="0" w:color="auto"/>
        <w:right w:val="none" w:sz="0" w:space="0" w:color="auto"/>
      </w:divBdr>
    </w:div>
    <w:div w:id="770006342">
      <w:bodyDiv w:val="1"/>
      <w:marLeft w:val="0"/>
      <w:marRight w:val="0"/>
      <w:marTop w:val="0"/>
      <w:marBottom w:val="0"/>
      <w:divBdr>
        <w:top w:val="none" w:sz="0" w:space="0" w:color="auto"/>
        <w:left w:val="none" w:sz="0" w:space="0" w:color="auto"/>
        <w:bottom w:val="none" w:sz="0" w:space="0" w:color="auto"/>
        <w:right w:val="none" w:sz="0" w:space="0" w:color="auto"/>
      </w:divBdr>
    </w:div>
    <w:div w:id="770199557">
      <w:bodyDiv w:val="1"/>
      <w:marLeft w:val="0"/>
      <w:marRight w:val="0"/>
      <w:marTop w:val="0"/>
      <w:marBottom w:val="0"/>
      <w:divBdr>
        <w:top w:val="none" w:sz="0" w:space="0" w:color="auto"/>
        <w:left w:val="none" w:sz="0" w:space="0" w:color="auto"/>
        <w:bottom w:val="none" w:sz="0" w:space="0" w:color="auto"/>
        <w:right w:val="none" w:sz="0" w:space="0" w:color="auto"/>
      </w:divBdr>
    </w:div>
    <w:div w:id="794446121">
      <w:bodyDiv w:val="1"/>
      <w:marLeft w:val="0"/>
      <w:marRight w:val="0"/>
      <w:marTop w:val="0"/>
      <w:marBottom w:val="0"/>
      <w:divBdr>
        <w:top w:val="none" w:sz="0" w:space="0" w:color="auto"/>
        <w:left w:val="none" w:sz="0" w:space="0" w:color="auto"/>
        <w:bottom w:val="none" w:sz="0" w:space="0" w:color="auto"/>
        <w:right w:val="none" w:sz="0" w:space="0" w:color="auto"/>
      </w:divBdr>
    </w:div>
    <w:div w:id="799881122">
      <w:bodyDiv w:val="1"/>
      <w:marLeft w:val="0"/>
      <w:marRight w:val="0"/>
      <w:marTop w:val="0"/>
      <w:marBottom w:val="0"/>
      <w:divBdr>
        <w:top w:val="none" w:sz="0" w:space="0" w:color="auto"/>
        <w:left w:val="none" w:sz="0" w:space="0" w:color="auto"/>
        <w:bottom w:val="none" w:sz="0" w:space="0" w:color="auto"/>
        <w:right w:val="none" w:sz="0" w:space="0" w:color="auto"/>
      </w:divBdr>
    </w:div>
    <w:div w:id="807744646">
      <w:bodyDiv w:val="1"/>
      <w:marLeft w:val="0"/>
      <w:marRight w:val="0"/>
      <w:marTop w:val="0"/>
      <w:marBottom w:val="0"/>
      <w:divBdr>
        <w:top w:val="none" w:sz="0" w:space="0" w:color="auto"/>
        <w:left w:val="none" w:sz="0" w:space="0" w:color="auto"/>
        <w:bottom w:val="none" w:sz="0" w:space="0" w:color="auto"/>
        <w:right w:val="none" w:sz="0" w:space="0" w:color="auto"/>
      </w:divBdr>
    </w:div>
    <w:div w:id="807868199">
      <w:bodyDiv w:val="1"/>
      <w:marLeft w:val="0"/>
      <w:marRight w:val="0"/>
      <w:marTop w:val="0"/>
      <w:marBottom w:val="0"/>
      <w:divBdr>
        <w:top w:val="none" w:sz="0" w:space="0" w:color="auto"/>
        <w:left w:val="none" w:sz="0" w:space="0" w:color="auto"/>
        <w:bottom w:val="none" w:sz="0" w:space="0" w:color="auto"/>
        <w:right w:val="none" w:sz="0" w:space="0" w:color="auto"/>
      </w:divBdr>
    </w:div>
    <w:div w:id="855002175">
      <w:bodyDiv w:val="1"/>
      <w:marLeft w:val="0"/>
      <w:marRight w:val="0"/>
      <w:marTop w:val="0"/>
      <w:marBottom w:val="0"/>
      <w:divBdr>
        <w:top w:val="none" w:sz="0" w:space="0" w:color="auto"/>
        <w:left w:val="none" w:sz="0" w:space="0" w:color="auto"/>
        <w:bottom w:val="none" w:sz="0" w:space="0" w:color="auto"/>
        <w:right w:val="none" w:sz="0" w:space="0" w:color="auto"/>
      </w:divBdr>
    </w:div>
    <w:div w:id="931476596">
      <w:bodyDiv w:val="1"/>
      <w:marLeft w:val="0"/>
      <w:marRight w:val="0"/>
      <w:marTop w:val="0"/>
      <w:marBottom w:val="0"/>
      <w:divBdr>
        <w:top w:val="none" w:sz="0" w:space="0" w:color="auto"/>
        <w:left w:val="none" w:sz="0" w:space="0" w:color="auto"/>
        <w:bottom w:val="none" w:sz="0" w:space="0" w:color="auto"/>
        <w:right w:val="none" w:sz="0" w:space="0" w:color="auto"/>
      </w:divBdr>
      <w:divsChild>
        <w:div w:id="2123839800">
          <w:marLeft w:val="0"/>
          <w:marRight w:val="0"/>
          <w:marTop w:val="0"/>
          <w:marBottom w:val="0"/>
          <w:divBdr>
            <w:top w:val="none" w:sz="0" w:space="0" w:color="auto"/>
            <w:left w:val="none" w:sz="0" w:space="0" w:color="auto"/>
            <w:bottom w:val="none" w:sz="0" w:space="0" w:color="auto"/>
            <w:right w:val="none" w:sz="0" w:space="0" w:color="auto"/>
          </w:divBdr>
          <w:divsChild>
            <w:div w:id="871957421">
              <w:marLeft w:val="0"/>
              <w:marRight w:val="0"/>
              <w:marTop w:val="0"/>
              <w:marBottom w:val="0"/>
              <w:divBdr>
                <w:top w:val="none" w:sz="0" w:space="0" w:color="auto"/>
                <w:left w:val="none" w:sz="0" w:space="0" w:color="auto"/>
                <w:bottom w:val="none" w:sz="0" w:space="0" w:color="auto"/>
                <w:right w:val="none" w:sz="0" w:space="0" w:color="auto"/>
              </w:divBdr>
              <w:divsChild>
                <w:div w:id="57290123">
                  <w:marLeft w:val="0"/>
                  <w:marRight w:val="0"/>
                  <w:marTop w:val="0"/>
                  <w:marBottom w:val="0"/>
                  <w:divBdr>
                    <w:top w:val="none" w:sz="0" w:space="0" w:color="auto"/>
                    <w:left w:val="none" w:sz="0" w:space="0" w:color="auto"/>
                    <w:bottom w:val="none" w:sz="0" w:space="0" w:color="auto"/>
                    <w:right w:val="none" w:sz="0" w:space="0" w:color="auto"/>
                  </w:divBdr>
                  <w:divsChild>
                    <w:div w:id="13299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48480">
      <w:bodyDiv w:val="1"/>
      <w:marLeft w:val="0"/>
      <w:marRight w:val="0"/>
      <w:marTop w:val="0"/>
      <w:marBottom w:val="0"/>
      <w:divBdr>
        <w:top w:val="none" w:sz="0" w:space="0" w:color="auto"/>
        <w:left w:val="none" w:sz="0" w:space="0" w:color="auto"/>
        <w:bottom w:val="none" w:sz="0" w:space="0" w:color="auto"/>
        <w:right w:val="none" w:sz="0" w:space="0" w:color="auto"/>
      </w:divBdr>
    </w:div>
    <w:div w:id="988247198">
      <w:bodyDiv w:val="1"/>
      <w:marLeft w:val="0"/>
      <w:marRight w:val="0"/>
      <w:marTop w:val="0"/>
      <w:marBottom w:val="0"/>
      <w:divBdr>
        <w:top w:val="none" w:sz="0" w:space="0" w:color="auto"/>
        <w:left w:val="none" w:sz="0" w:space="0" w:color="auto"/>
        <w:bottom w:val="none" w:sz="0" w:space="0" w:color="auto"/>
        <w:right w:val="none" w:sz="0" w:space="0" w:color="auto"/>
      </w:divBdr>
    </w:div>
    <w:div w:id="995182992">
      <w:bodyDiv w:val="1"/>
      <w:marLeft w:val="0"/>
      <w:marRight w:val="0"/>
      <w:marTop w:val="0"/>
      <w:marBottom w:val="0"/>
      <w:divBdr>
        <w:top w:val="none" w:sz="0" w:space="0" w:color="auto"/>
        <w:left w:val="none" w:sz="0" w:space="0" w:color="auto"/>
        <w:bottom w:val="none" w:sz="0" w:space="0" w:color="auto"/>
        <w:right w:val="none" w:sz="0" w:space="0" w:color="auto"/>
      </w:divBdr>
    </w:div>
    <w:div w:id="1067337895">
      <w:bodyDiv w:val="1"/>
      <w:marLeft w:val="0"/>
      <w:marRight w:val="0"/>
      <w:marTop w:val="0"/>
      <w:marBottom w:val="0"/>
      <w:divBdr>
        <w:top w:val="none" w:sz="0" w:space="0" w:color="auto"/>
        <w:left w:val="none" w:sz="0" w:space="0" w:color="auto"/>
        <w:bottom w:val="none" w:sz="0" w:space="0" w:color="auto"/>
        <w:right w:val="none" w:sz="0" w:space="0" w:color="auto"/>
      </w:divBdr>
    </w:div>
    <w:div w:id="1116099903">
      <w:bodyDiv w:val="1"/>
      <w:marLeft w:val="0"/>
      <w:marRight w:val="0"/>
      <w:marTop w:val="0"/>
      <w:marBottom w:val="0"/>
      <w:divBdr>
        <w:top w:val="none" w:sz="0" w:space="0" w:color="auto"/>
        <w:left w:val="none" w:sz="0" w:space="0" w:color="auto"/>
        <w:bottom w:val="none" w:sz="0" w:space="0" w:color="auto"/>
        <w:right w:val="none" w:sz="0" w:space="0" w:color="auto"/>
      </w:divBdr>
      <w:divsChild>
        <w:div w:id="1530341013">
          <w:marLeft w:val="0"/>
          <w:marRight w:val="0"/>
          <w:marTop w:val="0"/>
          <w:marBottom w:val="0"/>
          <w:divBdr>
            <w:top w:val="none" w:sz="0" w:space="0" w:color="auto"/>
            <w:left w:val="none" w:sz="0" w:space="0" w:color="auto"/>
            <w:bottom w:val="none" w:sz="0" w:space="0" w:color="auto"/>
            <w:right w:val="none" w:sz="0" w:space="0" w:color="auto"/>
          </w:divBdr>
          <w:divsChild>
            <w:div w:id="1730415846">
              <w:marLeft w:val="0"/>
              <w:marRight w:val="0"/>
              <w:marTop w:val="0"/>
              <w:marBottom w:val="0"/>
              <w:divBdr>
                <w:top w:val="none" w:sz="0" w:space="0" w:color="auto"/>
                <w:left w:val="none" w:sz="0" w:space="0" w:color="auto"/>
                <w:bottom w:val="none" w:sz="0" w:space="0" w:color="auto"/>
                <w:right w:val="none" w:sz="0" w:space="0" w:color="auto"/>
              </w:divBdr>
              <w:divsChild>
                <w:div w:id="516894449">
                  <w:marLeft w:val="0"/>
                  <w:marRight w:val="0"/>
                  <w:marTop w:val="0"/>
                  <w:marBottom w:val="0"/>
                  <w:divBdr>
                    <w:top w:val="none" w:sz="0" w:space="0" w:color="auto"/>
                    <w:left w:val="none" w:sz="0" w:space="0" w:color="auto"/>
                    <w:bottom w:val="none" w:sz="0" w:space="0" w:color="auto"/>
                    <w:right w:val="none" w:sz="0" w:space="0" w:color="auto"/>
                  </w:divBdr>
                  <w:divsChild>
                    <w:div w:id="716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3494">
      <w:bodyDiv w:val="1"/>
      <w:marLeft w:val="0"/>
      <w:marRight w:val="0"/>
      <w:marTop w:val="0"/>
      <w:marBottom w:val="0"/>
      <w:divBdr>
        <w:top w:val="none" w:sz="0" w:space="0" w:color="auto"/>
        <w:left w:val="none" w:sz="0" w:space="0" w:color="auto"/>
        <w:bottom w:val="none" w:sz="0" w:space="0" w:color="auto"/>
        <w:right w:val="none" w:sz="0" w:space="0" w:color="auto"/>
      </w:divBdr>
      <w:divsChild>
        <w:div w:id="907887405">
          <w:marLeft w:val="0"/>
          <w:marRight w:val="0"/>
          <w:marTop w:val="0"/>
          <w:marBottom w:val="0"/>
          <w:divBdr>
            <w:top w:val="none" w:sz="0" w:space="0" w:color="auto"/>
            <w:left w:val="none" w:sz="0" w:space="0" w:color="auto"/>
            <w:bottom w:val="none" w:sz="0" w:space="0" w:color="auto"/>
            <w:right w:val="none" w:sz="0" w:space="0" w:color="auto"/>
          </w:divBdr>
          <w:divsChild>
            <w:div w:id="1651204695">
              <w:marLeft w:val="0"/>
              <w:marRight w:val="0"/>
              <w:marTop w:val="0"/>
              <w:marBottom w:val="0"/>
              <w:divBdr>
                <w:top w:val="none" w:sz="0" w:space="0" w:color="auto"/>
                <w:left w:val="none" w:sz="0" w:space="0" w:color="auto"/>
                <w:bottom w:val="none" w:sz="0" w:space="0" w:color="auto"/>
                <w:right w:val="none" w:sz="0" w:space="0" w:color="auto"/>
              </w:divBdr>
              <w:divsChild>
                <w:div w:id="1472360705">
                  <w:marLeft w:val="0"/>
                  <w:marRight w:val="0"/>
                  <w:marTop w:val="0"/>
                  <w:marBottom w:val="0"/>
                  <w:divBdr>
                    <w:top w:val="none" w:sz="0" w:space="0" w:color="auto"/>
                    <w:left w:val="none" w:sz="0" w:space="0" w:color="auto"/>
                    <w:bottom w:val="none" w:sz="0" w:space="0" w:color="auto"/>
                    <w:right w:val="none" w:sz="0" w:space="0" w:color="auto"/>
                  </w:divBdr>
                  <w:divsChild>
                    <w:div w:id="14372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17560">
      <w:bodyDiv w:val="1"/>
      <w:marLeft w:val="0"/>
      <w:marRight w:val="0"/>
      <w:marTop w:val="0"/>
      <w:marBottom w:val="0"/>
      <w:divBdr>
        <w:top w:val="none" w:sz="0" w:space="0" w:color="auto"/>
        <w:left w:val="none" w:sz="0" w:space="0" w:color="auto"/>
        <w:bottom w:val="none" w:sz="0" w:space="0" w:color="auto"/>
        <w:right w:val="none" w:sz="0" w:space="0" w:color="auto"/>
      </w:divBdr>
    </w:div>
    <w:div w:id="1274052454">
      <w:bodyDiv w:val="1"/>
      <w:marLeft w:val="0"/>
      <w:marRight w:val="0"/>
      <w:marTop w:val="0"/>
      <w:marBottom w:val="0"/>
      <w:divBdr>
        <w:top w:val="none" w:sz="0" w:space="0" w:color="auto"/>
        <w:left w:val="none" w:sz="0" w:space="0" w:color="auto"/>
        <w:bottom w:val="none" w:sz="0" w:space="0" w:color="auto"/>
        <w:right w:val="none" w:sz="0" w:space="0" w:color="auto"/>
      </w:divBdr>
    </w:div>
    <w:div w:id="1307398401">
      <w:bodyDiv w:val="1"/>
      <w:marLeft w:val="0"/>
      <w:marRight w:val="0"/>
      <w:marTop w:val="0"/>
      <w:marBottom w:val="0"/>
      <w:divBdr>
        <w:top w:val="none" w:sz="0" w:space="0" w:color="auto"/>
        <w:left w:val="none" w:sz="0" w:space="0" w:color="auto"/>
        <w:bottom w:val="none" w:sz="0" w:space="0" w:color="auto"/>
        <w:right w:val="none" w:sz="0" w:space="0" w:color="auto"/>
      </w:divBdr>
    </w:div>
    <w:div w:id="1323853332">
      <w:bodyDiv w:val="1"/>
      <w:marLeft w:val="0"/>
      <w:marRight w:val="0"/>
      <w:marTop w:val="0"/>
      <w:marBottom w:val="0"/>
      <w:divBdr>
        <w:top w:val="none" w:sz="0" w:space="0" w:color="auto"/>
        <w:left w:val="none" w:sz="0" w:space="0" w:color="auto"/>
        <w:bottom w:val="none" w:sz="0" w:space="0" w:color="auto"/>
        <w:right w:val="none" w:sz="0" w:space="0" w:color="auto"/>
      </w:divBdr>
    </w:div>
    <w:div w:id="1340692182">
      <w:bodyDiv w:val="1"/>
      <w:marLeft w:val="0"/>
      <w:marRight w:val="0"/>
      <w:marTop w:val="0"/>
      <w:marBottom w:val="0"/>
      <w:divBdr>
        <w:top w:val="none" w:sz="0" w:space="0" w:color="auto"/>
        <w:left w:val="none" w:sz="0" w:space="0" w:color="auto"/>
        <w:bottom w:val="none" w:sz="0" w:space="0" w:color="auto"/>
        <w:right w:val="none" w:sz="0" w:space="0" w:color="auto"/>
      </w:divBdr>
      <w:divsChild>
        <w:div w:id="874463222">
          <w:marLeft w:val="0"/>
          <w:marRight w:val="0"/>
          <w:marTop w:val="0"/>
          <w:marBottom w:val="0"/>
          <w:divBdr>
            <w:top w:val="none" w:sz="0" w:space="0" w:color="auto"/>
            <w:left w:val="none" w:sz="0" w:space="0" w:color="auto"/>
            <w:bottom w:val="none" w:sz="0" w:space="0" w:color="auto"/>
            <w:right w:val="none" w:sz="0" w:space="0" w:color="auto"/>
          </w:divBdr>
          <w:divsChild>
            <w:div w:id="371855115">
              <w:marLeft w:val="0"/>
              <w:marRight w:val="0"/>
              <w:marTop w:val="0"/>
              <w:marBottom w:val="0"/>
              <w:divBdr>
                <w:top w:val="none" w:sz="0" w:space="0" w:color="auto"/>
                <w:left w:val="none" w:sz="0" w:space="0" w:color="auto"/>
                <w:bottom w:val="none" w:sz="0" w:space="0" w:color="auto"/>
                <w:right w:val="none" w:sz="0" w:space="0" w:color="auto"/>
              </w:divBdr>
              <w:divsChild>
                <w:div w:id="1528329969">
                  <w:marLeft w:val="-225"/>
                  <w:marRight w:val="-225"/>
                  <w:marTop w:val="0"/>
                  <w:marBottom w:val="0"/>
                  <w:divBdr>
                    <w:top w:val="none" w:sz="0" w:space="0" w:color="auto"/>
                    <w:left w:val="none" w:sz="0" w:space="0" w:color="auto"/>
                    <w:bottom w:val="none" w:sz="0" w:space="0" w:color="auto"/>
                    <w:right w:val="none" w:sz="0" w:space="0" w:color="auto"/>
                  </w:divBdr>
                  <w:divsChild>
                    <w:div w:id="2033532087">
                      <w:marLeft w:val="0"/>
                      <w:marRight w:val="0"/>
                      <w:marTop w:val="0"/>
                      <w:marBottom w:val="0"/>
                      <w:divBdr>
                        <w:top w:val="none" w:sz="0" w:space="0" w:color="auto"/>
                        <w:left w:val="none" w:sz="0" w:space="0" w:color="auto"/>
                        <w:bottom w:val="none" w:sz="0" w:space="0" w:color="auto"/>
                        <w:right w:val="none" w:sz="0" w:space="0" w:color="auto"/>
                      </w:divBdr>
                      <w:divsChild>
                        <w:div w:id="2005038535">
                          <w:marLeft w:val="0"/>
                          <w:marRight w:val="0"/>
                          <w:marTop w:val="0"/>
                          <w:marBottom w:val="0"/>
                          <w:divBdr>
                            <w:top w:val="none" w:sz="0" w:space="0" w:color="auto"/>
                            <w:left w:val="none" w:sz="0" w:space="0" w:color="auto"/>
                            <w:bottom w:val="none" w:sz="0" w:space="0" w:color="auto"/>
                            <w:right w:val="none" w:sz="0" w:space="0" w:color="auto"/>
                          </w:divBdr>
                          <w:divsChild>
                            <w:div w:id="422260722">
                              <w:marLeft w:val="0"/>
                              <w:marRight w:val="0"/>
                              <w:marTop w:val="0"/>
                              <w:marBottom w:val="0"/>
                              <w:divBdr>
                                <w:top w:val="none" w:sz="0" w:space="0" w:color="auto"/>
                                <w:left w:val="none" w:sz="0" w:space="0" w:color="auto"/>
                                <w:bottom w:val="none" w:sz="0" w:space="0" w:color="auto"/>
                                <w:right w:val="none" w:sz="0" w:space="0" w:color="auto"/>
                              </w:divBdr>
                              <w:divsChild>
                                <w:div w:id="1441727362">
                                  <w:marLeft w:val="-225"/>
                                  <w:marRight w:val="-225"/>
                                  <w:marTop w:val="0"/>
                                  <w:marBottom w:val="0"/>
                                  <w:divBdr>
                                    <w:top w:val="none" w:sz="0" w:space="0" w:color="auto"/>
                                    <w:left w:val="none" w:sz="0" w:space="0" w:color="auto"/>
                                    <w:bottom w:val="none" w:sz="0" w:space="0" w:color="auto"/>
                                    <w:right w:val="none" w:sz="0" w:space="0" w:color="auto"/>
                                  </w:divBdr>
                                  <w:divsChild>
                                    <w:div w:id="1972052286">
                                      <w:marLeft w:val="0"/>
                                      <w:marRight w:val="0"/>
                                      <w:marTop w:val="0"/>
                                      <w:marBottom w:val="0"/>
                                      <w:divBdr>
                                        <w:top w:val="none" w:sz="0" w:space="0" w:color="auto"/>
                                        <w:left w:val="none" w:sz="0" w:space="0" w:color="auto"/>
                                        <w:bottom w:val="none" w:sz="0" w:space="0" w:color="auto"/>
                                        <w:right w:val="none" w:sz="0" w:space="0" w:color="auto"/>
                                      </w:divBdr>
                                      <w:divsChild>
                                        <w:div w:id="1779642564">
                                          <w:marLeft w:val="0"/>
                                          <w:marRight w:val="0"/>
                                          <w:marTop w:val="0"/>
                                          <w:marBottom w:val="0"/>
                                          <w:divBdr>
                                            <w:top w:val="none" w:sz="0" w:space="0" w:color="auto"/>
                                            <w:left w:val="none" w:sz="0" w:space="0" w:color="auto"/>
                                            <w:bottom w:val="none" w:sz="0" w:space="0" w:color="auto"/>
                                            <w:right w:val="none" w:sz="0" w:space="0" w:color="auto"/>
                                          </w:divBdr>
                                          <w:divsChild>
                                            <w:div w:id="1077442544">
                                              <w:marLeft w:val="0"/>
                                              <w:marRight w:val="0"/>
                                              <w:marTop w:val="0"/>
                                              <w:marBottom w:val="0"/>
                                              <w:divBdr>
                                                <w:top w:val="none" w:sz="0" w:space="0" w:color="auto"/>
                                                <w:left w:val="none" w:sz="0" w:space="0" w:color="auto"/>
                                                <w:bottom w:val="none" w:sz="0" w:space="0" w:color="auto"/>
                                                <w:right w:val="none" w:sz="0" w:space="0" w:color="auto"/>
                                              </w:divBdr>
                                              <w:divsChild>
                                                <w:div w:id="547179860">
                                                  <w:marLeft w:val="0"/>
                                                  <w:marRight w:val="0"/>
                                                  <w:marTop w:val="0"/>
                                                  <w:marBottom w:val="225"/>
                                                  <w:divBdr>
                                                    <w:top w:val="none" w:sz="0" w:space="0" w:color="auto"/>
                                                    <w:left w:val="none" w:sz="0" w:space="0" w:color="auto"/>
                                                    <w:bottom w:val="none" w:sz="0" w:space="0" w:color="auto"/>
                                                    <w:right w:val="none" w:sz="0" w:space="0" w:color="auto"/>
                                                  </w:divBdr>
                                                  <w:divsChild>
                                                    <w:div w:id="159544646">
                                                      <w:marLeft w:val="0"/>
                                                      <w:marRight w:val="0"/>
                                                      <w:marTop w:val="0"/>
                                                      <w:marBottom w:val="0"/>
                                                      <w:divBdr>
                                                        <w:top w:val="none" w:sz="0" w:space="0" w:color="auto"/>
                                                        <w:left w:val="none" w:sz="0" w:space="0" w:color="auto"/>
                                                        <w:bottom w:val="none" w:sz="0" w:space="0" w:color="auto"/>
                                                        <w:right w:val="none" w:sz="0" w:space="0" w:color="auto"/>
                                                      </w:divBdr>
                                                      <w:divsChild>
                                                        <w:div w:id="1110468932">
                                                          <w:blockQuote w:val="1"/>
                                                          <w:marLeft w:val="0"/>
                                                          <w:marRight w:val="0"/>
                                                          <w:marTop w:val="120"/>
                                                          <w:marBottom w:val="120"/>
                                                          <w:divBdr>
                                                            <w:top w:val="single" w:sz="6" w:space="12" w:color="DADADA"/>
                                                            <w:left w:val="single" w:sz="6" w:space="12" w:color="DADADA"/>
                                                            <w:bottom w:val="single" w:sz="6" w:space="6" w:color="DADADA"/>
                                                            <w:right w:val="single" w:sz="6" w:space="12" w:color="DADADA"/>
                                                          </w:divBdr>
                                                        </w:div>
                                                      </w:divsChild>
                                                    </w:div>
                                                  </w:divsChild>
                                                </w:div>
                                              </w:divsChild>
                                            </w:div>
                                          </w:divsChild>
                                        </w:div>
                                      </w:divsChild>
                                    </w:div>
                                  </w:divsChild>
                                </w:div>
                              </w:divsChild>
                            </w:div>
                          </w:divsChild>
                        </w:div>
                      </w:divsChild>
                    </w:div>
                  </w:divsChild>
                </w:div>
              </w:divsChild>
            </w:div>
          </w:divsChild>
        </w:div>
      </w:divsChild>
    </w:div>
    <w:div w:id="1370570626">
      <w:bodyDiv w:val="1"/>
      <w:marLeft w:val="0"/>
      <w:marRight w:val="0"/>
      <w:marTop w:val="0"/>
      <w:marBottom w:val="0"/>
      <w:divBdr>
        <w:top w:val="none" w:sz="0" w:space="0" w:color="auto"/>
        <w:left w:val="none" w:sz="0" w:space="0" w:color="auto"/>
        <w:bottom w:val="none" w:sz="0" w:space="0" w:color="auto"/>
        <w:right w:val="none" w:sz="0" w:space="0" w:color="auto"/>
      </w:divBdr>
    </w:div>
    <w:div w:id="1435326286">
      <w:bodyDiv w:val="1"/>
      <w:marLeft w:val="0"/>
      <w:marRight w:val="0"/>
      <w:marTop w:val="0"/>
      <w:marBottom w:val="0"/>
      <w:divBdr>
        <w:top w:val="none" w:sz="0" w:space="0" w:color="auto"/>
        <w:left w:val="none" w:sz="0" w:space="0" w:color="auto"/>
        <w:bottom w:val="none" w:sz="0" w:space="0" w:color="auto"/>
        <w:right w:val="none" w:sz="0" w:space="0" w:color="auto"/>
      </w:divBdr>
      <w:divsChild>
        <w:div w:id="1826705332">
          <w:marLeft w:val="0"/>
          <w:marRight w:val="0"/>
          <w:marTop w:val="0"/>
          <w:marBottom w:val="0"/>
          <w:divBdr>
            <w:top w:val="none" w:sz="0" w:space="0" w:color="auto"/>
            <w:left w:val="none" w:sz="0" w:space="0" w:color="auto"/>
            <w:bottom w:val="none" w:sz="0" w:space="0" w:color="auto"/>
            <w:right w:val="none" w:sz="0" w:space="0" w:color="auto"/>
          </w:divBdr>
          <w:divsChild>
            <w:div w:id="1998413717">
              <w:marLeft w:val="0"/>
              <w:marRight w:val="0"/>
              <w:marTop w:val="0"/>
              <w:marBottom w:val="0"/>
              <w:divBdr>
                <w:top w:val="none" w:sz="0" w:space="0" w:color="auto"/>
                <w:left w:val="none" w:sz="0" w:space="0" w:color="auto"/>
                <w:bottom w:val="none" w:sz="0" w:space="0" w:color="auto"/>
                <w:right w:val="none" w:sz="0" w:space="0" w:color="auto"/>
              </w:divBdr>
              <w:divsChild>
                <w:div w:id="1064836965">
                  <w:marLeft w:val="-225"/>
                  <w:marRight w:val="-225"/>
                  <w:marTop w:val="0"/>
                  <w:marBottom w:val="0"/>
                  <w:divBdr>
                    <w:top w:val="none" w:sz="0" w:space="0" w:color="auto"/>
                    <w:left w:val="none" w:sz="0" w:space="0" w:color="auto"/>
                    <w:bottom w:val="none" w:sz="0" w:space="0" w:color="auto"/>
                    <w:right w:val="none" w:sz="0" w:space="0" w:color="auto"/>
                  </w:divBdr>
                  <w:divsChild>
                    <w:div w:id="1391537800">
                      <w:marLeft w:val="0"/>
                      <w:marRight w:val="0"/>
                      <w:marTop w:val="0"/>
                      <w:marBottom w:val="0"/>
                      <w:divBdr>
                        <w:top w:val="none" w:sz="0" w:space="0" w:color="auto"/>
                        <w:left w:val="none" w:sz="0" w:space="0" w:color="auto"/>
                        <w:bottom w:val="none" w:sz="0" w:space="0" w:color="auto"/>
                        <w:right w:val="none" w:sz="0" w:space="0" w:color="auto"/>
                      </w:divBdr>
                      <w:divsChild>
                        <w:div w:id="747730134">
                          <w:marLeft w:val="0"/>
                          <w:marRight w:val="0"/>
                          <w:marTop w:val="0"/>
                          <w:marBottom w:val="0"/>
                          <w:divBdr>
                            <w:top w:val="none" w:sz="0" w:space="0" w:color="auto"/>
                            <w:left w:val="none" w:sz="0" w:space="0" w:color="auto"/>
                            <w:bottom w:val="none" w:sz="0" w:space="0" w:color="auto"/>
                            <w:right w:val="none" w:sz="0" w:space="0" w:color="auto"/>
                          </w:divBdr>
                          <w:divsChild>
                            <w:div w:id="1613171183">
                              <w:marLeft w:val="0"/>
                              <w:marRight w:val="0"/>
                              <w:marTop w:val="0"/>
                              <w:marBottom w:val="0"/>
                              <w:divBdr>
                                <w:top w:val="none" w:sz="0" w:space="0" w:color="auto"/>
                                <w:left w:val="none" w:sz="0" w:space="0" w:color="auto"/>
                                <w:bottom w:val="none" w:sz="0" w:space="0" w:color="auto"/>
                                <w:right w:val="none" w:sz="0" w:space="0" w:color="auto"/>
                              </w:divBdr>
                              <w:divsChild>
                                <w:div w:id="233004588">
                                  <w:marLeft w:val="-225"/>
                                  <w:marRight w:val="-225"/>
                                  <w:marTop w:val="0"/>
                                  <w:marBottom w:val="0"/>
                                  <w:divBdr>
                                    <w:top w:val="none" w:sz="0" w:space="0" w:color="auto"/>
                                    <w:left w:val="none" w:sz="0" w:space="0" w:color="auto"/>
                                    <w:bottom w:val="none" w:sz="0" w:space="0" w:color="auto"/>
                                    <w:right w:val="none" w:sz="0" w:space="0" w:color="auto"/>
                                  </w:divBdr>
                                  <w:divsChild>
                                    <w:div w:id="930503917">
                                      <w:marLeft w:val="0"/>
                                      <w:marRight w:val="0"/>
                                      <w:marTop w:val="0"/>
                                      <w:marBottom w:val="0"/>
                                      <w:divBdr>
                                        <w:top w:val="none" w:sz="0" w:space="0" w:color="auto"/>
                                        <w:left w:val="none" w:sz="0" w:space="0" w:color="auto"/>
                                        <w:bottom w:val="none" w:sz="0" w:space="0" w:color="auto"/>
                                        <w:right w:val="none" w:sz="0" w:space="0" w:color="auto"/>
                                      </w:divBdr>
                                      <w:divsChild>
                                        <w:div w:id="817308579">
                                          <w:marLeft w:val="0"/>
                                          <w:marRight w:val="0"/>
                                          <w:marTop w:val="0"/>
                                          <w:marBottom w:val="0"/>
                                          <w:divBdr>
                                            <w:top w:val="none" w:sz="0" w:space="0" w:color="auto"/>
                                            <w:left w:val="none" w:sz="0" w:space="0" w:color="auto"/>
                                            <w:bottom w:val="none" w:sz="0" w:space="0" w:color="auto"/>
                                            <w:right w:val="none" w:sz="0" w:space="0" w:color="auto"/>
                                          </w:divBdr>
                                          <w:divsChild>
                                            <w:div w:id="1397168261">
                                              <w:marLeft w:val="0"/>
                                              <w:marRight w:val="0"/>
                                              <w:marTop w:val="0"/>
                                              <w:marBottom w:val="0"/>
                                              <w:divBdr>
                                                <w:top w:val="none" w:sz="0" w:space="0" w:color="auto"/>
                                                <w:left w:val="none" w:sz="0" w:space="0" w:color="auto"/>
                                                <w:bottom w:val="none" w:sz="0" w:space="0" w:color="auto"/>
                                                <w:right w:val="none" w:sz="0" w:space="0" w:color="auto"/>
                                              </w:divBdr>
                                              <w:divsChild>
                                                <w:div w:id="1969627561">
                                                  <w:marLeft w:val="0"/>
                                                  <w:marRight w:val="0"/>
                                                  <w:marTop w:val="0"/>
                                                  <w:marBottom w:val="0"/>
                                                  <w:divBdr>
                                                    <w:top w:val="none" w:sz="0" w:space="0" w:color="auto"/>
                                                    <w:left w:val="none" w:sz="0" w:space="0" w:color="auto"/>
                                                    <w:bottom w:val="none" w:sz="0" w:space="0" w:color="auto"/>
                                                    <w:right w:val="none" w:sz="0" w:space="0" w:color="auto"/>
                                                  </w:divBdr>
                                                  <w:divsChild>
                                                    <w:div w:id="522482372">
                                                      <w:marLeft w:val="0"/>
                                                      <w:marRight w:val="0"/>
                                                      <w:marTop w:val="0"/>
                                                      <w:marBottom w:val="225"/>
                                                      <w:divBdr>
                                                        <w:top w:val="none" w:sz="0" w:space="0" w:color="auto"/>
                                                        <w:left w:val="none" w:sz="0" w:space="0" w:color="auto"/>
                                                        <w:bottom w:val="none" w:sz="0" w:space="0" w:color="auto"/>
                                                        <w:right w:val="none" w:sz="0" w:space="0" w:color="auto"/>
                                                      </w:divBdr>
                                                      <w:divsChild>
                                                        <w:div w:id="1509831014">
                                                          <w:marLeft w:val="0"/>
                                                          <w:marRight w:val="0"/>
                                                          <w:marTop w:val="0"/>
                                                          <w:marBottom w:val="0"/>
                                                          <w:divBdr>
                                                            <w:top w:val="none" w:sz="0" w:space="0" w:color="auto"/>
                                                            <w:left w:val="none" w:sz="0" w:space="0" w:color="auto"/>
                                                            <w:bottom w:val="none" w:sz="0" w:space="0" w:color="auto"/>
                                                            <w:right w:val="none" w:sz="0" w:space="0" w:color="auto"/>
                                                          </w:divBdr>
                                                          <w:divsChild>
                                                            <w:div w:id="1575816175">
                                                              <w:blockQuote w:val="1"/>
                                                              <w:marLeft w:val="0"/>
                                                              <w:marRight w:val="0"/>
                                                              <w:marTop w:val="120"/>
                                                              <w:marBottom w:val="120"/>
                                                              <w:divBdr>
                                                                <w:top w:val="single" w:sz="6" w:space="12" w:color="DADADA"/>
                                                                <w:left w:val="single" w:sz="6" w:space="12" w:color="DADADA"/>
                                                                <w:bottom w:val="single" w:sz="6" w:space="6" w:color="DADADA"/>
                                                                <w:right w:val="single" w:sz="6" w:space="12" w:color="DADADA"/>
                                                              </w:divBdr>
                                                            </w:div>
                                                          </w:divsChild>
                                                        </w:div>
                                                      </w:divsChild>
                                                    </w:div>
                                                  </w:divsChild>
                                                </w:div>
                                              </w:divsChild>
                                            </w:div>
                                          </w:divsChild>
                                        </w:div>
                                      </w:divsChild>
                                    </w:div>
                                  </w:divsChild>
                                </w:div>
                              </w:divsChild>
                            </w:div>
                          </w:divsChild>
                        </w:div>
                      </w:divsChild>
                    </w:div>
                  </w:divsChild>
                </w:div>
              </w:divsChild>
            </w:div>
          </w:divsChild>
        </w:div>
      </w:divsChild>
    </w:div>
    <w:div w:id="1463964970">
      <w:bodyDiv w:val="1"/>
      <w:marLeft w:val="0"/>
      <w:marRight w:val="0"/>
      <w:marTop w:val="0"/>
      <w:marBottom w:val="0"/>
      <w:divBdr>
        <w:top w:val="none" w:sz="0" w:space="0" w:color="auto"/>
        <w:left w:val="none" w:sz="0" w:space="0" w:color="auto"/>
        <w:bottom w:val="none" w:sz="0" w:space="0" w:color="auto"/>
        <w:right w:val="none" w:sz="0" w:space="0" w:color="auto"/>
      </w:divBdr>
    </w:div>
    <w:div w:id="1512985177">
      <w:bodyDiv w:val="1"/>
      <w:marLeft w:val="0"/>
      <w:marRight w:val="0"/>
      <w:marTop w:val="0"/>
      <w:marBottom w:val="0"/>
      <w:divBdr>
        <w:top w:val="none" w:sz="0" w:space="0" w:color="auto"/>
        <w:left w:val="none" w:sz="0" w:space="0" w:color="auto"/>
        <w:bottom w:val="none" w:sz="0" w:space="0" w:color="auto"/>
        <w:right w:val="none" w:sz="0" w:space="0" w:color="auto"/>
      </w:divBdr>
    </w:div>
    <w:div w:id="1543976553">
      <w:bodyDiv w:val="1"/>
      <w:marLeft w:val="0"/>
      <w:marRight w:val="0"/>
      <w:marTop w:val="0"/>
      <w:marBottom w:val="0"/>
      <w:divBdr>
        <w:top w:val="none" w:sz="0" w:space="0" w:color="auto"/>
        <w:left w:val="none" w:sz="0" w:space="0" w:color="auto"/>
        <w:bottom w:val="none" w:sz="0" w:space="0" w:color="auto"/>
        <w:right w:val="none" w:sz="0" w:space="0" w:color="auto"/>
      </w:divBdr>
    </w:div>
    <w:div w:id="1567645573">
      <w:bodyDiv w:val="1"/>
      <w:marLeft w:val="0"/>
      <w:marRight w:val="0"/>
      <w:marTop w:val="0"/>
      <w:marBottom w:val="0"/>
      <w:divBdr>
        <w:top w:val="none" w:sz="0" w:space="0" w:color="auto"/>
        <w:left w:val="none" w:sz="0" w:space="0" w:color="auto"/>
        <w:bottom w:val="none" w:sz="0" w:space="0" w:color="auto"/>
        <w:right w:val="none" w:sz="0" w:space="0" w:color="auto"/>
      </w:divBdr>
    </w:div>
    <w:div w:id="1572888470">
      <w:bodyDiv w:val="1"/>
      <w:marLeft w:val="0"/>
      <w:marRight w:val="0"/>
      <w:marTop w:val="0"/>
      <w:marBottom w:val="0"/>
      <w:divBdr>
        <w:top w:val="none" w:sz="0" w:space="0" w:color="auto"/>
        <w:left w:val="none" w:sz="0" w:space="0" w:color="auto"/>
        <w:bottom w:val="none" w:sz="0" w:space="0" w:color="auto"/>
        <w:right w:val="none" w:sz="0" w:space="0" w:color="auto"/>
      </w:divBdr>
    </w:div>
    <w:div w:id="1600678046">
      <w:bodyDiv w:val="1"/>
      <w:marLeft w:val="0"/>
      <w:marRight w:val="0"/>
      <w:marTop w:val="0"/>
      <w:marBottom w:val="0"/>
      <w:divBdr>
        <w:top w:val="none" w:sz="0" w:space="0" w:color="auto"/>
        <w:left w:val="none" w:sz="0" w:space="0" w:color="auto"/>
        <w:bottom w:val="none" w:sz="0" w:space="0" w:color="auto"/>
        <w:right w:val="none" w:sz="0" w:space="0" w:color="auto"/>
      </w:divBdr>
    </w:div>
    <w:div w:id="1605847276">
      <w:bodyDiv w:val="1"/>
      <w:marLeft w:val="0"/>
      <w:marRight w:val="0"/>
      <w:marTop w:val="0"/>
      <w:marBottom w:val="0"/>
      <w:divBdr>
        <w:top w:val="none" w:sz="0" w:space="0" w:color="auto"/>
        <w:left w:val="none" w:sz="0" w:space="0" w:color="auto"/>
        <w:bottom w:val="none" w:sz="0" w:space="0" w:color="auto"/>
        <w:right w:val="none" w:sz="0" w:space="0" w:color="auto"/>
      </w:divBdr>
    </w:div>
    <w:div w:id="1608081190">
      <w:bodyDiv w:val="1"/>
      <w:marLeft w:val="0"/>
      <w:marRight w:val="0"/>
      <w:marTop w:val="0"/>
      <w:marBottom w:val="0"/>
      <w:divBdr>
        <w:top w:val="none" w:sz="0" w:space="0" w:color="auto"/>
        <w:left w:val="none" w:sz="0" w:space="0" w:color="auto"/>
        <w:bottom w:val="none" w:sz="0" w:space="0" w:color="auto"/>
        <w:right w:val="none" w:sz="0" w:space="0" w:color="auto"/>
      </w:divBdr>
      <w:divsChild>
        <w:div w:id="182595006">
          <w:marLeft w:val="0"/>
          <w:marRight w:val="0"/>
          <w:marTop w:val="0"/>
          <w:marBottom w:val="0"/>
          <w:divBdr>
            <w:top w:val="none" w:sz="0" w:space="0" w:color="auto"/>
            <w:left w:val="none" w:sz="0" w:space="0" w:color="auto"/>
            <w:bottom w:val="none" w:sz="0" w:space="0" w:color="auto"/>
            <w:right w:val="none" w:sz="0" w:space="0" w:color="auto"/>
          </w:divBdr>
          <w:divsChild>
            <w:div w:id="1891767591">
              <w:marLeft w:val="0"/>
              <w:marRight w:val="0"/>
              <w:marTop w:val="0"/>
              <w:marBottom w:val="0"/>
              <w:divBdr>
                <w:top w:val="none" w:sz="0" w:space="0" w:color="auto"/>
                <w:left w:val="none" w:sz="0" w:space="0" w:color="auto"/>
                <w:bottom w:val="none" w:sz="0" w:space="0" w:color="auto"/>
                <w:right w:val="none" w:sz="0" w:space="0" w:color="auto"/>
              </w:divBdr>
              <w:divsChild>
                <w:div w:id="38747830">
                  <w:marLeft w:val="-225"/>
                  <w:marRight w:val="-225"/>
                  <w:marTop w:val="0"/>
                  <w:marBottom w:val="0"/>
                  <w:divBdr>
                    <w:top w:val="none" w:sz="0" w:space="0" w:color="auto"/>
                    <w:left w:val="none" w:sz="0" w:space="0" w:color="auto"/>
                    <w:bottom w:val="none" w:sz="0" w:space="0" w:color="auto"/>
                    <w:right w:val="none" w:sz="0" w:space="0" w:color="auto"/>
                  </w:divBdr>
                  <w:divsChild>
                    <w:div w:id="437916076">
                      <w:marLeft w:val="0"/>
                      <w:marRight w:val="0"/>
                      <w:marTop w:val="0"/>
                      <w:marBottom w:val="0"/>
                      <w:divBdr>
                        <w:top w:val="none" w:sz="0" w:space="0" w:color="auto"/>
                        <w:left w:val="none" w:sz="0" w:space="0" w:color="auto"/>
                        <w:bottom w:val="none" w:sz="0" w:space="0" w:color="auto"/>
                        <w:right w:val="none" w:sz="0" w:space="0" w:color="auto"/>
                      </w:divBdr>
                      <w:divsChild>
                        <w:div w:id="893078908">
                          <w:marLeft w:val="0"/>
                          <w:marRight w:val="0"/>
                          <w:marTop w:val="0"/>
                          <w:marBottom w:val="0"/>
                          <w:divBdr>
                            <w:top w:val="none" w:sz="0" w:space="0" w:color="auto"/>
                            <w:left w:val="none" w:sz="0" w:space="0" w:color="auto"/>
                            <w:bottom w:val="none" w:sz="0" w:space="0" w:color="auto"/>
                            <w:right w:val="none" w:sz="0" w:space="0" w:color="auto"/>
                          </w:divBdr>
                          <w:divsChild>
                            <w:div w:id="1306161678">
                              <w:marLeft w:val="0"/>
                              <w:marRight w:val="0"/>
                              <w:marTop w:val="0"/>
                              <w:marBottom w:val="0"/>
                              <w:divBdr>
                                <w:top w:val="none" w:sz="0" w:space="0" w:color="auto"/>
                                <w:left w:val="none" w:sz="0" w:space="0" w:color="auto"/>
                                <w:bottom w:val="none" w:sz="0" w:space="0" w:color="auto"/>
                                <w:right w:val="none" w:sz="0" w:space="0" w:color="auto"/>
                              </w:divBdr>
                              <w:divsChild>
                                <w:div w:id="573979330">
                                  <w:marLeft w:val="-225"/>
                                  <w:marRight w:val="-225"/>
                                  <w:marTop w:val="0"/>
                                  <w:marBottom w:val="0"/>
                                  <w:divBdr>
                                    <w:top w:val="none" w:sz="0" w:space="0" w:color="auto"/>
                                    <w:left w:val="none" w:sz="0" w:space="0" w:color="auto"/>
                                    <w:bottom w:val="none" w:sz="0" w:space="0" w:color="auto"/>
                                    <w:right w:val="none" w:sz="0" w:space="0" w:color="auto"/>
                                  </w:divBdr>
                                  <w:divsChild>
                                    <w:div w:id="1862887999">
                                      <w:marLeft w:val="0"/>
                                      <w:marRight w:val="0"/>
                                      <w:marTop w:val="0"/>
                                      <w:marBottom w:val="0"/>
                                      <w:divBdr>
                                        <w:top w:val="none" w:sz="0" w:space="0" w:color="auto"/>
                                        <w:left w:val="none" w:sz="0" w:space="0" w:color="auto"/>
                                        <w:bottom w:val="none" w:sz="0" w:space="0" w:color="auto"/>
                                        <w:right w:val="none" w:sz="0" w:space="0" w:color="auto"/>
                                      </w:divBdr>
                                      <w:divsChild>
                                        <w:div w:id="1620795638">
                                          <w:marLeft w:val="0"/>
                                          <w:marRight w:val="0"/>
                                          <w:marTop w:val="0"/>
                                          <w:marBottom w:val="0"/>
                                          <w:divBdr>
                                            <w:top w:val="none" w:sz="0" w:space="0" w:color="auto"/>
                                            <w:left w:val="none" w:sz="0" w:space="0" w:color="auto"/>
                                            <w:bottom w:val="none" w:sz="0" w:space="0" w:color="auto"/>
                                            <w:right w:val="none" w:sz="0" w:space="0" w:color="auto"/>
                                          </w:divBdr>
                                          <w:divsChild>
                                            <w:div w:id="1096367564">
                                              <w:marLeft w:val="0"/>
                                              <w:marRight w:val="0"/>
                                              <w:marTop w:val="0"/>
                                              <w:marBottom w:val="0"/>
                                              <w:divBdr>
                                                <w:top w:val="none" w:sz="0" w:space="0" w:color="auto"/>
                                                <w:left w:val="none" w:sz="0" w:space="0" w:color="auto"/>
                                                <w:bottom w:val="none" w:sz="0" w:space="0" w:color="auto"/>
                                                <w:right w:val="none" w:sz="0" w:space="0" w:color="auto"/>
                                              </w:divBdr>
                                              <w:divsChild>
                                                <w:div w:id="1016536721">
                                                  <w:marLeft w:val="0"/>
                                                  <w:marRight w:val="0"/>
                                                  <w:marTop w:val="0"/>
                                                  <w:marBottom w:val="225"/>
                                                  <w:divBdr>
                                                    <w:top w:val="none" w:sz="0" w:space="0" w:color="auto"/>
                                                    <w:left w:val="none" w:sz="0" w:space="0" w:color="auto"/>
                                                    <w:bottom w:val="none" w:sz="0" w:space="0" w:color="auto"/>
                                                    <w:right w:val="none" w:sz="0" w:space="0" w:color="auto"/>
                                                  </w:divBdr>
                                                  <w:divsChild>
                                                    <w:div w:id="1360619369">
                                                      <w:marLeft w:val="0"/>
                                                      <w:marRight w:val="0"/>
                                                      <w:marTop w:val="0"/>
                                                      <w:marBottom w:val="0"/>
                                                      <w:divBdr>
                                                        <w:top w:val="none" w:sz="0" w:space="0" w:color="auto"/>
                                                        <w:left w:val="none" w:sz="0" w:space="0" w:color="auto"/>
                                                        <w:bottom w:val="none" w:sz="0" w:space="0" w:color="auto"/>
                                                        <w:right w:val="none" w:sz="0" w:space="0" w:color="auto"/>
                                                      </w:divBdr>
                                                      <w:divsChild>
                                                        <w:div w:id="1762795978">
                                                          <w:blockQuote w:val="1"/>
                                                          <w:marLeft w:val="0"/>
                                                          <w:marRight w:val="0"/>
                                                          <w:marTop w:val="120"/>
                                                          <w:marBottom w:val="120"/>
                                                          <w:divBdr>
                                                            <w:top w:val="single" w:sz="6" w:space="12" w:color="DADADA"/>
                                                            <w:left w:val="single" w:sz="6" w:space="12" w:color="DADADA"/>
                                                            <w:bottom w:val="single" w:sz="6" w:space="6" w:color="DADADA"/>
                                                            <w:right w:val="single" w:sz="6" w:space="12" w:color="DADADA"/>
                                                          </w:divBdr>
                                                        </w:div>
                                                      </w:divsChild>
                                                    </w:div>
                                                  </w:divsChild>
                                                </w:div>
                                              </w:divsChild>
                                            </w:div>
                                          </w:divsChild>
                                        </w:div>
                                      </w:divsChild>
                                    </w:div>
                                  </w:divsChild>
                                </w:div>
                              </w:divsChild>
                            </w:div>
                          </w:divsChild>
                        </w:div>
                      </w:divsChild>
                    </w:div>
                  </w:divsChild>
                </w:div>
              </w:divsChild>
            </w:div>
          </w:divsChild>
        </w:div>
      </w:divsChild>
    </w:div>
    <w:div w:id="1624114252">
      <w:bodyDiv w:val="1"/>
      <w:marLeft w:val="0"/>
      <w:marRight w:val="0"/>
      <w:marTop w:val="0"/>
      <w:marBottom w:val="0"/>
      <w:divBdr>
        <w:top w:val="none" w:sz="0" w:space="0" w:color="auto"/>
        <w:left w:val="none" w:sz="0" w:space="0" w:color="auto"/>
        <w:bottom w:val="none" w:sz="0" w:space="0" w:color="auto"/>
        <w:right w:val="none" w:sz="0" w:space="0" w:color="auto"/>
      </w:divBdr>
    </w:div>
    <w:div w:id="1656716400">
      <w:bodyDiv w:val="1"/>
      <w:marLeft w:val="0"/>
      <w:marRight w:val="0"/>
      <w:marTop w:val="0"/>
      <w:marBottom w:val="0"/>
      <w:divBdr>
        <w:top w:val="none" w:sz="0" w:space="0" w:color="auto"/>
        <w:left w:val="none" w:sz="0" w:space="0" w:color="auto"/>
        <w:bottom w:val="none" w:sz="0" w:space="0" w:color="auto"/>
        <w:right w:val="none" w:sz="0" w:space="0" w:color="auto"/>
      </w:divBdr>
    </w:div>
    <w:div w:id="1672831488">
      <w:bodyDiv w:val="1"/>
      <w:marLeft w:val="0"/>
      <w:marRight w:val="0"/>
      <w:marTop w:val="0"/>
      <w:marBottom w:val="0"/>
      <w:divBdr>
        <w:top w:val="none" w:sz="0" w:space="0" w:color="auto"/>
        <w:left w:val="none" w:sz="0" w:space="0" w:color="auto"/>
        <w:bottom w:val="none" w:sz="0" w:space="0" w:color="auto"/>
        <w:right w:val="none" w:sz="0" w:space="0" w:color="auto"/>
      </w:divBdr>
    </w:div>
    <w:div w:id="1675957796">
      <w:bodyDiv w:val="1"/>
      <w:marLeft w:val="0"/>
      <w:marRight w:val="0"/>
      <w:marTop w:val="0"/>
      <w:marBottom w:val="0"/>
      <w:divBdr>
        <w:top w:val="none" w:sz="0" w:space="0" w:color="auto"/>
        <w:left w:val="none" w:sz="0" w:space="0" w:color="auto"/>
        <w:bottom w:val="none" w:sz="0" w:space="0" w:color="auto"/>
        <w:right w:val="none" w:sz="0" w:space="0" w:color="auto"/>
      </w:divBdr>
    </w:div>
    <w:div w:id="1696074523">
      <w:bodyDiv w:val="1"/>
      <w:marLeft w:val="0"/>
      <w:marRight w:val="0"/>
      <w:marTop w:val="0"/>
      <w:marBottom w:val="0"/>
      <w:divBdr>
        <w:top w:val="none" w:sz="0" w:space="0" w:color="auto"/>
        <w:left w:val="none" w:sz="0" w:space="0" w:color="auto"/>
        <w:bottom w:val="none" w:sz="0" w:space="0" w:color="auto"/>
        <w:right w:val="none" w:sz="0" w:space="0" w:color="auto"/>
      </w:divBdr>
    </w:div>
    <w:div w:id="1708217667">
      <w:bodyDiv w:val="1"/>
      <w:marLeft w:val="0"/>
      <w:marRight w:val="0"/>
      <w:marTop w:val="0"/>
      <w:marBottom w:val="0"/>
      <w:divBdr>
        <w:top w:val="none" w:sz="0" w:space="0" w:color="auto"/>
        <w:left w:val="none" w:sz="0" w:space="0" w:color="auto"/>
        <w:bottom w:val="none" w:sz="0" w:space="0" w:color="auto"/>
        <w:right w:val="none" w:sz="0" w:space="0" w:color="auto"/>
      </w:divBdr>
    </w:div>
    <w:div w:id="1768498428">
      <w:bodyDiv w:val="1"/>
      <w:marLeft w:val="0"/>
      <w:marRight w:val="0"/>
      <w:marTop w:val="0"/>
      <w:marBottom w:val="0"/>
      <w:divBdr>
        <w:top w:val="none" w:sz="0" w:space="0" w:color="auto"/>
        <w:left w:val="none" w:sz="0" w:space="0" w:color="auto"/>
        <w:bottom w:val="none" w:sz="0" w:space="0" w:color="auto"/>
        <w:right w:val="none" w:sz="0" w:space="0" w:color="auto"/>
      </w:divBdr>
    </w:div>
    <w:div w:id="1926256958">
      <w:bodyDiv w:val="1"/>
      <w:marLeft w:val="0"/>
      <w:marRight w:val="0"/>
      <w:marTop w:val="0"/>
      <w:marBottom w:val="0"/>
      <w:divBdr>
        <w:top w:val="none" w:sz="0" w:space="0" w:color="auto"/>
        <w:left w:val="none" w:sz="0" w:space="0" w:color="auto"/>
        <w:bottom w:val="none" w:sz="0" w:space="0" w:color="auto"/>
        <w:right w:val="none" w:sz="0" w:space="0" w:color="auto"/>
      </w:divBdr>
    </w:div>
    <w:div w:id="1935437134">
      <w:bodyDiv w:val="1"/>
      <w:marLeft w:val="0"/>
      <w:marRight w:val="0"/>
      <w:marTop w:val="0"/>
      <w:marBottom w:val="0"/>
      <w:divBdr>
        <w:top w:val="none" w:sz="0" w:space="0" w:color="auto"/>
        <w:left w:val="none" w:sz="0" w:space="0" w:color="auto"/>
        <w:bottom w:val="none" w:sz="0" w:space="0" w:color="auto"/>
        <w:right w:val="none" w:sz="0" w:space="0" w:color="auto"/>
      </w:divBdr>
    </w:div>
    <w:div w:id="1961180289">
      <w:bodyDiv w:val="1"/>
      <w:marLeft w:val="0"/>
      <w:marRight w:val="0"/>
      <w:marTop w:val="0"/>
      <w:marBottom w:val="0"/>
      <w:divBdr>
        <w:top w:val="none" w:sz="0" w:space="0" w:color="auto"/>
        <w:left w:val="none" w:sz="0" w:space="0" w:color="auto"/>
        <w:bottom w:val="none" w:sz="0" w:space="0" w:color="auto"/>
        <w:right w:val="none" w:sz="0" w:space="0" w:color="auto"/>
      </w:divBdr>
    </w:div>
    <w:div w:id="2018732116">
      <w:bodyDiv w:val="1"/>
      <w:marLeft w:val="0"/>
      <w:marRight w:val="0"/>
      <w:marTop w:val="0"/>
      <w:marBottom w:val="0"/>
      <w:divBdr>
        <w:top w:val="none" w:sz="0" w:space="0" w:color="auto"/>
        <w:left w:val="none" w:sz="0" w:space="0" w:color="auto"/>
        <w:bottom w:val="none" w:sz="0" w:space="0" w:color="auto"/>
        <w:right w:val="none" w:sz="0" w:space="0" w:color="auto"/>
      </w:divBdr>
    </w:div>
    <w:div w:id="2074235565">
      <w:bodyDiv w:val="1"/>
      <w:marLeft w:val="0"/>
      <w:marRight w:val="0"/>
      <w:marTop w:val="0"/>
      <w:marBottom w:val="0"/>
      <w:divBdr>
        <w:top w:val="none" w:sz="0" w:space="0" w:color="auto"/>
        <w:left w:val="none" w:sz="0" w:space="0" w:color="auto"/>
        <w:bottom w:val="none" w:sz="0" w:space="0" w:color="auto"/>
        <w:right w:val="none" w:sz="0" w:space="0" w:color="auto"/>
      </w:divBdr>
    </w:div>
    <w:div w:id="20955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header2.xml" Type="http://schemas.openxmlformats.org/officeDocument/2006/relationships/header"/>
<Relationship Id="rId12" Target="header3.xml" Type="http://schemas.openxmlformats.org/officeDocument/2006/relationships/header"/>
<Relationship Id="rId13" Target="footer3.xml" Type="http://schemas.openxmlformats.org/officeDocument/2006/relationships/footer"/>
<Relationship Id="rId14" Target="header4.xml" Type="http://schemas.openxmlformats.org/officeDocument/2006/relationships/header"/>
<Relationship Id="rId15" Target="footer4.xml" Type="http://schemas.openxmlformats.org/officeDocument/2006/relationships/footer"/>
<Relationship Id="rId16" Target="header5.xml" Type="http://schemas.openxmlformats.org/officeDocument/2006/relationships/header"/>
<Relationship Id="rId17" Target="http://www.csyw.qld.gov.au/child-family/ndis-transition-implementation" TargetMode="External" Type="http://schemas.openxmlformats.org/officeDocument/2006/relationships/hyperlink"/>
<Relationship Id="rId18" Target="http://www.qld.gov.au/disability" TargetMode="External" Type="http://schemas.openxmlformats.org/officeDocument/2006/relationships/hyperlink"/>
<Relationship Id="rId19" Target="header6.xml" Type="http://schemas.openxmlformats.org/officeDocument/2006/relationships/header"/>
<Relationship Id="rId2" Target="numbering.xml" Type="http://schemas.openxmlformats.org/officeDocument/2006/relationships/numbering"/>
<Relationship Id="rId20" Target="fontTable.xml" Type="http://schemas.openxmlformats.org/officeDocument/2006/relationships/fontTable"/>
<Relationship Id="rId21"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83AE-840C-4F44-A496-0F6439D3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46</Pages>
  <Words>17201</Words>
  <Characters>98048</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DCCSDS Folder Cover and Spines mono</vt:lpstr>
    </vt:vector>
  </TitlesOfParts>
  <Manager>Deparment of Communities, Child Safety and Disability Services</Manager>
  <Company>Queensland Government</Company>
  <LinksUpToDate>false</LinksUpToDate>
  <CharactersWithSpaces>115019</CharactersWithSpaces>
  <SharedDoc>false</SharedDoc>
  <HLinks>
    <vt:vector size="180" baseType="variant">
      <vt:variant>
        <vt:i4>1572913</vt:i4>
      </vt:variant>
      <vt:variant>
        <vt:i4>176</vt:i4>
      </vt:variant>
      <vt:variant>
        <vt:i4>0</vt:i4>
      </vt:variant>
      <vt:variant>
        <vt:i4>5</vt:i4>
      </vt:variant>
      <vt:variant>
        <vt:lpwstr/>
      </vt:variant>
      <vt:variant>
        <vt:lpwstr>_Toc518558933</vt:lpwstr>
      </vt:variant>
      <vt:variant>
        <vt:i4>1572913</vt:i4>
      </vt:variant>
      <vt:variant>
        <vt:i4>170</vt:i4>
      </vt:variant>
      <vt:variant>
        <vt:i4>0</vt:i4>
      </vt:variant>
      <vt:variant>
        <vt:i4>5</vt:i4>
      </vt:variant>
      <vt:variant>
        <vt:lpwstr/>
      </vt:variant>
      <vt:variant>
        <vt:lpwstr>_Toc518558932</vt:lpwstr>
      </vt:variant>
      <vt:variant>
        <vt:i4>1572913</vt:i4>
      </vt:variant>
      <vt:variant>
        <vt:i4>164</vt:i4>
      </vt:variant>
      <vt:variant>
        <vt:i4>0</vt:i4>
      </vt:variant>
      <vt:variant>
        <vt:i4>5</vt:i4>
      </vt:variant>
      <vt:variant>
        <vt:lpwstr/>
      </vt:variant>
      <vt:variant>
        <vt:lpwstr>_Toc518558931</vt:lpwstr>
      </vt:variant>
      <vt:variant>
        <vt:i4>1572913</vt:i4>
      </vt:variant>
      <vt:variant>
        <vt:i4>158</vt:i4>
      </vt:variant>
      <vt:variant>
        <vt:i4>0</vt:i4>
      </vt:variant>
      <vt:variant>
        <vt:i4>5</vt:i4>
      </vt:variant>
      <vt:variant>
        <vt:lpwstr/>
      </vt:variant>
      <vt:variant>
        <vt:lpwstr>_Toc518558930</vt:lpwstr>
      </vt:variant>
      <vt:variant>
        <vt:i4>1638449</vt:i4>
      </vt:variant>
      <vt:variant>
        <vt:i4>152</vt:i4>
      </vt:variant>
      <vt:variant>
        <vt:i4>0</vt:i4>
      </vt:variant>
      <vt:variant>
        <vt:i4>5</vt:i4>
      </vt:variant>
      <vt:variant>
        <vt:lpwstr/>
      </vt:variant>
      <vt:variant>
        <vt:lpwstr>_Toc518558929</vt:lpwstr>
      </vt:variant>
      <vt:variant>
        <vt:i4>1638449</vt:i4>
      </vt:variant>
      <vt:variant>
        <vt:i4>146</vt:i4>
      </vt:variant>
      <vt:variant>
        <vt:i4>0</vt:i4>
      </vt:variant>
      <vt:variant>
        <vt:i4>5</vt:i4>
      </vt:variant>
      <vt:variant>
        <vt:lpwstr/>
      </vt:variant>
      <vt:variant>
        <vt:lpwstr>_Toc518558928</vt:lpwstr>
      </vt:variant>
      <vt:variant>
        <vt:i4>1638449</vt:i4>
      </vt:variant>
      <vt:variant>
        <vt:i4>140</vt:i4>
      </vt:variant>
      <vt:variant>
        <vt:i4>0</vt:i4>
      </vt:variant>
      <vt:variant>
        <vt:i4>5</vt:i4>
      </vt:variant>
      <vt:variant>
        <vt:lpwstr/>
      </vt:variant>
      <vt:variant>
        <vt:lpwstr>_Toc518558927</vt:lpwstr>
      </vt:variant>
      <vt:variant>
        <vt:i4>1638449</vt:i4>
      </vt:variant>
      <vt:variant>
        <vt:i4>134</vt:i4>
      </vt:variant>
      <vt:variant>
        <vt:i4>0</vt:i4>
      </vt:variant>
      <vt:variant>
        <vt:i4>5</vt:i4>
      </vt:variant>
      <vt:variant>
        <vt:lpwstr/>
      </vt:variant>
      <vt:variant>
        <vt:lpwstr>_Toc518558926</vt:lpwstr>
      </vt:variant>
      <vt:variant>
        <vt:i4>1638449</vt:i4>
      </vt:variant>
      <vt:variant>
        <vt:i4>128</vt:i4>
      </vt:variant>
      <vt:variant>
        <vt:i4>0</vt:i4>
      </vt:variant>
      <vt:variant>
        <vt:i4>5</vt:i4>
      </vt:variant>
      <vt:variant>
        <vt:lpwstr/>
      </vt:variant>
      <vt:variant>
        <vt:lpwstr>_Toc518558925</vt:lpwstr>
      </vt:variant>
      <vt:variant>
        <vt:i4>1638449</vt:i4>
      </vt:variant>
      <vt:variant>
        <vt:i4>122</vt:i4>
      </vt:variant>
      <vt:variant>
        <vt:i4>0</vt:i4>
      </vt:variant>
      <vt:variant>
        <vt:i4>5</vt:i4>
      </vt:variant>
      <vt:variant>
        <vt:lpwstr/>
      </vt:variant>
      <vt:variant>
        <vt:lpwstr>_Toc518558924</vt:lpwstr>
      </vt:variant>
      <vt:variant>
        <vt:i4>1638449</vt:i4>
      </vt:variant>
      <vt:variant>
        <vt:i4>116</vt:i4>
      </vt:variant>
      <vt:variant>
        <vt:i4>0</vt:i4>
      </vt:variant>
      <vt:variant>
        <vt:i4>5</vt:i4>
      </vt:variant>
      <vt:variant>
        <vt:lpwstr/>
      </vt:variant>
      <vt:variant>
        <vt:lpwstr>_Toc518558923</vt:lpwstr>
      </vt:variant>
      <vt:variant>
        <vt:i4>1638449</vt:i4>
      </vt:variant>
      <vt:variant>
        <vt:i4>110</vt:i4>
      </vt:variant>
      <vt:variant>
        <vt:i4>0</vt:i4>
      </vt:variant>
      <vt:variant>
        <vt:i4>5</vt:i4>
      </vt:variant>
      <vt:variant>
        <vt:lpwstr/>
      </vt:variant>
      <vt:variant>
        <vt:lpwstr>_Toc518558922</vt:lpwstr>
      </vt:variant>
      <vt:variant>
        <vt:i4>1638449</vt:i4>
      </vt:variant>
      <vt:variant>
        <vt:i4>104</vt:i4>
      </vt:variant>
      <vt:variant>
        <vt:i4>0</vt:i4>
      </vt:variant>
      <vt:variant>
        <vt:i4>5</vt:i4>
      </vt:variant>
      <vt:variant>
        <vt:lpwstr/>
      </vt:variant>
      <vt:variant>
        <vt:lpwstr>_Toc518558921</vt:lpwstr>
      </vt:variant>
      <vt:variant>
        <vt:i4>1638449</vt:i4>
      </vt:variant>
      <vt:variant>
        <vt:i4>98</vt:i4>
      </vt:variant>
      <vt:variant>
        <vt:i4>0</vt:i4>
      </vt:variant>
      <vt:variant>
        <vt:i4>5</vt:i4>
      </vt:variant>
      <vt:variant>
        <vt:lpwstr/>
      </vt:variant>
      <vt:variant>
        <vt:lpwstr>_Toc518558920</vt:lpwstr>
      </vt:variant>
      <vt:variant>
        <vt:i4>1703985</vt:i4>
      </vt:variant>
      <vt:variant>
        <vt:i4>92</vt:i4>
      </vt:variant>
      <vt:variant>
        <vt:i4>0</vt:i4>
      </vt:variant>
      <vt:variant>
        <vt:i4>5</vt:i4>
      </vt:variant>
      <vt:variant>
        <vt:lpwstr/>
      </vt:variant>
      <vt:variant>
        <vt:lpwstr>_Toc518558919</vt:lpwstr>
      </vt:variant>
      <vt:variant>
        <vt:i4>1703985</vt:i4>
      </vt:variant>
      <vt:variant>
        <vt:i4>86</vt:i4>
      </vt:variant>
      <vt:variant>
        <vt:i4>0</vt:i4>
      </vt:variant>
      <vt:variant>
        <vt:i4>5</vt:i4>
      </vt:variant>
      <vt:variant>
        <vt:lpwstr/>
      </vt:variant>
      <vt:variant>
        <vt:lpwstr>_Toc518558918</vt:lpwstr>
      </vt:variant>
      <vt:variant>
        <vt:i4>1703985</vt:i4>
      </vt:variant>
      <vt:variant>
        <vt:i4>80</vt:i4>
      </vt:variant>
      <vt:variant>
        <vt:i4>0</vt:i4>
      </vt:variant>
      <vt:variant>
        <vt:i4>5</vt:i4>
      </vt:variant>
      <vt:variant>
        <vt:lpwstr/>
      </vt:variant>
      <vt:variant>
        <vt:lpwstr>_Toc518558917</vt:lpwstr>
      </vt:variant>
      <vt:variant>
        <vt:i4>1703985</vt:i4>
      </vt:variant>
      <vt:variant>
        <vt:i4>74</vt:i4>
      </vt:variant>
      <vt:variant>
        <vt:i4>0</vt:i4>
      </vt:variant>
      <vt:variant>
        <vt:i4>5</vt:i4>
      </vt:variant>
      <vt:variant>
        <vt:lpwstr/>
      </vt:variant>
      <vt:variant>
        <vt:lpwstr>_Toc518558916</vt:lpwstr>
      </vt:variant>
      <vt:variant>
        <vt:i4>1703985</vt:i4>
      </vt:variant>
      <vt:variant>
        <vt:i4>68</vt:i4>
      </vt:variant>
      <vt:variant>
        <vt:i4>0</vt:i4>
      </vt:variant>
      <vt:variant>
        <vt:i4>5</vt:i4>
      </vt:variant>
      <vt:variant>
        <vt:lpwstr/>
      </vt:variant>
      <vt:variant>
        <vt:lpwstr>_Toc518558915</vt:lpwstr>
      </vt:variant>
      <vt:variant>
        <vt:i4>1703985</vt:i4>
      </vt:variant>
      <vt:variant>
        <vt:i4>62</vt:i4>
      </vt:variant>
      <vt:variant>
        <vt:i4>0</vt:i4>
      </vt:variant>
      <vt:variant>
        <vt:i4>5</vt:i4>
      </vt:variant>
      <vt:variant>
        <vt:lpwstr/>
      </vt:variant>
      <vt:variant>
        <vt:lpwstr>_Toc518558914</vt:lpwstr>
      </vt:variant>
      <vt:variant>
        <vt:i4>1703985</vt:i4>
      </vt:variant>
      <vt:variant>
        <vt:i4>56</vt:i4>
      </vt:variant>
      <vt:variant>
        <vt:i4>0</vt:i4>
      </vt:variant>
      <vt:variant>
        <vt:i4>5</vt:i4>
      </vt:variant>
      <vt:variant>
        <vt:lpwstr/>
      </vt:variant>
      <vt:variant>
        <vt:lpwstr>_Toc518558913</vt:lpwstr>
      </vt:variant>
      <vt:variant>
        <vt:i4>1703985</vt:i4>
      </vt:variant>
      <vt:variant>
        <vt:i4>50</vt:i4>
      </vt:variant>
      <vt:variant>
        <vt:i4>0</vt:i4>
      </vt:variant>
      <vt:variant>
        <vt:i4>5</vt:i4>
      </vt:variant>
      <vt:variant>
        <vt:lpwstr/>
      </vt:variant>
      <vt:variant>
        <vt:lpwstr>_Toc518558912</vt:lpwstr>
      </vt:variant>
      <vt:variant>
        <vt:i4>1703985</vt:i4>
      </vt:variant>
      <vt:variant>
        <vt:i4>44</vt:i4>
      </vt:variant>
      <vt:variant>
        <vt:i4>0</vt:i4>
      </vt:variant>
      <vt:variant>
        <vt:i4>5</vt:i4>
      </vt:variant>
      <vt:variant>
        <vt:lpwstr/>
      </vt:variant>
      <vt:variant>
        <vt:lpwstr>_Toc518558911</vt:lpwstr>
      </vt:variant>
      <vt:variant>
        <vt:i4>1703985</vt:i4>
      </vt:variant>
      <vt:variant>
        <vt:i4>38</vt:i4>
      </vt:variant>
      <vt:variant>
        <vt:i4>0</vt:i4>
      </vt:variant>
      <vt:variant>
        <vt:i4>5</vt:i4>
      </vt:variant>
      <vt:variant>
        <vt:lpwstr/>
      </vt:variant>
      <vt:variant>
        <vt:lpwstr>_Toc518558910</vt:lpwstr>
      </vt:variant>
      <vt:variant>
        <vt:i4>1769521</vt:i4>
      </vt:variant>
      <vt:variant>
        <vt:i4>32</vt:i4>
      </vt:variant>
      <vt:variant>
        <vt:i4>0</vt:i4>
      </vt:variant>
      <vt:variant>
        <vt:i4>5</vt:i4>
      </vt:variant>
      <vt:variant>
        <vt:lpwstr/>
      </vt:variant>
      <vt:variant>
        <vt:lpwstr>_Toc518558909</vt:lpwstr>
      </vt:variant>
      <vt:variant>
        <vt:i4>1769521</vt:i4>
      </vt:variant>
      <vt:variant>
        <vt:i4>26</vt:i4>
      </vt:variant>
      <vt:variant>
        <vt:i4>0</vt:i4>
      </vt:variant>
      <vt:variant>
        <vt:i4>5</vt:i4>
      </vt:variant>
      <vt:variant>
        <vt:lpwstr/>
      </vt:variant>
      <vt:variant>
        <vt:lpwstr>_Toc518558908</vt:lpwstr>
      </vt:variant>
      <vt:variant>
        <vt:i4>1769521</vt:i4>
      </vt:variant>
      <vt:variant>
        <vt:i4>20</vt:i4>
      </vt:variant>
      <vt:variant>
        <vt:i4>0</vt:i4>
      </vt:variant>
      <vt:variant>
        <vt:i4>5</vt:i4>
      </vt:variant>
      <vt:variant>
        <vt:lpwstr/>
      </vt:variant>
      <vt:variant>
        <vt:lpwstr>_Toc518558907</vt:lpwstr>
      </vt:variant>
      <vt:variant>
        <vt:i4>1769521</vt:i4>
      </vt:variant>
      <vt:variant>
        <vt:i4>14</vt:i4>
      </vt:variant>
      <vt:variant>
        <vt:i4>0</vt:i4>
      </vt:variant>
      <vt:variant>
        <vt:i4>5</vt:i4>
      </vt:variant>
      <vt:variant>
        <vt:lpwstr/>
      </vt:variant>
      <vt:variant>
        <vt:lpwstr>_Toc518558906</vt:lpwstr>
      </vt:variant>
      <vt:variant>
        <vt:i4>1769521</vt:i4>
      </vt:variant>
      <vt:variant>
        <vt:i4>8</vt:i4>
      </vt:variant>
      <vt:variant>
        <vt:i4>0</vt:i4>
      </vt:variant>
      <vt:variant>
        <vt:i4>5</vt:i4>
      </vt:variant>
      <vt:variant>
        <vt:lpwstr/>
      </vt:variant>
      <vt:variant>
        <vt:lpwstr>_Toc518558905</vt:lpwstr>
      </vt:variant>
      <vt:variant>
        <vt:i4>1769521</vt:i4>
      </vt:variant>
      <vt:variant>
        <vt:i4>2</vt:i4>
      </vt:variant>
      <vt:variant>
        <vt:i4>0</vt:i4>
      </vt:variant>
      <vt:variant>
        <vt:i4>5</vt:i4>
      </vt:variant>
      <vt:variant>
        <vt:lpwstr/>
      </vt:variant>
      <vt:variant>
        <vt:lpwstr>_Toc518558904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2018-10-05T05:05:00Z</dcterms:created>
  <dc:creator>Queensland Government</dc:creator>
  <cp:keywords>child; death; review; panel; report</cp:keywords>
  <cp:lastModifiedBy>Glenn Connery</cp:lastModifiedBy>
  <cp:lastPrinted>2018-09-28T07:09:00Z</cp:lastPrinted>
  <dcterms:modified xsi:type="dcterms:W3CDTF">2018-10-05T05:36:00Z</dcterms:modified>
  <cp:revision>3</cp:revision>
  <dc:subject>CDCRP annual report</dc:subject>
  <dc:title>CDCRP Annual Report 2017-18</dc:title>
</cp:coreProperties>
</file>