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E65D" w14:textId="6C22DAEF" w:rsidR="003D5B06" w:rsidRPr="003D5B06" w:rsidRDefault="003D5B06" w:rsidP="003D5B0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lang w:eastAsia="en-US"/>
        </w:rPr>
      </w:pPr>
      <w:bookmarkStart w:id="0" w:name="_Hlk117515713"/>
      <w:r w:rsidRPr="003D5B06">
        <w:rPr>
          <w:rFonts w:asciiTheme="minorHAnsi" w:eastAsiaTheme="minorHAnsi" w:hAnsiTheme="minorHAnsi" w:cstheme="minorBidi"/>
          <w:b/>
          <w:bCs/>
          <w:sz w:val="24"/>
          <w:lang w:eastAsia="en-US"/>
        </w:rPr>
        <w:t xml:space="preserve">The In-Scope of Licensing Process for Individualised Placement and Support (IPS) </w:t>
      </w:r>
      <w:r w:rsidR="003A465E">
        <w:rPr>
          <w:rFonts w:asciiTheme="minorHAnsi" w:eastAsiaTheme="minorHAnsi" w:hAnsiTheme="minorHAnsi" w:cstheme="minorBidi"/>
          <w:b/>
          <w:bCs/>
          <w:sz w:val="24"/>
          <w:lang w:eastAsia="en-US"/>
        </w:rPr>
        <w:t>Suppli</w:t>
      </w:r>
      <w:r w:rsidRPr="003D5B06">
        <w:rPr>
          <w:rFonts w:asciiTheme="minorHAnsi" w:eastAsiaTheme="minorHAnsi" w:hAnsiTheme="minorHAnsi" w:cstheme="minorBidi"/>
          <w:b/>
          <w:bCs/>
          <w:sz w:val="24"/>
          <w:lang w:eastAsia="en-US"/>
        </w:rPr>
        <w:t>ers</w:t>
      </w:r>
    </w:p>
    <w:bookmarkEnd w:id="0"/>
    <w:p w14:paraId="160B9C80" w14:textId="651502D3" w:rsidR="003D5B06" w:rsidRDefault="00556494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A4FEF" wp14:editId="7E6E181B">
                <wp:simplePos x="0" y="0"/>
                <wp:positionH relativeFrom="column">
                  <wp:posOffset>5063193</wp:posOffset>
                </wp:positionH>
                <wp:positionV relativeFrom="paragraph">
                  <wp:posOffset>1829871</wp:posOffset>
                </wp:positionV>
                <wp:extent cx="23305" cy="2660073"/>
                <wp:effectExtent l="0" t="0" r="34290" b="2603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05" cy="26600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8EB2B" id="Straight Connector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144.1pt" to="400.55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AEB84" wp14:editId="3067C033">
                <wp:simplePos x="0" y="0"/>
                <wp:positionH relativeFrom="column">
                  <wp:posOffset>-9055</wp:posOffset>
                </wp:positionH>
                <wp:positionV relativeFrom="paragraph">
                  <wp:posOffset>283853</wp:posOffset>
                </wp:positionV>
                <wp:extent cx="3730336" cy="1296035"/>
                <wp:effectExtent l="342900" t="57150" r="60960" b="3232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336" cy="12960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3BF01F8" w14:textId="10124885" w:rsidR="003D5B06" w:rsidRPr="003D5B06" w:rsidRDefault="003D5B06" w:rsidP="00FC4830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Child Safety Licensing (CSL) reviews CRC-</w:t>
                            </w:r>
                            <w:proofErr w:type="spell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PaS</w:t>
                            </w:r>
                            <w:proofErr w:type="spellEnd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funding/IPS data quarterly to determine if any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are suitable for an in-scope of licensing assessment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The following factors are considered in determining suitability:</w:t>
                            </w:r>
                          </w:p>
                          <w:p w14:paraId="21BB47E9" w14:textId="77777777" w:rsidR="003D5B06" w:rsidRPr="003D5B06" w:rsidRDefault="003D5B06" w:rsidP="00FC48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continuity of placement service delivery (no breaks)</w:t>
                            </w:r>
                          </w:p>
                          <w:p w14:paraId="28C26DB1" w14:textId="77777777" w:rsidR="003D5B06" w:rsidRPr="003D5B06" w:rsidRDefault="003D5B06" w:rsidP="00FC48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placements have increased over 6 – 12 </w:t>
                            </w:r>
                            <w:proofErr w:type="gram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months</w:t>
                            </w:r>
                            <w:proofErr w:type="gramEnd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6F40B" w14:textId="77777777" w:rsidR="003D5B06" w:rsidRPr="003D5B06" w:rsidRDefault="003D5B06" w:rsidP="00FC48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placements have been maintained for over 12 </w:t>
                            </w:r>
                            <w:proofErr w:type="gram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months</w:t>
                            </w:r>
                            <w:proofErr w:type="gramEnd"/>
                          </w:p>
                          <w:p w14:paraId="2DFD348C" w14:textId="77777777" w:rsidR="003D5B06" w:rsidRPr="003D5B06" w:rsidRDefault="003D5B06" w:rsidP="003D5B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AEB84" id="Rectangle: Rounded Corners 2" o:spid="_x0000_s1026" style="position:absolute;margin-left:-.7pt;margin-top:22.35pt;width:293.7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13BF01F8" w14:textId="10124885" w:rsidR="003D5B06" w:rsidRPr="003D5B06" w:rsidRDefault="003D5B06" w:rsidP="00FC4830">
                      <w:p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Child Safety Licensing (CSL) reviews CRC-PaS funding/IPS data quarterly to determine if any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 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are suitable for an in-scope of licensing assessment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The following factors are considered in determining suitability:</w:t>
                      </w:r>
                    </w:p>
                    <w:p w14:paraId="21BB47E9" w14:textId="77777777" w:rsidR="003D5B06" w:rsidRPr="003D5B06" w:rsidRDefault="003D5B06" w:rsidP="00FC48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continuity of placement service delivery (no breaks)</w:t>
                      </w:r>
                    </w:p>
                    <w:p w14:paraId="28C26DB1" w14:textId="77777777" w:rsidR="003D5B06" w:rsidRPr="003D5B06" w:rsidRDefault="003D5B06" w:rsidP="00FC48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placements have increased over 6 – 12 months </w:t>
                      </w:r>
                    </w:p>
                    <w:p w14:paraId="45F6F40B" w14:textId="77777777" w:rsidR="003D5B06" w:rsidRPr="003D5B06" w:rsidRDefault="003D5B06" w:rsidP="00FC48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placements have been maintained for over 12 months</w:t>
                      </w:r>
                    </w:p>
                    <w:p w14:paraId="2DFD348C" w14:textId="77777777" w:rsidR="003D5B06" w:rsidRPr="003D5B06" w:rsidRDefault="003D5B06" w:rsidP="003D5B0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3B65" w:rsidRPr="00E16CF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10B83" wp14:editId="1F115873">
                <wp:simplePos x="0" y="0"/>
                <wp:positionH relativeFrom="margin">
                  <wp:posOffset>4136918</wp:posOffset>
                </wp:positionH>
                <wp:positionV relativeFrom="paragraph">
                  <wp:posOffset>283853</wp:posOffset>
                </wp:positionV>
                <wp:extent cx="1917164" cy="1536700"/>
                <wp:effectExtent l="342900" t="57150" r="45085" b="3302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64" cy="1536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35345AB" w14:textId="0A51816C" w:rsidR="00E16CF6" w:rsidRPr="00E16CF6" w:rsidRDefault="00E16CF6" w:rsidP="000855A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region may decide to conduct an in-scope of licensing assessment for an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at any time. Consultation must occur with CSL prior to advising the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er and commencing the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10B83" id="Rectangle: Rounded Corners 7" o:spid="_x0000_s1027" style="position:absolute;margin-left:325.75pt;margin-top:22.35pt;width:150.95pt;height:1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735345AB" w14:textId="0A51816C" w:rsidR="00E16CF6" w:rsidRPr="00E16CF6" w:rsidRDefault="00E16CF6" w:rsidP="000855A2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region may decide to conduct an in-scope of licensing assessment for an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at any time. Consultation must occur with CSL prior to advising the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er and commencing the assessment.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1AEC6B" w14:textId="15205FE5" w:rsidR="00E16CF6" w:rsidRDefault="00E16CF6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  <w:sectPr w:rsidR="00E16CF6" w:rsidSect="003D5B06">
          <w:headerReference w:type="default" r:id="rId8"/>
          <w:footerReference w:type="default" r:id="rId9"/>
          <w:type w:val="continuous"/>
          <w:pgSz w:w="11906" w:h="16838"/>
          <w:pgMar w:top="2234" w:right="1134" w:bottom="1418" w:left="1134" w:header="709" w:footer="1474" w:gutter="0"/>
          <w:cols w:space="709"/>
          <w:docGrid w:linePitch="360"/>
        </w:sectPr>
      </w:pPr>
    </w:p>
    <w:p w14:paraId="6B2AF6CD" w14:textId="278EE331" w:rsidR="003D5B06" w:rsidRPr="003D5B06" w:rsidRDefault="00905217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DB7505" wp14:editId="6199EF79">
                <wp:simplePos x="0" y="0"/>
                <wp:positionH relativeFrom="column">
                  <wp:posOffset>1873761</wp:posOffset>
                </wp:positionH>
                <wp:positionV relativeFrom="paragraph">
                  <wp:posOffset>6981380</wp:posOffset>
                </wp:positionV>
                <wp:extent cx="0" cy="224155"/>
                <wp:effectExtent l="76200" t="0" r="57150" b="61595"/>
                <wp:wrapNone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031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alt="&quot;&quot;" style="position:absolute;margin-left:147.55pt;margin-top:549.7pt;width:0;height:1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Pr="00E16CF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98303" wp14:editId="25A60B78">
                <wp:simplePos x="0" y="0"/>
                <wp:positionH relativeFrom="margin">
                  <wp:posOffset>54610</wp:posOffset>
                </wp:positionH>
                <wp:positionV relativeFrom="paragraph">
                  <wp:posOffset>7241161</wp:posOffset>
                </wp:positionV>
                <wp:extent cx="3625215" cy="655370"/>
                <wp:effectExtent l="342900" t="57150" r="51435" b="3162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6553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6A6BFB53" w14:textId="649B87FC" w:rsidR="00E16CF6" w:rsidRPr="00E16CF6" w:rsidRDefault="00E16CF6" w:rsidP="00E16CF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licensing delegate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will decide if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supplie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r is </w:t>
                            </w:r>
                            <w:r w:rsidR="008624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deemed to be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in-scope of licensing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provides written advice </w:t>
                            </w:r>
                            <w:r w:rsidR="00336E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of their decision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with a copy to the region/s.</w:t>
                            </w:r>
                          </w:p>
                          <w:p w14:paraId="4B95A054" w14:textId="77777777" w:rsidR="00E16CF6" w:rsidRPr="00E16CF6" w:rsidRDefault="00E16CF6" w:rsidP="00E16CF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98303" id="Rectangle: Rounded Corners 6" o:spid="_x0000_s1028" style="position:absolute;margin-left:4.3pt;margin-top:570.15pt;width:285.45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6A6BFB53" w14:textId="649B87FC" w:rsidR="00E16CF6" w:rsidRPr="00E16CF6" w:rsidRDefault="00E16CF6" w:rsidP="00E16CF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licensing delegate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will decide if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supplie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r is </w:t>
                      </w:r>
                      <w:r w:rsidR="00862447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deemed to be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in-scope of licensing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provides written advice </w:t>
                      </w:r>
                      <w:r w:rsidR="00336E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of their decision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with a copy to the region/s.</w:t>
                      </w:r>
                    </w:p>
                    <w:p w14:paraId="4B95A054" w14:textId="77777777" w:rsidR="00E16CF6" w:rsidRPr="00E16CF6" w:rsidRDefault="00E16CF6" w:rsidP="00E16CF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E7757" wp14:editId="5A435EA4">
                <wp:simplePos x="0" y="0"/>
                <wp:positionH relativeFrom="margin">
                  <wp:posOffset>57719</wp:posOffset>
                </wp:positionH>
                <wp:positionV relativeFrom="paragraph">
                  <wp:posOffset>6101657</wp:posOffset>
                </wp:positionV>
                <wp:extent cx="3642360" cy="833500"/>
                <wp:effectExtent l="323850" t="57150" r="53340" b="3289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833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6414EBCF" w14:textId="7DC18812" w:rsidR="003D5B06" w:rsidRDefault="003D5B06" w:rsidP="00556494">
                            <w:pPr>
                              <w:jc w:val="both"/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Assessments received by CSL will be</w:t>
                            </w:r>
                            <w:r w:rsidR="00AA502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reviewed and must be endorsed by the CSL Manager and the Tertiary Care and Support Director for progression to </w:t>
                            </w:r>
                            <w:proofErr w:type="gramStart"/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State</w:t>
                            </w:r>
                            <w:r w:rsidR="00AA502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Wide</w:t>
                            </w:r>
                            <w:proofErr w:type="gramEnd"/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Licensing Panel</w:t>
                            </w:r>
                            <w:r w:rsidR="004D2F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who will make a recommendation to the licensing delegate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7757" id="Rectangle: Rounded Corners 1" o:spid="_x0000_s1029" style="position:absolute;margin-left:4.55pt;margin-top:480.45pt;width:286.8pt;height:6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6414EBCF" w14:textId="7DC18812" w:rsidR="003D5B06" w:rsidRDefault="003D5B06" w:rsidP="00556494">
                      <w:pPr>
                        <w:jc w:val="both"/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Assessments received by CSL will be</w:t>
                      </w:r>
                      <w:r w:rsidR="00AA502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reviewed and must be endorsed by the CSL Manager and the Tertiary Care and Support Director for progression to State</w:t>
                      </w:r>
                      <w:r w:rsidR="00AA502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Wide Licensing Panel</w:t>
                      </w:r>
                      <w:r w:rsidR="004D2F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who will make a recommendation to the licensing delegate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0BD90" wp14:editId="4D08BA3C">
                <wp:simplePos x="0" y="0"/>
                <wp:positionH relativeFrom="column">
                  <wp:posOffset>1834581</wp:posOffset>
                </wp:positionH>
                <wp:positionV relativeFrom="paragraph">
                  <wp:posOffset>5819396</wp:posOffset>
                </wp:positionV>
                <wp:extent cx="0" cy="224155"/>
                <wp:effectExtent l="76200" t="0" r="57150" b="615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A0E9" id="Straight Arrow Connector 17" o:spid="_x0000_s1026" type="#_x0000_t32" style="position:absolute;margin-left:144.45pt;margin-top:458.2pt;width:0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IEjtj3eAAAACwEAAA8AAABkcnMvZG93bnJldi54&#10;bWxMj8FOwzAMhu9IvENkJG4s7QRdV5pOwEACcWLsws1rvKYicaom28rbE8QBjv796ffnejU5K440&#10;ht6zgnyWgSBuve65U7B9f7oqQYSIrNF6JgVfFGDVnJ/VWGl/4jc6bmInUgmHChWYGIdKytAachhm&#10;fiBOu70fHcY0jp3UI55SubNynmWFdNhzumBwoAdD7efm4BTsDdJ6axnXw6LIX+8/nh+zF6/U5cV0&#10;dwsi0hT/YPjRT+rQJKedP7AOwiqYl+UyoQqWeXENIhG/yS4lN/kCZFPL/z803wA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CBI7Y9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15B8F" wp14:editId="11958F82">
                <wp:simplePos x="0" y="0"/>
                <wp:positionH relativeFrom="column">
                  <wp:posOffset>1837500</wp:posOffset>
                </wp:positionH>
                <wp:positionV relativeFrom="paragraph">
                  <wp:posOffset>4667695</wp:posOffset>
                </wp:positionV>
                <wp:extent cx="0" cy="224155"/>
                <wp:effectExtent l="76200" t="0" r="57150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9150A" id="Straight Arrow Connector 16" o:spid="_x0000_s1026" type="#_x0000_t32" style="position:absolute;margin-left:144.7pt;margin-top:367.55pt;width:0;height:1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K1FIdbeAAAACwEAAA8AAABkcnMvZG93bnJldi54&#10;bWxMj8FOwzAMhu9IvENkJG4s6RjrKE0nYCANcWLsws1rvLYicaom28rbE8QBjv796ffncjk6K440&#10;hM6zhmyiQBDX3nTcaNi+P18tQISIbNB6Jg1fFGBZnZ+VWBh/4jc6bmIjUgmHAjW0MfaFlKFuyWGY&#10;+J447fZ+cBjTODTSDHhK5c7KqVJz6bDjdKHFnh5bqj83B6dh3yKttpZx1efz7PXhY/2kXrzWlxfj&#10;/R2ISGP8g+FHP6lDlZx2/sAmCKthuridJVRDfn2TgUjEb7JLSa5mIKtS/v+h+gY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CtRSHW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867F9" wp14:editId="2465D670">
                <wp:simplePos x="0" y="0"/>
                <wp:positionH relativeFrom="margin">
                  <wp:posOffset>-3810</wp:posOffset>
                </wp:positionH>
                <wp:positionV relativeFrom="paragraph">
                  <wp:posOffset>4913828</wp:posOffset>
                </wp:positionV>
                <wp:extent cx="3668139" cy="852170"/>
                <wp:effectExtent l="323850" t="57150" r="46990" b="3289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139" cy="8521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1E5EFF8" w14:textId="53DB7939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regional assessment must be endorsed by the Regional Executive Director before being submitted to CSL. If the regional assessment is not endorsed the region must provide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with written outcome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867F9" id="Rectangle: Rounded Corners 12" o:spid="_x0000_s1030" style="position:absolute;margin-left:-.3pt;margin-top:386.9pt;width:288.85pt;height:6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11E5EFF8" w14:textId="53DB7939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regional assessment must be endorsed by the Regional Executive Director before being submitted to CSL. If the regional assessment is not endorsed the region must provide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with written outcome advice.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C24BD" wp14:editId="367ACB06">
                <wp:simplePos x="0" y="0"/>
                <wp:positionH relativeFrom="margin">
                  <wp:posOffset>8197</wp:posOffset>
                </wp:positionH>
                <wp:positionV relativeFrom="paragraph">
                  <wp:posOffset>3963159</wp:posOffset>
                </wp:positionV>
                <wp:extent cx="3672840" cy="673100"/>
                <wp:effectExtent l="342900" t="57150" r="60960" b="3175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6731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57CCFBA" w14:textId="3E21A6A1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region advises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they are conducting an in-scope of licensing </w:t>
                            </w:r>
                            <w:proofErr w:type="gram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assessment</w:t>
                            </w:r>
                            <w:proofErr w:type="gramEnd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the outcome will be communicated to them in due course.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C24BD" id="Rectangle: Rounded Corners 8" o:spid="_x0000_s1031" style="position:absolute;margin-left:.65pt;margin-top:312.05pt;width:289.2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257CCFBA" w14:textId="3E21A6A1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region advises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they are conducting an in-scope of licensing assessment and the outcome will be communicated to them in due course.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B1216" wp14:editId="764F90FE">
                <wp:simplePos x="0" y="0"/>
                <wp:positionH relativeFrom="column">
                  <wp:posOffset>1852550</wp:posOffset>
                </wp:positionH>
                <wp:positionV relativeFrom="paragraph">
                  <wp:posOffset>3681351</wp:posOffset>
                </wp:positionV>
                <wp:extent cx="0" cy="224155"/>
                <wp:effectExtent l="76200" t="0" r="57150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B291" id="Straight Arrow Connector 15" o:spid="_x0000_s1026" type="#_x0000_t32" style="position:absolute;margin-left:145.85pt;margin-top:289.85pt;width:0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C+8yxneAAAACwEAAA8AAABkcnMvZG93bnJldi54&#10;bWxMj01PwzAMhu9I/IfISNxY0klrWWk6AQMJtBNjF25e6zUViVM12Vb+PUEc4OaPR68fV6vJWXGi&#10;MfSeNWQzBYK48W3PnYbd+/PNLYgQkVu0nknDFwVY1ZcXFZatP/MbnbaxEymEQ4kaTIxDKWVoDDkM&#10;Mz8Qp93Bjw5jasdOtiOeU7izcq5ULh32nC4YHOjRUPO5PToNB4O03lnG9VDk2ebh4+VJvXqtr6+m&#10;+zsQkab4B8OPflKHOjnt/ZHbIKyG+TIrEqphUSxTkYjfyV5Dni0UyLqS/3+ovwE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AvvMsZ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4068A" wp14:editId="6667420C">
                <wp:simplePos x="0" y="0"/>
                <wp:positionH relativeFrom="margin">
                  <wp:posOffset>7620</wp:posOffset>
                </wp:positionH>
                <wp:positionV relativeFrom="paragraph">
                  <wp:posOffset>1577151</wp:posOffset>
                </wp:positionV>
                <wp:extent cx="3694710" cy="560367"/>
                <wp:effectExtent l="342900" t="57150" r="58420" b="3162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710" cy="56036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D164F25" w14:textId="46213054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CSL advises the region/s of any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suppliers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who have been determined suitable for an in-scope of licensing assessment.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4068A" id="Rectangle: Rounded Corners 4" o:spid="_x0000_s1032" style="position:absolute;margin-left:.6pt;margin-top:124.2pt;width:290.9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5D164F25" w14:textId="46213054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CSL advises the region/s of any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suppliers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who have been determined suitable for an in-scope of licensing assessment.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6458A" wp14:editId="03309637">
                <wp:simplePos x="0" y="0"/>
                <wp:positionH relativeFrom="column">
                  <wp:posOffset>1838325</wp:posOffset>
                </wp:positionH>
                <wp:positionV relativeFrom="paragraph">
                  <wp:posOffset>2198691</wp:posOffset>
                </wp:positionV>
                <wp:extent cx="0" cy="224393"/>
                <wp:effectExtent l="76200" t="0" r="5715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7C3B" id="Straight Arrow Connector 14" o:spid="_x0000_s1026" type="#_x0000_t32" style="position:absolute;margin-left:144.75pt;margin-top:173.15pt;width:0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75E2C" wp14:editId="7A737278">
                <wp:simplePos x="0" y="0"/>
                <wp:positionH relativeFrom="margin">
                  <wp:posOffset>-8890</wp:posOffset>
                </wp:positionH>
                <wp:positionV relativeFrom="paragraph">
                  <wp:posOffset>2444115</wp:posOffset>
                </wp:positionV>
                <wp:extent cx="3706495" cy="1177290"/>
                <wp:effectExtent l="323850" t="57150" r="46355" b="32766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495" cy="11772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71F8088" w14:textId="77777777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region/s advises CSL if the in-scope of licensing assessment will be conducted or not.</w:t>
                            </w:r>
                          </w:p>
                          <w:p w14:paraId="33227837" w14:textId="2160B7D5" w:rsidR="003D5B06" w:rsidRDefault="003D5B06" w:rsidP="003D5B06">
                            <w:pPr>
                              <w:jc w:val="both"/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NB: If an organisation is providing services across multiple regions, the region with the most placements will take the lead in conducting a single assessment and liaise with the other region/s.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5E2C" id="Rectangle: Rounded Corners 9" o:spid="_x0000_s1033" style="position:absolute;margin-left:-.7pt;margin-top:192.45pt;width:291.85pt;height:9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" fillcolor="#d5dce4 [671]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771F8088" w14:textId="77777777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region/s advises CSL if the in-scope of licensing assessment will be conducted or not.</w:t>
                      </w:r>
                    </w:p>
                    <w:p w14:paraId="33227837" w14:textId="2160B7D5" w:rsidR="003D5B06" w:rsidRDefault="003D5B06" w:rsidP="003D5B06">
                      <w:pPr>
                        <w:jc w:val="both"/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NB: If an organisation is providing services across multiple regions, the region with the most placements will take the lead in conducting a single assessment and liaise with the other region/s.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3475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96A288" wp14:editId="02C547A5">
                <wp:simplePos x="0" y="0"/>
                <wp:positionH relativeFrom="column">
                  <wp:posOffset>3768783</wp:posOffset>
                </wp:positionH>
                <wp:positionV relativeFrom="paragraph">
                  <wp:posOffset>4204137</wp:posOffset>
                </wp:positionV>
                <wp:extent cx="1294410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4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23620" id="Straight Arrow Connector 26" o:spid="_x0000_s1026" type="#_x0000_t32" style="position:absolute;margin-left:296.75pt;margin-top:331.05pt;width:101.9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" strokecolor="black [3213]" strokeweight="1.5pt">
                <v:stroke endarrow="block" joinstyle="miter"/>
              </v:shape>
            </w:pict>
          </mc:Fallback>
        </mc:AlternateContent>
      </w:r>
      <w:r w:rsidR="005564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83FDC9" wp14:editId="19BEFD47">
                <wp:simplePos x="0" y="0"/>
                <wp:positionH relativeFrom="column">
                  <wp:posOffset>1852295</wp:posOffset>
                </wp:positionH>
                <wp:positionV relativeFrom="paragraph">
                  <wp:posOffset>1308100</wp:posOffset>
                </wp:positionV>
                <wp:extent cx="0" cy="224155"/>
                <wp:effectExtent l="76200" t="0" r="57150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C3BE0" id="Straight Arrow Connector 13" o:spid="_x0000_s1026" type="#_x0000_t32" style="position:absolute;margin-left:145.85pt;margin-top:103pt;width:0;height:1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sectPr w:rsidR="003D5B06" w:rsidRPr="003D5B06" w:rsidSect="00900982">
      <w:type w:val="continuous"/>
      <w:pgSz w:w="11906" w:h="16838"/>
      <w:pgMar w:top="2234" w:right="1134" w:bottom="1418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CC8F" w14:textId="77777777" w:rsidR="007C4C33" w:rsidRDefault="007C4C33">
      <w:r>
        <w:separator/>
      </w:r>
    </w:p>
  </w:endnote>
  <w:endnote w:type="continuationSeparator" w:id="0">
    <w:p w14:paraId="51943879" w14:textId="77777777" w:rsidR="007C4C33" w:rsidRDefault="007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A1EE" w14:textId="77777777" w:rsidR="005E3475" w:rsidRDefault="005E3475" w:rsidP="002040D0">
    <w:pPr>
      <w:pStyle w:val="Footer"/>
      <w:tabs>
        <w:tab w:val="clear" w:pos="4153"/>
        <w:tab w:val="clear" w:pos="8306"/>
        <w:tab w:val="left" w:pos="2176"/>
      </w:tabs>
    </w:pPr>
  </w:p>
  <w:p w14:paraId="70D540EB" w14:textId="39DF5ACA" w:rsidR="000C4994" w:rsidRDefault="005E3475" w:rsidP="002040D0">
    <w:pPr>
      <w:pStyle w:val="Footer"/>
      <w:tabs>
        <w:tab w:val="clear" w:pos="4153"/>
        <w:tab w:val="clear" w:pos="8306"/>
        <w:tab w:val="left" w:pos="21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AAB845" wp14:editId="5B0417A3">
              <wp:simplePos x="0" y="0"/>
              <wp:positionH relativeFrom="margin">
                <wp:align>right</wp:align>
              </wp:positionH>
              <wp:positionV relativeFrom="paragraph">
                <wp:posOffset>697865</wp:posOffset>
              </wp:positionV>
              <wp:extent cx="6554470" cy="1828800"/>
              <wp:effectExtent l="0" t="0" r="0" b="0"/>
              <wp:wrapSquare wrapText="bothSides"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44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2843868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97AAF64" w14:textId="2E17596D" w:rsidR="005E3475" w:rsidRPr="00351BB6" w:rsidRDefault="005E3475" w:rsidP="00D424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LCS</w:t>
                              </w:r>
                              <w:r w:rsidR="00D424E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Factsheet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The In-scope of Licensing Process for Individual</w:t>
                              </w:r>
                              <w:r w:rsidR="00546666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ised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Placement and Support (IPS) Suppliers 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August 2024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D424E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AAB84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4" type="#_x0000_t202" style="position:absolute;margin-left:464.9pt;margin-top:54.95pt;width:516.1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" filled="f" stroked="f" strokeweight=".5pt">
              <v:textbox style="mso-fit-shape-to-text:t">
                <w:txbxContent>
                  <w:sdt>
                    <w:sdtPr>
                      <w:rPr>
                        <w:sz w:val="18"/>
                        <w:szCs w:val="18"/>
                      </w:rPr>
                      <w:id w:val="12843868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97AAF64" w14:textId="2E17596D" w:rsidR="005E3475" w:rsidRPr="00351BB6" w:rsidRDefault="005E3475" w:rsidP="00D424EC">
                        <w:pPr>
                          <w:rPr>
                            <w:sz w:val="18"/>
                            <w:szCs w:val="18"/>
                          </w:rPr>
                        </w:pP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>LCS</w:t>
                        </w:r>
                        <w:r w:rsidR="00D424EC">
                          <w:rPr>
                            <w:rFonts w:cs="Arial"/>
                            <w:sz w:val="16"/>
                            <w:szCs w:val="16"/>
                          </w:rPr>
                          <w:t xml:space="preserve"> Factsheet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–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The In-scope of Licensing Process for Individual</w:t>
                        </w:r>
                        <w:r w:rsidR="00546666">
                          <w:rPr>
                            <w:rFonts w:cs="Arial"/>
                            <w:sz w:val="16"/>
                            <w:szCs w:val="16"/>
                          </w:rPr>
                          <w:t>ised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Placement and Support (IPS) Suppliers 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August 2024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>)</w:t>
                        </w:r>
                        <w:r w:rsidR="00D424EC"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Page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 of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  <w:r w:rsidR="002040D0">
      <w:tab/>
    </w:r>
    <w:r w:rsidR="002040D0">
      <w:rPr>
        <w:noProof/>
      </w:rPr>
      <w:drawing>
        <wp:anchor distT="0" distB="0" distL="114300" distR="114300" simplePos="0" relativeHeight="251659264" behindDoc="1" locked="1" layoutInCell="1" allowOverlap="1" wp14:anchorId="12588374" wp14:editId="187A0E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C447" w14:textId="77777777" w:rsidR="007C4C33" w:rsidRDefault="007C4C33">
      <w:r>
        <w:separator/>
      </w:r>
    </w:p>
  </w:footnote>
  <w:footnote w:type="continuationSeparator" w:id="0">
    <w:p w14:paraId="4B39475A" w14:textId="77777777" w:rsidR="007C4C33" w:rsidRDefault="007C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6D4E5F33" w:rsidR="00B21459" w:rsidRDefault="00E8736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A71DD6" wp14:editId="683CB433">
          <wp:simplePos x="0" y="0"/>
          <wp:positionH relativeFrom="page">
            <wp:posOffset>-14354</wp:posOffset>
          </wp:positionH>
          <wp:positionV relativeFrom="paragraph">
            <wp:posOffset>-447202</wp:posOffset>
          </wp:positionV>
          <wp:extent cx="7560000" cy="1360800"/>
          <wp:effectExtent l="0" t="0" r="3175" b="0"/>
          <wp:wrapNone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6AB"/>
    <w:multiLevelType w:val="hybridMultilevel"/>
    <w:tmpl w:val="70A0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4028"/>
    <w:multiLevelType w:val="hybridMultilevel"/>
    <w:tmpl w:val="689E0358"/>
    <w:lvl w:ilvl="0" w:tplc="B1B267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3E59A0"/>
    <w:multiLevelType w:val="hybridMultilevel"/>
    <w:tmpl w:val="3B4EAD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8347297">
    <w:abstractNumId w:val="0"/>
  </w:num>
  <w:num w:numId="2" w16cid:durableId="1944457531">
    <w:abstractNumId w:val="2"/>
  </w:num>
  <w:num w:numId="3" w16cid:durableId="104228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0F0E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55A2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13B"/>
    <w:rsid w:val="000A7406"/>
    <w:rsid w:val="000A7FE5"/>
    <w:rsid w:val="000B0B9F"/>
    <w:rsid w:val="000B1F16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C68D0"/>
    <w:rsid w:val="000D04E0"/>
    <w:rsid w:val="000D0827"/>
    <w:rsid w:val="000D0974"/>
    <w:rsid w:val="000D19B1"/>
    <w:rsid w:val="000D3398"/>
    <w:rsid w:val="000D5B90"/>
    <w:rsid w:val="000E3449"/>
    <w:rsid w:val="000E3F9F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0F7BE4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1370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371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0D0"/>
    <w:rsid w:val="0020536F"/>
    <w:rsid w:val="002056E6"/>
    <w:rsid w:val="00205967"/>
    <w:rsid w:val="0020637E"/>
    <w:rsid w:val="002140B9"/>
    <w:rsid w:val="002203A6"/>
    <w:rsid w:val="002232F0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B70"/>
    <w:rsid w:val="00240EC4"/>
    <w:rsid w:val="00241526"/>
    <w:rsid w:val="00245995"/>
    <w:rsid w:val="0024689F"/>
    <w:rsid w:val="002514CA"/>
    <w:rsid w:val="0025261A"/>
    <w:rsid w:val="0025352A"/>
    <w:rsid w:val="00254821"/>
    <w:rsid w:val="002563CA"/>
    <w:rsid w:val="002571F1"/>
    <w:rsid w:val="00257943"/>
    <w:rsid w:val="0026074A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24C4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36F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8C5"/>
    <w:rsid w:val="002C5B5D"/>
    <w:rsid w:val="002C6264"/>
    <w:rsid w:val="002C6EEF"/>
    <w:rsid w:val="002D00A4"/>
    <w:rsid w:val="002D0721"/>
    <w:rsid w:val="002D0DC3"/>
    <w:rsid w:val="002D4343"/>
    <w:rsid w:val="002D5AE6"/>
    <w:rsid w:val="002D6A05"/>
    <w:rsid w:val="002D7384"/>
    <w:rsid w:val="002D7630"/>
    <w:rsid w:val="002D7E4C"/>
    <w:rsid w:val="002E124C"/>
    <w:rsid w:val="002E189C"/>
    <w:rsid w:val="002E2841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5C29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36E5B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65E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5B06"/>
    <w:rsid w:val="003D64FB"/>
    <w:rsid w:val="003D6598"/>
    <w:rsid w:val="003D6890"/>
    <w:rsid w:val="003E0877"/>
    <w:rsid w:val="003E11E4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1F49"/>
    <w:rsid w:val="0043226F"/>
    <w:rsid w:val="004346FA"/>
    <w:rsid w:val="00435490"/>
    <w:rsid w:val="0043550B"/>
    <w:rsid w:val="00435529"/>
    <w:rsid w:val="004366A2"/>
    <w:rsid w:val="004368D5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555C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2FE3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0E6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16AE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6666"/>
    <w:rsid w:val="00547A43"/>
    <w:rsid w:val="00551E8E"/>
    <w:rsid w:val="00551F9A"/>
    <w:rsid w:val="005523D4"/>
    <w:rsid w:val="00552B35"/>
    <w:rsid w:val="00553400"/>
    <w:rsid w:val="00555DA1"/>
    <w:rsid w:val="00555EEE"/>
    <w:rsid w:val="00556494"/>
    <w:rsid w:val="00557939"/>
    <w:rsid w:val="0055795F"/>
    <w:rsid w:val="005604E8"/>
    <w:rsid w:val="00560F1A"/>
    <w:rsid w:val="00561458"/>
    <w:rsid w:val="0056187A"/>
    <w:rsid w:val="00562BBB"/>
    <w:rsid w:val="0056381D"/>
    <w:rsid w:val="00565312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0AB4"/>
    <w:rsid w:val="00582656"/>
    <w:rsid w:val="00583995"/>
    <w:rsid w:val="00585815"/>
    <w:rsid w:val="00585914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495C"/>
    <w:rsid w:val="005A5A79"/>
    <w:rsid w:val="005A64D3"/>
    <w:rsid w:val="005B04B2"/>
    <w:rsid w:val="005B09E5"/>
    <w:rsid w:val="005B29F6"/>
    <w:rsid w:val="005B2EB0"/>
    <w:rsid w:val="005B3392"/>
    <w:rsid w:val="005B3427"/>
    <w:rsid w:val="005B3C68"/>
    <w:rsid w:val="005B4861"/>
    <w:rsid w:val="005B4B35"/>
    <w:rsid w:val="005B4F19"/>
    <w:rsid w:val="005B5215"/>
    <w:rsid w:val="005B633C"/>
    <w:rsid w:val="005C36AF"/>
    <w:rsid w:val="005C3877"/>
    <w:rsid w:val="005C6058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47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C34"/>
    <w:rsid w:val="00607F6D"/>
    <w:rsid w:val="00610A98"/>
    <w:rsid w:val="00610BDE"/>
    <w:rsid w:val="00611BE9"/>
    <w:rsid w:val="00613947"/>
    <w:rsid w:val="00614127"/>
    <w:rsid w:val="0061496E"/>
    <w:rsid w:val="00615328"/>
    <w:rsid w:val="00615951"/>
    <w:rsid w:val="00621815"/>
    <w:rsid w:val="0062185B"/>
    <w:rsid w:val="0062267C"/>
    <w:rsid w:val="00623463"/>
    <w:rsid w:val="0062449B"/>
    <w:rsid w:val="006247E7"/>
    <w:rsid w:val="006250D4"/>
    <w:rsid w:val="006259F1"/>
    <w:rsid w:val="00627C93"/>
    <w:rsid w:val="006327C7"/>
    <w:rsid w:val="00632F8F"/>
    <w:rsid w:val="00633B9B"/>
    <w:rsid w:val="00633CAB"/>
    <w:rsid w:val="00635F8E"/>
    <w:rsid w:val="0063788F"/>
    <w:rsid w:val="00640F77"/>
    <w:rsid w:val="006410C2"/>
    <w:rsid w:val="006430C4"/>
    <w:rsid w:val="00643AA7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506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17B8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E95"/>
    <w:rsid w:val="006C18D7"/>
    <w:rsid w:val="006C402E"/>
    <w:rsid w:val="006C4FBC"/>
    <w:rsid w:val="006C6050"/>
    <w:rsid w:val="006C6078"/>
    <w:rsid w:val="006C6530"/>
    <w:rsid w:val="006D0FBE"/>
    <w:rsid w:val="006D140B"/>
    <w:rsid w:val="006D1812"/>
    <w:rsid w:val="006D2809"/>
    <w:rsid w:val="006D2B30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4F60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36F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1EF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36F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4C3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5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2447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41C2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2E64"/>
    <w:rsid w:val="008F3E9F"/>
    <w:rsid w:val="008F600F"/>
    <w:rsid w:val="008F6A56"/>
    <w:rsid w:val="00900982"/>
    <w:rsid w:val="00901EE5"/>
    <w:rsid w:val="00901F2B"/>
    <w:rsid w:val="00903E57"/>
    <w:rsid w:val="0090472F"/>
    <w:rsid w:val="00905217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5B5F"/>
    <w:rsid w:val="00925F2A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A34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081"/>
    <w:rsid w:val="00991985"/>
    <w:rsid w:val="00996DDB"/>
    <w:rsid w:val="009A0F5B"/>
    <w:rsid w:val="009A230D"/>
    <w:rsid w:val="009A43E8"/>
    <w:rsid w:val="009A592C"/>
    <w:rsid w:val="009A5CAF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1C05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4907"/>
    <w:rsid w:val="00A27292"/>
    <w:rsid w:val="00A31221"/>
    <w:rsid w:val="00A312C4"/>
    <w:rsid w:val="00A32E6B"/>
    <w:rsid w:val="00A3582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0046"/>
    <w:rsid w:val="00AA10B5"/>
    <w:rsid w:val="00AA5020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213"/>
    <w:rsid w:val="00AC676F"/>
    <w:rsid w:val="00AC6A15"/>
    <w:rsid w:val="00AC6E7D"/>
    <w:rsid w:val="00AD0599"/>
    <w:rsid w:val="00AD071F"/>
    <w:rsid w:val="00AD16DB"/>
    <w:rsid w:val="00AD23D1"/>
    <w:rsid w:val="00AD2EC4"/>
    <w:rsid w:val="00AD4D3C"/>
    <w:rsid w:val="00AD57FB"/>
    <w:rsid w:val="00AD6214"/>
    <w:rsid w:val="00AD6F72"/>
    <w:rsid w:val="00AD7078"/>
    <w:rsid w:val="00AD7373"/>
    <w:rsid w:val="00AE03C9"/>
    <w:rsid w:val="00AE102F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30D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4A10"/>
    <w:rsid w:val="00B867F4"/>
    <w:rsid w:val="00B8749B"/>
    <w:rsid w:val="00B9011B"/>
    <w:rsid w:val="00B903EE"/>
    <w:rsid w:val="00B9043C"/>
    <w:rsid w:val="00B90A91"/>
    <w:rsid w:val="00B9102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38EE"/>
    <w:rsid w:val="00BD403B"/>
    <w:rsid w:val="00BD4FCD"/>
    <w:rsid w:val="00BD5597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27E5A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0719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0C62"/>
    <w:rsid w:val="00C7117F"/>
    <w:rsid w:val="00C71781"/>
    <w:rsid w:val="00C7202F"/>
    <w:rsid w:val="00C73020"/>
    <w:rsid w:val="00C73A14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5889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0E6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4EC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4F9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4C7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3FE5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7299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16CF6"/>
    <w:rsid w:val="00E203E1"/>
    <w:rsid w:val="00E213CF"/>
    <w:rsid w:val="00E22996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1B06"/>
    <w:rsid w:val="00E41EE8"/>
    <w:rsid w:val="00E42651"/>
    <w:rsid w:val="00E44F67"/>
    <w:rsid w:val="00E45EDE"/>
    <w:rsid w:val="00E45F73"/>
    <w:rsid w:val="00E47FB7"/>
    <w:rsid w:val="00E50AE9"/>
    <w:rsid w:val="00E5210F"/>
    <w:rsid w:val="00E56DCD"/>
    <w:rsid w:val="00E57B23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09BE"/>
    <w:rsid w:val="00E83B43"/>
    <w:rsid w:val="00E85BC9"/>
    <w:rsid w:val="00E8665B"/>
    <w:rsid w:val="00E86F93"/>
    <w:rsid w:val="00E87364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0EC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4CF3"/>
    <w:rsid w:val="00EF5E75"/>
    <w:rsid w:val="00EF656F"/>
    <w:rsid w:val="00F033B4"/>
    <w:rsid w:val="00F04367"/>
    <w:rsid w:val="00F04618"/>
    <w:rsid w:val="00F04D02"/>
    <w:rsid w:val="00F114AF"/>
    <w:rsid w:val="00F11A7E"/>
    <w:rsid w:val="00F123F2"/>
    <w:rsid w:val="00F13681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654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A67"/>
    <w:rsid w:val="00F47D26"/>
    <w:rsid w:val="00F5125C"/>
    <w:rsid w:val="00F51A2F"/>
    <w:rsid w:val="00F523EB"/>
    <w:rsid w:val="00F52B97"/>
    <w:rsid w:val="00F53458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083D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07B"/>
    <w:rsid w:val="00FA2655"/>
    <w:rsid w:val="00FA3785"/>
    <w:rsid w:val="00FA3976"/>
    <w:rsid w:val="00FA4DAF"/>
    <w:rsid w:val="00FA70F4"/>
    <w:rsid w:val="00FB0E7E"/>
    <w:rsid w:val="00FB1349"/>
    <w:rsid w:val="00FB20E4"/>
    <w:rsid w:val="00FB3D2F"/>
    <w:rsid w:val="00FB3E6C"/>
    <w:rsid w:val="00FC0068"/>
    <w:rsid w:val="00FC05F1"/>
    <w:rsid w:val="00FC1EDF"/>
    <w:rsid w:val="00FC2ED0"/>
    <w:rsid w:val="00FC3F91"/>
    <w:rsid w:val="00FC4830"/>
    <w:rsid w:val="00FC48E3"/>
    <w:rsid w:val="00FC498C"/>
    <w:rsid w:val="00FC514F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FC05F1"/>
    <w:rPr>
      <w:rFonts w:ascii="Arial" w:hAnsi="Arial" w:cs="Arial"/>
      <w:b/>
      <w:bCs/>
      <w:kern w:val="32"/>
      <w:sz w:val="48"/>
      <w:szCs w:val="32"/>
      <w:lang w:eastAsia="en-AU"/>
    </w:rPr>
  </w:style>
  <w:style w:type="character" w:styleId="Hyperlink">
    <w:name w:val="Hyperlink"/>
    <w:uiPriority w:val="99"/>
    <w:unhideWhenUsed/>
    <w:rsid w:val="00FC05F1"/>
    <w:rPr>
      <w:color w:val="0563C1"/>
      <w:u w:val="single"/>
    </w:rPr>
  </w:style>
  <w:style w:type="character" w:styleId="CommentReference">
    <w:name w:val="annotation reference"/>
    <w:basedOn w:val="DefaultParagraphFont"/>
    <w:rsid w:val="00AD70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7078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D7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7078"/>
    <w:rPr>
      <w:rFonts w:ascii="Arial" w:hAnsi="Arial"/>
      <w:b/>
      <w:bCs/>
      <w:lang w:eastAsia="en-AU"/>
    </w:rPr>
  </w:style>
  <w:style w:type="paragraph" w:styleId="NormalWeb">
    <w:name w:val="Normal (Web)"/>
    <w:basedOn w:val="Normal"/>
    <w:uiPriority w:val="99"/>
    <w:unhideWhenUsed/>
    <w:rsid w:val="00AD7078"/>
    <w:pPr>
      <w:spacing w:before="12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14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C0E95"/>
    <w:pPr>
      <w:ind w:left="720"/>
      <w:contextualSpacing/>
    </w:pPr>
  </w:style>
  <w:style w:type="character" w:styleId="FollowedHyperlink">
    <w:name w:val="FollowedHyperlink"/>
    <w:basedOn w:val="DefaultParagraphFont"/>
    <w:rsid w:val="00191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A16A1-628D-DE47-A069-7C61F45C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LCS Factsheet - The In-Scope of Licensing Process for IPS suppliers</vt:lpstr>
    </vt:vector>
  </TitlesOfParts>
  <Manager>Department of Communities, Child Safety and Disability Services</Manager>
  <Company>Queensland Government</Company>
  <LinksUpToDate>false</LinksUpToDate>
  <CharactersWithSpaces>109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 Factsheet - The In-Scope of Licensing Process for IPS suppliers</dc:title>
  <dc:subject>Departmental template</dc:subject>
  <dc:creator>Queensland Government</dc:creator>
  <cp:keywords>IPS, CRC-PaS, funding, licensing, child safety, suppliers, placment, individualised, placement,support</cp:keywords>
  <cp:lastModifiedBy>Michelle McCarron</cp:lastModifiedBy>
  <cp:revision>2</cp:revision>
  <cp:lastPrinted>2024-09-03T03:45:00Z</cp:lastPrinted>
  <dcterms:created xsi:type="dcterms:W3CDTF">2024-09-03T05:47:00Z</dcterms:created>
  <dcterms:modified xsi:type="dcterms:W3CDTF">2024-09-03T05:47:00Z</dcterms:modified>
  <cp:category>template</cp:category>
</cp:coreProperties>
</file>