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1A6F" w14:textId="188A27DB" w:rsidR="007800E6" w:rsidRPr="00AA3319" w:rsidRDefault="00165288" w:rsidP="006B2970">
      <w:pPr>
        <w:pStyle w:val="BodyText"/>
        <w:spacing w:before="720" w:after="240"/>
        <w:ind w:left="0" w:right="130"/>
        <w:rPr>
          <w:spacing w:val="-2"/>
        </w:rPr>
      </w:pPr>
      <w:r>
        <w:rPr>
          <w:spacing w:val="-1"/>
        </w:rPr>
        <w:t xml:space="preserve">Human Services Quality Framework (HSQF) </w:t>
      </w:r>
      <w:r w:rsidR="00DD3741">
        <w:rPr>
          <w:spacing w:val="-1"/>
        </w:rPr>
        <w:t>certification</w:t>
      </w:r>
      <w:r w:rsidR="0051091E">
        <w:rPr>
          <w:spacing w:val="-2"/>
        </w:rPr>
        <w:t xml:space="preserve"> </w:t>
      </w:r>
      <w:r w:rsidR="00BD2F02">
        <w:rPr>
          <w:spacing w:val="-2"/>
        </w:rPr>
        <w:t xml:space="preserve">is completed </w:t>
      </w:r>
      <w:r w:rsidR="0051091E">
        <w:t>by</w:t>
      </w:r>
      <w:r w:rsidR="0051091E">
        <w:rPr>
          <w:spacing w:val="-4"/>
        </w:rPr>
        <w:t xml:space="preserve"> </w:t>
      </w:r>
      <w:r w:rsidR="00BB3DCE">
        <w:rPr>
          <w:spacing w:val="-4"/>
        </w:rPr>
        <w:t xml:space="preserve">independent </w:t>
      </w:r>
      <w:r w:rsidR="0051091E">
        <w:t>cer</w:t>
      </w:r>
      <w:r w:rsidR="0051091E">
        <w:rPr>
          <w:spacing w:val="1"/>
        </w:rPr>
        <w:t>t</w:t>
      </w:r>
      <w:r w:rsidR="0051091E">
        <w:rPr>
          <w:spacing w:val="-4"/>
        </w:rPr>
        <w:t>i</w:t>
      </w:r>
      <w:r w:rsidR="0051091E">
        <w:rPr>
          <w:spacing w:val="3"/>
        </w:rPr>
        <w:t>f</w:t>
      </w:r>
      <w:r w:rsidR="0051091E">
        <w:rPr>
          <w:spacing w:val="-2"/>
        </w:rPr>
        <w:t>i</w:t>
      </w:r>
      <w:r w:rsidR="0051091E">
        <w:t>c</w:t>
      </w:r>
      <w:r w:rsidR="0051091E">
        <w:rPr>
          <w:spacing w:val="-3"/>
        </w:rPr>
        <w:t>a</w:t>
      </w:r>
      <w:r w:rsidR="0051091E">
        <w:t>t</w:t>
      </w:r>
      <w:r w:rsidR="0051091E">
        <w:rPr>
          <w:spacing w:val="-2"/>
        </w:rPr>
        <w:t>i</w:t>
      </w:r>
      <w:r w:rsidR="0051091E">
        <w:t>on</w:t>
      </w:r>
      <w:r w:rsidR="0051091E">
        <w:rPr>
          <w:spacing w:val="1"/>
        </w:rPr>
        <w:t xml:space="preserve"> </w:t>
      </w:r>
      <w:r w:rsidR="0051091E">
        <w:t>b</w:t>
      </w:r>
      <w:r w:rsidR="0051091E">
        <w:rPr>
          <w:spacing w:val="-1"/>
        </w:rPr>
        <w:t>o</w:t>
      </w:r>
      <w:r w:rsidR="0051091E">
        <w:t>d</w:t>
      </w:r>
      <w:r w:rsidR="0051091E">
        <w:rPr>
          <w:spacing w:val="-2"/>
        </w:rPr>
        <w:t>i</w:t>
      </w:r>
      <w:r w:rsidR="0051091E">
        <w:t xml:space="preserve">es </w:t>
      </w:r>
      <w:r w:rsidR="0051091E">
        <w:rPr>
          <w:spacing w:val="-3"/>
        </w:rPr>
        <w:t>w</w:t>
      </w:r>
      <w:r w:rsidR="0051091E">
        <w:t>h</w:t>
      </w:r>
      <w:r w:rsidR="0051091E">
        <w:rPr>
          <w:spacing w:val="-2"/>
        </w:rPr>
        <w:t>i</w:t>
      </w:r>
      <w:r w:rsidR="0051091E">
        <w:t>ch set</w:t>
      </w:r>
      <w:r w:rsidR="0051091E">
        <w:rPr>
          <w:spacing w:val="-1"/>
        </w:rPr>
        <w:t xml:space="preserve"> </w:t>
      </w:r>
      <w:r w:rsidR="0051091E">
        <w:t>th</w:t>
      </w:r>
      <w:r w:rsidR="0051091E">
        <w:rPr>
          <w:spacing w:val="-1"/>
        </w:rPr>
        <w:t>e</w:t>
      </w:r>
      <w:r w:rsidR="0051091E">
        <w:rPr>
          <w:spacing w:val="-2"/>
        </w:rPr>
        <w:t>i</w:t>
      </w:r>
      <w:r w:rsidR="0051091E">
        <w:t>r</w:t>
      </w:r>
      <w:r w:rsidR="0051091E">
        <w:rPr>
          <w:spacing w:val="-3"/>
        </w:rPr>
        <w:t xml:space="preserve"> </w:t>
      </w:r>
      <w:r w:rsidR="0051091E">
        <w:t>fe</w:t>
      </w:r>
      <w:r w:rsidR="0051091E">
        <w:rPr>
          <w:spacing w:val="-1"/>
        </w:rPr>
        <w:t>e</w:t>
      </w:r>
      <w:r w:rsidR="0051091E">
        <w:t>s</w:t>
      </w:r>
      <w:r w:rsidR="0051091E">
        <w:rPr>
          <w:spacing w:val="1"/>
        </w:rPr>
        <w:t xml:space="preserve"> </w:t>
      </w:r>
      <w:r w:rsidR="0051091E">
        <w:t>a</w:t>
      </w:r>
      <w:r w:rsidR="0051091E">
        <w:rPr>
          <w:spacing w:val="-1"/>
        </w:rPr>
        <w:t>n</w:t>
      </w:r>
      <w:r w:rsidR="0051091E">
        <w:t>d</w:t>
      </w:r>
      <w:r w:rsidR="0051091E">
        <w:rPr>
          <w:spacing w:val="-2"/>
        </w:rPr>
        <w:t xml:space="preserve"> </w:t>
      </w:r>
      <w:r w:rsidR="0051091E">
        <w:t>ch</w:t>
      </w:r>
      <w:r w:rsidR="0051091E">
        <w:rPr>
          <w:spacing w:val="-1"/>
        </w:rPr>
        <w:t>a</w:t>
      </w:r>
      <w:r w:rsidR="0051091E">
        <w:rPr>
          <w:spacing w:val="-2"/>
        </w:rPr>
        <w:t>r</w:t>
      </w:r>
      <w:r w:rsidR="0051091E">
        <w:t>g</w:t>
      </w:r>
      <w:r w:rsidR="0051091E">
        <w:rPr>
          <w:spacing w:val="-1"/>
        </w:rPr>
        <w:t>e</w:t>
      </w:r>
      <w:r w:rsidR="0051091E">
        <w:t>s</w:t>
      </w:r>
      <w:r w:rsidR="0051091E">
        <w:rPr>
          <w:spacing w:val="1"/>
        </w:rPr>
        <w:t xml:space="preserve"> </w:t>
      </w:r>
      <w:r w:rsidR="00B1288D">
        <w:rPr>
          <w:spacing w:val="1"/>
        </w:rPr>
        <w:t xml:space="preserve">based on </w:t>
      </w:r>
      <w:r w:rsidR="0051091E">
        <w:t>com</w:t>
      </w:r>
      <w:r w:rsidR="0051091E">
        <w:rPr>
          <w:spacing w:val="1"/>
        </w:rPr>
        <w:t>m</w:t>
      </w:r>
      <w:r w:rsidR="0051091E">
        <w:rPr>
          <w:spacing w:val="-3"/>
        </w:rPr>
        <w:t>e</w:t>
      </w:r>
      <w:r w:rsidR="0051091E">
        <w:t>rc</w:t>
      </w:r>
      <w:r w:rsidR="0051091E">
        <w:rPr>
          <w:spacing w:val="-2"/>
        </w:rPr>
        <w:t>i</w:t>
      </w:r>
      <w:r w:rsidR="0051091E">
        <w:t>al</w:t>
      </w:r>
      <w:r w:rsidR="0051091E">
        <w:rPr>
          <w:spacing w:val="-1"/>
        </w:rPr>
        <w:t xml:space="preserve"> </w:t>
      </w:r>
      <w:r w:rsidR="0051091E">
        <w:t>r</w:t>
      </w:r>
      <w:r w:rsidR="0051091E">
        <w:rPr>
          <w:spacing w:val="-3"/>
        </w:rPr>
        <w:t>a</w:t>
      </w:r>
      <w:r w:rsidR="0051091E">
        <w:t>te</w:t>
      </w:r>
      <w:r w:rsidR="0051091E">
        <w:rPr>
          <w:spacing w:val="-3"/>
        </w:rPr>
        <w:t>s</w:t>
      </w:r>
      <w:r w:rsidR="0051091E">
        <w:t>.</w:t>
      </w:r>
      <w:r w:rsidR="0051091E">
        <w:rPr>
          <w:spacing w:val="3"/>
        </w:rPr>
        <w:t xml:space="preserve"> </w:t>
      </w:r>
      <w:r w:rsidR="00CE5DC6">
        <w:rPr>
          <w:spacing w:val="-2"/>
        </w:rPr>
        <w:t>Or</w:t>
      </w:r>
      <w:r w:rsidR="00CE5DC6">
        <w:rPr>
          <w:spacing w:val="1"/>
        </w:rPr>
        <w:t>g</w:t>
      </w:r>
      <w:r w:rsidR="00CE5DC6">
        <w:t>a</w:t>
      </w:r>
      <w:r w:rsidR="00CE5DC6">
        <w:rPr>
          <w:spacing w:val="-1"/>
        </w:rPr>
        <w:t>n</w:t>
      </w:r>
      <w:r w:rsidR="00CE5DC6">
        <w:rPr>
          <w:spacing w:val="-2"/>
        </w:rPr>
        <w:t>i</w:t>
      </w:r>
      <w:r w:rsidR="00CE5DC6">
        <w:t>sati</w:t>
      </w:r>
      <w:r w:rsidR="00CE5DC6">
        <w:rPr>
          <w:spacing w:val="-1"/>
        </w:rPr>
        <w:t>o</w:t>
      </w:r>
      <w:r w:rsidR="00CE5DC6">
        <w:t>ns</w:t>
      </w:r>
      <w:r w:rsidR="00CE5DC6">
        <w:rPr>
          <w:spacing w:val="-2"/>
        </w:rPr>
        <w:t xml:space="preserve"> </w:t>
      </w:r>
      <w:r w:rsidR="00CE5DC6">
        <w:rPr>
          <w:spacing w:val="-3"/>
        </w:rPr>
        <w:t>d</w:t>
      </w:r>
      <w:r w:rsidR="00CE5DC6">
        <w:t>e</w:t>
      </w:r>
      <w:r w:rsidR="00CE5DC6">
        <w:rPr>
          <w:spacing w:val="-2"/>
        </w:rPr>
        <w:t>l</w:t>
      </w:r>
      <w:r w:rsidR="00CE5DC6">
        <w:rPr>
          <w:spacing w:val="1"/>
        </w:rPr>
        <w:t>i</w:t>
      </w:r>
      <w:r w:rsidR="00CE5DC6">
        <w:rPr>
          <w:spacing w:val="-3"/>
        </w:rPr>
        <w:t>v</w:t>
      </w:r>
      <w:r w:rsidR="00CE5DC6">
        <w:t>eri</w:t>
      </w:r>
      <w:r w:rsidR="00CE5DC6">
        <w:rPr>
          <w:spacing w:val="-1"/>
        </w:rPr>
        <w:t>n</w:t>
      </w:r>
      <w:r w:rsidR="00CE5DC6">
        <w:t>g</w:t>
      </w:r>
      <w:r w:rsidR="00CE5DC6">
        <w:rPr>
          <w:spacing w:val="4"/>
        </w:rPr>
        <w:t xml:space="preserve"> human </w:t>
      </w:r>
      <w:r w:rsidR="00CE5DC6">
        <w:t>s</w:t>
      </w:r>
      <w:r w:rsidR="00CE5DC6">
        <w:rPr>
          <w:spacing w:val="-3"/>
        </w:rPr>
        <w:t>e</w:t>
      </w:r>
      <w:r w:rsidR="00CE5DC6">
        <w:t>r</w:t>
      </w:r>
      <w:r w:rsidR="00CE5DC6">
        <w:rPr>
          <w:spacing w:val="-3"/>
        </w:rPr>
        <w:t>v</w:t>
      </w:r>
      <w:r w:rsidR="00CE5DC6">
        <w:rPr>
          <w:spacing w:val="-2"/>
        </w:rPr>
        <w:t>i</w:t>
      </w:r>
      <w:r w:rsidR="00CE5DC6">
        <w:t>ces</w:t>
      </w:r>
      <w:r w:rsidR="00CE5DC6">
        <w:rPr>
          <w:spacing w:val="1"/>
        </w:rPr>
        <w:t xml:space="preserve"> </w:t>
      </w:r>
      <w:r w:rsidR="00CE5DC6">
        <w:rPr>
          <w:spacing w:val="-1"/>
        </w:rPr>
        <w:t>in</w:t>
      </w:r>
      <w:r w:rsidR="00CE5DC6">
        <w:t>-sc</w:t>
      </w:r>
      <w:r w:rsidR="00CE5DC6">
        <w:rPr>
          <w:spacing w:val="-3"/>
        </w:rPr>
        <w:t>o</w:t>
      </w:r>
      <w:r w:rsidR="00CE5DC6">
        <w:t xml:space="preserve">pe </w:t>
      </w:r>
      <w:r w:rsidR="00CE5DC6">
        <w:rPr>
          <w:spacing w:val="-3"/>
        </w:rPr>
        <w:t>o</w:t>
      </w:r>
      <w:r w:rsidR="00CE5DC6">
        <w:t>f</w:t>
      </w:r>
      <w:r w:rsidR="00CE5DC6">
        <w:rPr>
          <w:spacing w:val="2"/>
        </w:rPr>
        <w:t xml:space="preserve"> HSQF certification</w:t>
      </w:r>
      <w:r w:rsidR="0051091E">
        <w:t xml:space="preserve"> p</w:t>
      </w:r>
      <w:r w:rsidR="0051091E">
        <w:rPr>
          <w:spacing w:val="-1"/>
        </w:rPr>
        <w:t>a</w:t>
      </w:r>
      <w:r w:rsidR="0051091E">
        <w:t>y</w:t>
      </w:r>
      <w:r w:rsidR="0051091E">
        <w:rPr>
          <w:spacing w:val="-2"/>
        </w:rPr>
        <w:t xml:space="preserve"> </w:t>
      </w:r>
      <w:r w:rsidR="0051091E">
        <w:t>the</w:t>
      </w:r>
      <w:r w:rsidR="00D55E00">
        <w:t>ir contracted</w:t>
      </w:r>
      <w:r w:rsidR="0051091E">
        <w:t xml:space="preserve"> c</w:t>
      </w:r>
      <w:r w:rsidR="0051091E">
        <w:rPr>
          <w:spacing w:val="-3"/>
        </w:rPr>
        <w:t>e</w:t>
      </w:r>
      <w:r w:rsidR="0051091E">
        <w:t>rt</w:t>
      </w:r>
      <w:r w:rsidR="0051091E">
        <w:rPr>
          <w:spacing w:val="-4"/>
        </w:rPr>
        <w:t>i</w:t>
      </w:r>
      <w:r w:rsidR="0051091E">
        <w:rPr>
          <w:spacing w:val="3"/>
        </w:rPr>
        <w:t>f</w:t>
      </w:r>
      <w:r w:rsidR="0051091E">
        <w:rPr>
          <w:spacing w:val="-2"/>
        </w:rPr>
        <w:t>i</w:t>
      </w:r>
      <w:r w:rsidR="0051091E">
        <w:t>c</w:t>
      </w:r>
      <w:r w:rsidR="0051091E">
        <w:rPr>
          <w:spacing w:val="-3"/>
        </w:rPr>
        <w:t>a</w:t>
      </w:r>
      <w:r w:rsidR="0051091E">
        <w:t>t</w:t>
      </w:r>
      <w:r w:rsidR="0051091E">
        <w:rPr>
          <w:spacing w:val="-2"/>
        </w:rPr>
        <w:t>i</w:t>
      </w:r>
      <w:r w:rsidR="0051091E">
        <w:t>on</w:t>
      </w:r>
      <w:r w:rsidR="0051091E">
        <w:rPr>
          <w:spacing w:val="-2"/>
        </w:rPr>
        <w:t xml:space="preserve"> </w:t>
      </w:r>
      <w:r w:rsidR="0051091E">
        <w:t>b</w:t>
      </w:r>
      <w:r w:rsidR="0051091E">
        <w:rPr>
          <w:spacing w:val="-1"/>
        </w:rPr>
        <w:t>o</w:t>
      </w:r>
      <w:r w:rsidR="0051091E">
        <w:t>d</w:t>
      </w:r>
      <w:r w:rsidR="005562BD">
        <w:t>ies</w:t>
      </w:r>
      <w:r w:rsidR="0051091E">
        <w:rPr>
          <w:spacing w:val="-2"/>
        </w:rPr>
        <w:t xml:space="preserve"> </w:t>
      </w:r>
      <w:r w:rsidR="0051091E">
        <w:t>d</w:t>
      </w:r>
      <w:r w:rsidR="0051091E">
        <w:rPr>
          <w:spacing w:val="-2"/>
        </w:rPr>
        <w:t>i</w:t>
      </w:r>
      <w:r w:rsidR="0051091E">
        <w:t>rectly</w:t>
      </w:r>
      <w:r w:rsidR="0051091E">
        <w:rPr>
          <w:spacing w:val="-2"/>
        </w:rPr>
        <w:t xml:space="preserve"> </w:t>
      </w:r>
      <w:r w:rsidR="0051091E">
        <w:rPr>
          <w:spacing w:val="3"/>
        </w:rPr>
        <w:t>f</w:t>
      </w:r>
      <w:r w:rsidR="0051091E">
        <w:rPr>
          <w:spacing w:val="-3"/>
        </w:rPr>
        <w:t>o</w:t>
      </w:r>
      <w:r w:rsidR="0051091E">
        <w:t>r</w:t>
      </w:r>
      <w:r w:rsidR="0051091E">
        <w:rPr>
          <w:spacing w:val="-1"/>
        </w:rPr>
        <w:t xml:space="preserve"> </w:t>
      </w:r>
      <w:r w:rsidR="00D55E00">
        <w:rPr>
          <w:spacing w:val="2"/>
        </w:rPr>
        <w:t xml:space="preserve">completing certification, </w:t>
      </w:r>
      <w:r w:rsidR="00DD3741">
        <w:rPr>
          <w:spacing w:val="2"/>
        </w:rPr>
        <w:t xml:space="preserve">which includes </w:t>
      </w:r>
      <w:r w:rsidR="00CE5DC6">
        <w:rPr>
          <w:spacing w:val="2"/>
        </w:rPr>
        <w:t xml:space="preserve">the costs of </w:t>
      </w:r>
      <w:r w:rsidR="00D55E00">
        <w:t>au</w:t>
      </w:r>
      <w:r w:rsidR="0051091E">
        <w:t>d</w:t>
      </w:r>
      <w:r w:rsidR="0051091E">
        <w:rPr>
          <w:spacing w:val="-2"/>
        </w:rPr>
        <w:t>it</w:t>
      </w:r>
      <w:r w:rsidR="00CE5DC6">
        <w:rPr>
          <w:spacing w:val="-2"/>
        </w:rPr>
        <w:t>s</w:t>
      </w:r>
      <w:r>
        <w:rPr>
          <w:spacing w:val="-2"/>
        </w:rPr>
        <w:t>.</w:t>
      </w:r>
    </w:p>
    <w:p w14:paraId="07D9B0C9" w14:textId="6CA149F2" w:rsidR="004035B9" w:rsidRDefault="00CE5DC6" w:rsidP="004035B9">
      <w:pPr>
        <w:tabs>
          <w:tab w:val="left" w:pos="567"/>
        </w:tabs>
        <w:spacing w:after="240"/>
      </w:pPr>
      <w:r>
        <w:t xml:space="preserve">Organisations </w:t>
      </w:r>
      <w:r w:rsidR="006372A8">
        <w:t xml:space="preserve">are required to meet all costs </w:t>
      </w:r>
      <w:r w:rsidR="00472546">
        <w:t xml:space="preserve">of </w:t>
      </w:r>
      <w:r w:rsidR="006372A8">
        <w:t>achieving and maintaining certification</w:t>
      </w:r>
      <w:r w:rsidR="00BD2F02">
        <w:t>,</w:t>
      </w:r>
      <w:r w:rsidR="006372A8">
        <w:t xml:space="preserve"> including audit</w:t>
      </w:r>
      <w:r w:rsidR="00165288">
        <w:t xml:space="preserve"> costs</w:t>
      </w:r>
      <w:r w:rsidR="006372A8">
        <w:t xml:space="preserve">. </w:t>
      </w:r>
      <w:r w:rsidR="004035B9">
        <w:t>Organisations should note that HSQF compliance costs are an eligible cost item under Queensland Government service agreements and should be met or budgeted for before unspent funds are declared.</w:t>
      </w:r>
    </w:p>
    <w:p w14:paraId="511C7A0F" w14:textId="49E930E0" w:rsidR="007800E6" w:rsidRDefault="006372A8" w:rsidP="00AA3319">
      <w:pPr>
        <w:pStyle w:val="BodyText"/>
        <w:spacing w:after="240"/>
        <w:ind w:left="0" w:right="85"/>
      </w:pPr>
      <w:r>
        <w:t xml:space="preserve">This fact sheet outlines how different </w:t>
      </w:r>
      <w:r w:rsidR="00472546">
        <w:t xml:space="preserve">groups of </w:t>
      </w:r>
      <w:r w:rsidR="00BD2F02">
        <w:t>providers meet HSQF costs.</w:t>
      </w:r>
      <w:r>
        <w:t xml:space="preserve"> </w:t>
      </w:r>
    </w:p>
    <w:p w14:paraId="19D80D86" w14:textId="0AFE85D7" w:rsidR="00BB3DCE" w:rsidRPr="00B05BA5" w:rsidRDefault="00BD2F02" w:rsidP="00B05BA5">
      <w:pPr>
        <w:pStyle w:val="Heading1"/>
      </w:pPr>
      <w:r w:rsidRPr="00B05BA5">
        <w:t xml:space="preserve">Existing organisations funded up to $3 million in-scope of </w:t>
      </w:r>
      <w:proofErr w:type="gramStart"/>
      <w:r w:rsidRPr="00B05BA5">
        <w:t>certification</w:t>
      </w:r>
      <w:proofErr w:type="gramEnd"/>
    </w:p>
    <w:p w14:paraId="3E74389E" w14:textId="5747E4E7" w:rsidR="00FB5C74" w:rsidRDefault="00E92E2C" w:rsidP="00AA3319">
      <w:pPr>
        <w:spacing w:after="240"/>
        <w:rPr>
          <w:rFonts w:cs="Arial"/>
          <w:color w:val="000000"/>
        </w:rPr>
      </w:pPr>
      <w:r>
        <w:rPr>
          <w:rFonts w:cs="Arial"/>
        </w:rPr>
        <w:t xml:space="preserve">To assist </w:t>
      </w:r>
      <w:r w:rsidR="00CE5DC6">
        <w:rPr>
          <w:rFonts w:cs="Arial"/>
        </w:rPr>
        <w:t xml:space="preserve">smaller </w:t>
      </w:r>
      <w:r>
        <w:rPr>
          <w:rFonts w:cs="Arial"/>
        </w:rPr>
        <w:t xml:space="preserve">organisations </w:t>
      </w:r>
      <w:r w:rsidR="005E5F7F">
        <w:rPr>
          <w:rFonts w:cs="Arial"/>
        </w:rPr>
        <w:t>(</w:t>
      </w:r>
      <w:r w:rsidR="00CE5DC6">
        <w:rPr>
          <w:rFonts w:cs="Arial"/>
        </w:rPr>
        <w:t xml:space="preserve">funded up </w:t>
      </w:r>
      <w:bookmarkStart w:id="0" w:name="_Hlk88283088"/>
      <w:r>
        <w:rPr>
          <w:rFonts w:cs="Arial"/>
          <w:color w:val="000000"/>
        </w:rPr>
        <w:t xml:space="preserve">to </w:t>
      </w:r>
      <w:r w:rsidRPr="00FA24C5">
        <w:rPr>
          <w:rFonts w:cs="Arial"/>
          <w:color w:val="000000"/>
        </w:rPr>
        <w:t>$3 million</w:t>
      </w:r>
      <w:r w:rsidR="00652AC5">
        <w:rPr>
          <w:rFonts w:cs="Arial"/>
          <w:color w:val="000000"/>
        </w:rPr>
        <w:t xml:space="preserve"> per annum</w:t>
      </w:r>
      <w:r w:rsidR="00E9057B">
        <w:rPr>
          <w:rFonts w:cs="Arial"/>
          <w:color w:val="000000"/>
        </w:rPr>
        <w:t xml:space="preserve"> </w:t>
      </w:r>
      <w:r>
        <w:rPr>
          <w:rFonts w:cs="Arial"/>
        </w:rPr>
        <w:t>in-scope of certification</w:t>
      </w:r>
      <w:r>
        <w:rPr>
          <w:rFonts w:cs="Arial"/>
          <w:color w:val="000000"/>
        </w:rPr>
        <w:t xml:space="preserve"> </w:t>
      </w:r>
      <w:r w:rsidR="00B43F81">
        <w:rPr>
          <w:rFonts w:cs="Arial"/>
          <w:color w:val="000000"/>
        </w:rPr>
        <w:t xml:space="preserve">under service agreements </w:t>
      </w:r>
      <w:r w:rsidR="00371AD4">
        <w:rPr>
          <w:rFonts w:cs="Arial"/>
          <w:color w:val="000000"/>
        </w:rPr>
        <w:t xml:space="preserve">with </w:t>
      </w:r>
      <w:r w:rsidR="00E9057B">
        <w:rPr>
          <w:rFonts w:cs="Arial"/>
          <w:color w:val="000000"/>
        </w:rPr>
        <w:t xml:space="preserve">participating </w:t>
      </w:r>
      <w:r>
        <w:rPr>
          <w:rFonts w:cs="Arial"/>
          <w:color w:val="000000"/>
        </w:rPr>
        <w:t>departments</w:t>
      </w:r>
      <w:r>
        <w:rPr>
          <w:rStyle w:val="FootnoteReference"/>
          <w:rFonts w:cs="Arial"/>
          <w:color w:val="000000"/>
        </w:rPr>
        <w:footnoteReference w:id="1"/>
      </w:r>
      <w:r w:rsidR="005E5F7F">
        <w:rPr>
          <w:rFonts w:cs="Arial"/>
          <w:color w:val="000000"/>
        </w:rPr>
        <w:t>)</w:t>
      </w:r>
      <w:r>
        <w:rPr>
          <w:rFonts w:cs="Arial"/>
          <w:color w:val="000000"/>
        </w:rPr>
        <w:t xml:space="preserve"> </w:t>
      </w:r>
      <w:bookmarkEnd w:id="0"/>
      <w:r>
        <w:rPr>
          <w:rFonts w:cs="Arial"/>
          <w:color w:val="000000"/>
        </w:rPr>
        <w:t xml:space="preserve">with </w:t>
      </w:r>
      <w:r w:rsidR="00D42E08">
        <w:rPr>
          <w:rFonts w:cs="Arial"/>
          <w:color w:val="000000"/>
        </w:rPr>
        <w:t xml:space="preserve">the upfront costs of </w:t>
      </w:r>
      <w:r>
        <w:rPr>
          <w:rFonts w:cs="Arial"/>
          <w:color w:val="000000"/>
        </w:rPr>
        <w:t>HSQF certification</w:t>
      </w:r>
      <w:r w:rsidR="00D42E08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>t</w:t>
      </w:r>
      <w:r>
        <w:rPr>
          <w:rFonts w:cs="Arial"/>
        </w:rPr>
        <w:t xml:space="preserve">he Queensland Government provided an </w:t>
      </w:r>
      <w:r>
        <w:rPr>
          <w:rFonts w:cs="Arial"/>
          <w:color w:val="000000"/>
        </w:rPr>
        <w:t xml:space="preserve">increase in </w:t>
      </w:r>
      <w:r w:rsidR="00CE4FDC">
        <w:rPr>
          <w:rFonts w:cs="Arial"/>
          <w:color w:val="000000"/>
        </w:rPr>
        <w:t>annual f</w:t>
      </w:r>
      <w:r w:rsidR="00CE4FDC" w:rsidRPr="00FA24C5">
        <w:rPr>
          <w:rFonts w:cs="Arial"/>
          <w:color w:val="000000"/>
        </w:rPr>
        <w:t xml:space="preserve">unding </w:t>
      </w:r>
      <w:r>
        <w:rPr>
          <w:rFonts w:cs="Arial"/>
          <w:color w:val="000000"/>
        </w:rPr>
        <w:t xml:space="preserve">effective from 1 July 2020. </w:t>
      </w:r>
      <w:r w:rsidR="00FB5C74">
        <w:rPr>
          <w:rFonts w:cs="Arial"/>
          <w:color w:val="000000"/>
        </w:rPr>
        <w:t>The funding increase was provided to 135 organisations.</w:t>
      </w:r>
    </w:p>
    <w:p w14:paraId="643DC273" w14:textId="4142B46A" w:rsidR="00BB4554" w:rsidRPr="00AA3319" w:rsidRDefault="00CE5DC6" w:rsidP="00AA3319">
      <w:pPr>
        <w:spacing w:after="240"/>
      </w:pPr>
      <w:r w:rsidRPr="000E2166">
        <w:t>Organisations that receive</w:t>
      </w:r>
      <w:r>
        <w:t xml:space="preserve">d the </w:t>
      </w:r>
      <w:r w:rsidR="00FB5C74">
        <w:t xml:space="preserve">funding </w:t>
      </w:r>
      <w:r w:rsidRPr="000E2166">
        <w:t xml:space="preserve">increase </w:t>
      </w:r>
      <w:r>
        <w:t xml:space="preserve">are </w:t>
      </w:r>
      <w:r w:rsidRPr="000E2166">
        <w:t xml:space="preserve">responsible for meeting </w:t>
      </w:r>
      <w:r w:rsidRPr="000E2166">
        <w:rPr>
          <w:bCs/>
        </w:rPr>
        <w:t xml:space="preserve">all </w:t>
      </w:r>
      <w:r w:rsidRPr="000E2166">
        <w:t xml:space="preserve">certification and audit costs </w:t>
      </w:r>
      <w:r>
        <w:t>for their in-scope services</w:t>
      </w:r>
      <w:r w:rsidR="005E5F7F">
        <w:t xml:space="preserve"> and should accrue the funding to meet periodic audit costs. </w:t>
      </w:r>
    </w:p>
    <w:p w14:paraId="2EEAC1BD" w14:textId="447EC2D4" w:rsidR="00547E0E" w:rsidRPr="00CE5DC6" w:rsidRDefault="00CE5DC6" w:rsidP="00B05BA5">
      <w:pPr>
        <w:pStyle w:val="Heading1"/>
      </w:pPr>
      <w:r w:rsidRPr="00CE5DC6">
        <w:t>Large organisations and Individual</w:t>
      </w:r>
      <w:r w:rsidR="0062312F">
        <w:t>ised</w:t>
      </w:r>
      <w:r w:rsidRPr="00CE5DC6">
        <w:t xml:space="preserve"> Placement and Support providers</w:t>
      </w:r>
    </w:p>
    <w:p w14:paraId="7B3E7314" w14:textId="6E92D69B" w:rsidR="00440EA2" w:rsidRDefault="00371AD4" w:rsidP="00AA3319">
      <w:pPr>
        <w:pStyle w:val="NoSpacing"/>
        <w:spacing w:after="240"/>
        <w:rPr>
          <w:rFonts w:cs="Arial"/>
        </w:rPr>
      </w:pPr>
      <w:bookmarkStart w:id="2" w:name="_Hlk88373684"/>
      <w:bookmarkStart w:id="3" w:name="_Hlk88373788"/>
      <w:r>
        <w:rPr>
          <w:rFonts w:cs="Arial"/>
        </w:rPr>
        <w:t xml:space="preserve">Large organisations </w:t>
      </w:r>
      <w:r w:rsidR="005E5F7F">
        <w:rPr>
          <w:rFonts w:cs="Arial"/>
        </w:rPr>
        <w:t>(</w:t>
      </w:r>
      <w:r>
        <w:rPr>
          <w:rFonts w:cs="Arial"/>
        </w:rPr>
        <w:t xml:space="preserve">funded more than </w:t>
      </w:r>
      <w:r w:rsidRPr="00FA24C5">
        <w:rPr>
          <w:rFonts w:cs="Arial"/>
          <w:color w:val="000000"/>
        </w:rPr>
        <w:t xml:space="preserve">$3 million </w:t>
      </w:r>
      <w:r w:rsidR="00652AC5">
        <w:rPr>
          <w:rFonts w:cs="Arial"/>
          <w:color w:val="000000"/>
        </w:rPr>
        <w:t xml:space="preserve">per annum </w:t>
      </w:r>
      <w:r>
        <w:rPr>
          <w:rFonts w:cs="Arial"/>
        </w:rPr>
        <w:t>in-scope of certification</w:t>
      </w:r>
      <w:r>
        <w:rPr>
          <w:rFonts w:cs="Arial"/>
          <w:color w:val="000000"/>
        </w:rPr>
        <w:t xml:space="preserve"> under service agreements with </w:t>
      </w:r>
      <w:r w:rsidR="00E9057B">
        <w:rPr>
          <w:rFonts w:cs="Arial"/>
          <w:color w:val="000000"/>
        </w:rPr>
        <w:t xml:space="preserve">participating </w:t>
      </w:r>
      <w:r>
        <w:rPr>
          <w:rFonts w:cs="Arial"/>
          <w:color w:val="000000"/>
        </w:rPr>
        <w:t>departments</w:t>
      </w:r>
      <w:r>
        <w:rPr>
          <w:rStyle w:val="FootnoteReference"/>
          <w:rFonts w:cs="Arial"/>
          <w:color w:val="000000"/>
        </w:rPr>
        <w:t>1</w:t>
      </w:r>
      <w:r w:rsidR="005E5F7F">
        <w:rPr>
          <w:rFonts w:cs="Arial"/>
          <w:color w:val="000000"/>
        </w:rPr>
        <w:t>)</w:t>
      </w:r>
      <w:r>
        <w:rPr>
          <w:rFonts w:cs="Arial"/>
          <w:color w:val="000000"/>
        </w:rPr>
        <w:t xml:space="preserve"> and </w:t>
      </w:r>
      <w:r w:rsidR="00472546">
        <w:rPr>
          <w:rFonts w:cs="Arial"/>
          <w:color w:val="000000"/>
        </w:rPr>
        <w:t xml:space="preserve">providers of </w:t>
      </w:r>
      <w:r>
        <w:rPr>
          <w:rFonts w:cs="Arial"/>
        </w:rPr>
        <w:t>Individual</w:t>
      </w:r>
      <w:r w:rsidR="00472546">
        <w:rPr>
          <w:rFonts w:cs="Arial"/>
        </w:rPr>
        <w:t>ised</w:t>
      </w:r>
      <w:r>
        <w:rPr>
          <w:rFonts w:cs="Arial"/>
        </w:rPr>
        <w:t xml:space="preserve"> Placement and Support (IPS) </w:t>
      </w:r>
      <w:r w:rsidR="00472546">
        <w:rPr>
          <w:rFonts w:cs="Arial"/>
        </w:rPr>
        <w:t xml:space="preserve">services </w:t>
      </w:r>
      <w:r>
        <w:rPr>
          <w:rFonts w:cs="Arial"/>
        </w:rPr>
        <w:t xml:space="preserve">in-scope of child safety licensing are required to meet certification costs from </w:t>
      </w:r>
      <w:r w:rsidR="00910C5A">
        <w:rPr>
          <w:rFonts w:cs="Arial"/>
        </w:rPr>
        <w:t xml:space="preserve">funding </w:t>
      </w:r>
      <w:r w:rsidR="005E5F7F">
        <w:rPr>
          <w:rFonts w:cs="Arial"/>
        </w:rPr>
        <w:t xml:space="preserve">allocated </w:t>
      </w:r>
      <w:r w:rsidR="00910C5A">
        <w:rPr>
          <w:rFonts w:cs="Arial"/>
        </w:rPr>
        <w:t xml:space="preserve">under service agreements and IPS Agreements. </w:t>
      </w:r>
      <w:r w:rsidR="00440EA2">
        <w:rPr>
          <w:rFonts w:cs="Arial"/>
        </w:rPr>
        <w:t xml:space="preserve"> </w:t>
      </w:r>
      <w:bookmarkEnd w:id="2"/>
    </w:p>
    <w:p w14:paraId="3F50C7D4" w14:textId="10A2BE82" w:rsidR="00383869" w:rsidRPr="00AA3319" w:rsidRDefault="00A45604" w:rsidP="00AA3319">
      <w:pPr>
        <w:spacing w:after="240"/>
        <w:jc w:val="both"/>
      </w:pPr>
      <w:r>
        <w:rPr>
          <w:rFonts w:cs="Arial"/>
        </w:rPr>
        <w:t>For these organisations, o</w:t>
      </w:r>
      <w:r w:rsidR="00383869">
        <w:rPr>
          <w:rFonts w:cs="Arial"/>
        </w:rPr>
        <w:t xml:space="preserve">ne-off </w:t>
      </w:r>
      <w:r w:rsidR="00A77AEF">
        <w:rPr>
          <w:rFonts w:cs="Arial"/>
        </w:rPr>
        <w:t xml:space="preserve">financial contributions </w:t>
      </w:r>
      <w:r w:rsidR="00383869">
        <w:rPr>
          <w:rFonts w:cs="Arial"/>
        </w:rPr>
        <w:t>cease</w:t>
      </w:r>
      <w:r w:rsidR="002B2F08">
        <w:rPr>
          <w:rFonts w:cs="Arial"/>
        </w:rPr>
        <w:t>d</w:t>
      </w:r>
      <w:r w:rsidR="00383869">
        <w:rPr>
          <w:rFonts w:cs="Arial"/>
        </w:rPr>
        <w:t xml:space="preserve"> for audits completed </w:t>
      </w:r>
      <w:r w:rsidR="00FC08C3">
        <w:rPr>
          <w:rFonts w:cs="Arial"/>
        </w:rPr>
        <w:t>from 1 July 2022</w:t>
      </w:r>
      <w:r>
        <w:rPr>
          <w:rFonts w:cs="Arial"/>
        </w:rPr>
        <w:t xml:space="preserve">. </w:t>
      </w:r>
      <w:r w:rsidR="00910C5A">
        <w:rPr>
          <w:rFonts w:cs="Arial"/>
        </w:rPr>
        <w:t>P</w:t>
      </w:r>
      <w:r w:rsidR="00383869">
        <w:rPr>
          <w:rFonts w:cs="Arial"/>
        </w:rPr>
        <w:t xml:space="preserve">roviders of IPS services should </w:t>
      </w:r>
      <w:r w:rsidR="00383869">
        <w:t xml:space="preserve">consider the cost of HSQF certification in their quotes for service delivery.   </w:t>
      </w:r>
    </w:p>
    <w:bookmarkEnd w:id="3"/>
    <w:p w14:paraId="21F043D5" w14:textId="39DEDDC0" w:rsidR="00440EA2" w:rsidRPr="00D9599F" w:rsidRDefault="009C242B" w:rsidP="00B05BA5">
      <w:pPr>
        <w:pStyle w:val="Heading1"/>
      </w:pPr>
      <w:r>
        <w:t>S</w:t>
      </w:r>
      <w:r w:rsidR="00D9599F" w:rsidRPr="00D9599F">
        <w:t xml:space="preserve">ervices </w:t>
      </w:r>
      <w:r w:rsidR="00FC08C3">
        <w:t xml:space="preserve">funded since </w:t>
      </w:r>
      <w:r w:rsidR="004002DA">
        <w:t>September 2014</w:t>
      </w:r>
    </w:p>
    <w:p w14:paraId="3AD09230" w14:textId="66A408DD" w:rsidR="004E02A7" w:rsidRDefault="007800E6" w:rsidP="00AA3319">
      <w:pPr>
        <w:pStyle w:val="BodyText"/>
        <w:tabs>
          <w:tab w:val="left" w:pos="567"/>
        </w:tabs>
        <w:spacing w:after="240"/>
        <w:ind w:left="0" w:right="130"/>
      </w:pPr>
      <w:r>
        <w:t>Organisations delivering se</w:t>
      </w:r>
      <w:r w:rsidR="006A1E5F">
        <w:t>r</w:t>
      </w:r>
      <w:r w:rsidR="006A1E5F">
        <w:rPr>
          <w:spacing w:val="-2"/>
        </w:rPr>
        <w:t>vi</w:t>
      </w:r>
      <w:r w:rsidR="006A1E5F">
        <w:t>ces proc</w:t>
      </w:r>
      <w:r w:rsidR="006A1E5F">
        <w:rPr>
          <w:spacing w:val="-1"/>
        </w:rPr>
        <w:t>u</w:t>
      </w:r>
      <w:r w:rsidR="006A1E5F">
        <w:t>r</w:t>
      </w:r>
      <w:r w:rsidR="006A1E5F">
        <w:rPr>
          <w:spacing w:val="-2"/>
        </w:rPr>
        <w:t>e</w:t>
      </w:r>
      <w:r w:rsidR="006A1E5F">
        <w:t xml:space="preserve">d </w:t>
      </w:r>
      <w:r w:rsidR="006A1E5F">
        <w:rPr>
          <w:spacing w:val="-2"/>
        </w:rPr>
        <w:t xml:space="preserve">under </w:t>
      </w:r>
      <w:r w:rsidR="006A1E5F">
        <w:t xml:space="preserve">a </w:t>
      </w:r>
      <w:r>
        <w:t xml:space="preserve">Queensland Government </w:t>
      </w:r>
      <w:r w:rsidR="006A1E5F">
        <w:rPr>
          <w:spacing w:val="-2"/>
        </w:rPr>
        <w:t>R</w:t>
      </w:r>
      <w:r w:rsidR="006A1E5F">
        <w:t>e</w:t>
      </w:r>
      <w:r w:rsidR="006A1E5F">
        <w:rPr>
          <w:spacing w:val="1"/>
        </w:rPr>
        <w:t>q</w:t>
      </w:r>
      <w:r w:rsidR="006A1E5F">
        <w:t>u</w:t>
      </w:r>
      <w:r w:rsidR="006A1E5F">
        <w:rPr>
          <w:spacing w:val="-1"/>
        </w:rPr>
        <w:t>e</w:t>
      </w:r>
      <w:r w:rsidR="006A1E5F">
        <w:rPr>
          <w:spacing w:val="-3"/>
        </w:rPr>
        <w:t>s</w:t>
      </w:r>
      <w:r w:rsidR="006A1E5F">
        <w:t>t</w:t>
      </w:r>
      <w:r w:rsidR="006A1E5F">
        <w:rPr>
          <w:spacing w:val="-1"/>
        </w:rPr>
        <w:t xml:space="preserve"> </w:t>
      </w:r>
      <w:r w:rsidR="006A1E5F">
        <w:t>for</w:t>
      </w:r>
      <w:r w:rsidR="006A1E5F">
        <w:rPr>
          <w:spacing w:val="-1"/>
        </w:rPr>
        <w:t xml:space="preserve"> </w:t>
      </w:r>
      <w:r w:rsidR="006A1E5F">
        <w:t>Qu</w:t>
      </w:r>
      <w:r w:rsidR="006A1E5F">
        <w:rPr>
          <w:spacing w:val="-4"/>
        </w:rPr>
        <w:t>o</w:t>
      </w:r>
      <w:r w:rsidR="006A1E5F">
        <w:t>te</w:t>
      </w:r>
      <w:r w:rsidR="006A1E5F">
        <w:rPr>
          <w:spacing w:val="1"/>
        </w:rPr>
        <w:t xml:space="preserve"> (RFQ) </w:t>
      </w:r>
      <w:r w:rsidR="006A1E5F">
        <w:rPr>
          <w:spacing w:val="-3"/>
        </w:rPr>
        <w:t>o</w:t>
      </w:r>
      <w:r w:rsidR="006A1E5F">
        <w:t>r</w:t>
      </w:r>
      <w:r w:rsidR="006A1E5F">
        <w:rPr>
          <w:spacing w:val="-1"/>
        </w:rPr>
        <w:t xml:space="preserve"> </w:t>
      </w:r>
      <w:r w:rsidR="006A1E5F">
        <w:rPr>
          <w:spacing w:val="1"/>
        </w:rPr>
        <w:t>t</w:t>
      </w:r>
      <w:r w:rsidR="006A1E5F">
        <w:rPr>
          <w:spacing w:val="-3"/>
        </w:rPr>
        <w:t>e</w:t>
      </w:r>
      <w:r w:rsidR="006A1E5F">
        <w:t>n</w:t>
      </w:r>
      <w:r w:rsidR="006A1E5F">
        <w:rPr>
          <w:spacing w:val="-1"/>
        </w:rPr>
        <w:t>d</w:t>
      </w:r>
      <w:r w:rsidR="006A1E5F">
        <w:t>er</w:t>
      </w:r>
      <w:r w:rsidR="006A1E5F">
        <w:rPr>
          <w:spacing w:val="1"/>
        </w:rPr>
        <w:t xml:space="preserve"> </w:t>
      </w:r>
      <w:r w:rsidR="006A1E5F">
        <w:rPr>
          <w:spacing w:val="-1"/>
        </w:rPr>
        <w:t>s</w:t>
      </w:r>
      <w:r w:rsidR="006A1E5F">
        <w:t>p</w:t>
      </w:r>
      <w:r w:rsidR="006A1E5F">
        <w:rPr>
          <w:spacing w:val="-1"/>
        </w:rPr>
        <w:t>e</w:t>
      </w:r>
      <w:r w:rsidR="006A1E5F">
        <w:t>c</w:t>
      </w:r>
      <w:r w:rsidR="006A1E5F">
        <w:rPr>
          <w:spacing w:val="-4"/>
        </w:rPr>
        <w:t>i</w:t>
      </w:r>
      <w:r w:rsidR="006A1E5F">
        <w:rPr>
          <w:spacing w:val="3"/>
        </w:rPr>
        <w:t>f</w:t>
      </w:r>
      <w:r w:rsidR="006A1E5F">
        <w:rPr>
          <w:spacing w:val="-2"/>
        </w:rPr>
        <w:t>i</w:t>
      </w:r>
      <w:r w:rsidR="006A1E5F">
        <w:t>c</w:t>
      </w:r>
      <w:r w:rsidR="006A1E5F">
        <w:rPr>
          <w:spacing w:val="-3"/>
        </w:rPr>
        <w:t>a</w:t>
      </w:r>
      <w:r w:rsidR="006A1E5F">
        <w:t>t</w:t>
      </w:r>
      <w:r w:rsidR="006A1E5F">
        <w:rPr>
          <w:spacing w:val="-2"/>
        </w:rPr>
        <w:t>i</w:t>
      </w:r>
      <w:r w:rsidR="006A1E5F">
        <w:t>on</w:t>
      </w:r>
      <w:r w:rsidR="004002DA">
        <w:t xml:space="preserve"> since September 2014</w:t>
      </w:r>
      <w:r w:rsidR="006A1E5F">
        <w:t xml:space="preserve"> </w:t>
      </w:r>
      <w:r w:rsidR="00A43DD5">
        <w:t xml:space="preserve">that </w:t>
      </w:r>
      <w:r w:rsidR="006A1E5F">
        <w:t>s</w:t>
      </w:r>
      <w:r w:rsidR="006A1E5F">
        <w:rPr>
          <w:spacing w:val="1"/>
        </w:rPr>
        <w:t>t</w:t>
      </w:r>
      <w:r w:rsidR="006A1E5F">
        <w:rPr>
          <w:spacing w:val="-3"/>
        </w:rPr>
        <w:t>a</w:t>
      </w:r>
      <w:r w:rsidR="006A1E5F">
        <w:t>t</w:t>
      </w:r>
      <w:r>
        <w:t>es</w:t>
      </w:r>
      <w:r w:rsidR="006A1E5F">
        <w:rPr>
          <w:spacing w:val="-1"/>
        </w:rPr>
        <w:t xml:space="preserve"> the organisation is </w:t>
      </w:r>
      <w:r w:rsidR="006A1E5F">
        <w:t>res</w:t>
      </w:r>
      <w:r w:rsidR="006A1E5F">
        <w:rPr>
          <w:spacing w:val="-1"/>
        </w:rPr>
        <w:t>p</w:t>
      </w:r>
      <w:r w:rsidR="006A1E5F">
        <w:t>o</w:t>
      </w:r>
      <w:r w:rsidR="006A1E5F">
        <w:rPr>
          <w:spacing w:val="-1"/>
        </w:rPr>
        <w:t>n</w:t>
      </w:r>
      <w:r w:rsidR="006A1E5F">
        <w:t>s</w:t>
      </w:r>
      <w:r w:rsidR="006A1E5F">
        <w:rPr>
          <w:spacing w:val="-2"/>
        </w:rPr>
        <w:t>i</w:t>
      </w:r>
      <w:r w:rsidR="006A1E5F">
        <w:t>b</w:t>
      </w:r>
      <w:r w:rsidR="006A1E5F">
        <w:rPr>
          <w:spacing w:val="-2"/>
        </w:rPr>
        <w:t>l</w:t>
      </w:r>
      <w:r w:rsidR="006A1E5F">
        <w:t>e</w:t>
      </w:r>
      <w:r w:rsidR="006A1E5F">
        <w:rPr>
          <w:spacing w:val="-2"/>
        </w:rPr>
        <w:t xml:space="preserve"> </w:t>
      </w:r>
      <w:r w:rsidR="006A1E5F">
        <w:rPr>
          <w:spacing w:val="3"/>
        </w:rPr>
        <w:t>f</w:t>
      </w:r>
      <w:r w:rsidR="006A1E5F">
        <w:rPr>
          <w:spacing w:val="-3"/>
        </w:rPr>
        <w:t>o</w:t>
      </w:r>
      <w:r w:rsidR="006A1E5F">
        <w:t>r</w:t>
      </w:r>
      <w:r w:rsidR="006A1E5F">
        <w:rPr>
          <w:spacing w:val="-1"/>
        </w:rPr>
        <w:t xml:space="preserve"> </w:t>
      </w:r>
      <w:r w:rsidR="006A1E5F">
        <w:t>me</w:t>
      </w:r>
      <w:r w:rsidR="006A1E5F">
        <w:rPr>
          <w:spacing w:val="-1"/>
        </w:rPr>
        <w:t>e</w:t>
      </w:r>
      <w:r w:rsidR="006A1E5F">
        <w:t>t</w:t>
      </w:r>
      <w:r w:rsidR="006A1E5F">
        <w:rPr>
          <w:spacing w:val="-2"/>
        </w:rPr>
        <w:t>i</w:t>
      </w:r>
      <w:r w:rsidR="006A1E5F">
        <w:rPr>
          <w:spacing w:val="-3"/>
        </w:rPr>
        <w:t>n</w:t>
      </w:r>
      <w:r w:rsidR="006A1E5F">
        <w:t>g</w:t>
      </w:r>
      <w:r w:rsidR="006A1E5F">
        <w:rPr>
          <w:spacing w:val="-2"/>
        </w:rPr>
        <w:t xml:space="preserve"> </w:t>
      </w:r>
      <w:r w:rsidR="006A1E5F">
        <w:t>a</w:t>
      </w:r>
      <w:r w:rsidR="006A1E5F">
        <w:rPr>
          <w:spacing w:val="-2"/>
        </w:rPr>
        <w:t>l</w:t>
      </w:r>
      <w:r w:rsidR="006A1E5F">
        <w:t>l costs</w:t>
      </w:r>
      <w:r w:rsidR="006A1E5F">
        <w:rPr>
          <w:spacing w:val="1"/>
        </w:rPr>
        <w:t xml:space="preserve"> </w:t>
      </w:r>
      <w:r w:rsidR="006A1E5F">
        <w:rPr>
          <w:spacing w:val="-3"/>
        </w:rPr>
        <w:t>a</w:t>
      </w:r>
      <w:r w:rsidR="006A1E5F">
        <w:t>ssoc</w:t>
      </w:r>
      <w:r w:rsidR="006A1E5F">
        <w:rPr>
          <w:spacing w:val="-2"/>
        </w:rPr>
        <w:t>i</w:t>
      </w:r>
      <w:r w:rsidR="006A1E5F">
        <w:t>ated</w:t>
      </w:r>
      <w:r w:rsidR="006A1E5F">
        <w:rPr>
          <w:spacing w:val="-2"/>
        </w:rPr>
        <w:t xml:space="preserve"> </w:t>
      </w:r>
      <w:r w:rsidR="006A1E5F">
        <w:rPr>
          <w:spacing w:val="-4"/>
        </w:rPr>
        <w:t>w</w:t>
      </w:r>
      <w:r w:rsidR="006A1E5F">
        <w:rPr>
          <w:spacing w:val="-2"/>
        </w:rPr>
        <w:t>i</w:t>
      </w:r>
      <w:r w:rsidR="006A1E5F">
        <w:t>th ach</w:t>
      </w:r>
      <w:r w:rsidR="006A1E5F">
        <w:rPr>
          <w:spacing w:val="-2"/>
        </w:rPr>
        <w:t>i</w:t>
      </w:r>
      <w:r w:rsidR="006A1E5F">
        <w:t>e</w:t>
      </w:r>
      <w:r w:rsidR="006A1E5F">
        <w:rPr>
          <w:spacing w:val="-3"/>
        </w:rPr>
        <w:t>v</w:t>
      </w:r>
      <w:r w:rsidR="006A1E5F">
        <w:rPr>
          <w:spacing w:val="-2"/>
        </w:rPr>
        <w:t>i</w:t>
      </w:r>
      <w:r w:rsidR="006A1E5F">
        <w:t>ng</w:t>
      </w:r>
      <w:r w:rsidR="006A1E5F">
        <w:rPr>
          <w:spacing w:val="2"/>
        </w:rPr>
        <w:t xml:space="preserve"> </w:t>
      </w:r>
      <w:r w:rsidR="006A1E5F">
        <w:t>a</w:t>
      </w:r>
      <w:r w:rsidR="006A1E5F">
        <w:rPr>
          <w:spacing w:val="-1"/>
        </w:rPr>
        <w:t>n</w:t>
      </w:r>
      <w:r w:rsidR="006A1E5F">
        <w:t xml:space="preserve">d </w:t>
      </w:r>
      <w:r w:rsidR="006A1E5F">
        <w:rPr>
          <w:spacing w:val="1"/>
        </w:rPr>
        <w:t>m</w:t>
      </w:r>
      <w:r w:rsidR="006A1E5F">
        <w:t>a</w:t>
      </w:r>
      <w:r w:rsidR="006A1E5F">
        <w:rPr>
          <w:spacing w:val="-2"/>
        </w:rPr>
        <w:t>i</w:t>
      </w:r>
      <w:r w:rsidR="006A1E5F">
        <w:rPr>
          <w:spacing w:val="-3"/>
        </w:rPr>
        <w:t>n</w:t>
      </w:r>
      <w:r w:rsidR="006A1E5F">
        <w:t>ta</w:t>
      </w:r>
      <w:r w:rsidR="006A1E5F">
        <w:rPr>
          <w:spacing w:val="-2"/>
        </w:rPr>
        <w:t>i</w:t>
      </w:r>
      <w:r w:rsidR="006A1E5F">
        <w:t>n</w:t>
      </w:r>
      <w:r w:rsidR="006A1E5F">
        <w:rPr>
          <w:spacing w:val="-2"/>
        </w:rPr>
        <w:t>i</w:t>
      </w:r>
      <w:r w:rsidR="006A1E5F">
        <w:t xml:space="preserve">ng </w:t>
      </w:r>
      <w:r w:rsidR="006A1E5F">
        <w:rPr>
          <w:spacing w:val="-2"/>
        </w:rPr>
        <w:t>H</w:t>
      </w:r>
      <w:r w:rsidR="006A1E5F">
        <w:rPr>
          <w:spacing w:val="-1"/>
        </w:rPr>
        <w:t>S</w:t>
      </w:r>
      <w:r w:rsidR="006A1E5F">
        <w:t>QF</w:t>
      </w:r>
      <w:r w:rsidR="006A1E5F">
        <w:rPr>
          <w:spacing w:val="-2"/>
        </w:rPr>
        <w:t xml:space="preserve"> </w:t>
      </w:r>
      <w:r w:rsidR="006A1E5F">
        <w:t>ce</w:t>
      </w:r>
      <w:r w:rsidR="006A1E5F">
        <w:rPr>
          <w:spacing w:val="-2"/>
        </w:rPr>
        <w:t>r</w:t>
      </w:r>
      <w:r w:rsidR="006A1E5F">
        <w:t>t</w:t>
      </w:r>
      <w:r w:rsidR="006A1E5F">
        <w:rPr>
          <w:spacing w:val="-4"/>
        </w:rPr>
        <w:t>i</w:t>
      </w:r>
      <w:r w:rsidR="006A1E5F">
        <w:rPr>
          <w:spacing w:val="3"/>
        </w:rPr>
        <w:t>f</w:t>
      </w:r>
      <w:r w:rsidR="006A1E5F">
        <w:rPr>
          <w:spacing w:val="-2"/>
        </w:rPr>
        <w:t>i</w:t>
      </w:r>
      <w:r w:rsidR="006A1E5F">
        <w:t>cati</w:t>
      </w:r>
      <w:r w:rsidR="006A1E5F">
        <w:rPr>
          <w:spacing w:val="-1"/>
        </w:rPr>
        <w:t>o</w:t>
      </w:r>
      <w:r w:rsidR="006A1E5F">
        <w:t xml:space="preserve">n for in-scope service types, are </w:t>
      </w:r>
      <w:r>
        <w:t xml:space="preserve">required to meet </w:t>
      </w:r>
      <w:r w:rsidR="00A43DD5">
        <w:t xml:space="preserve">all </w:t>
      </w:r>
      <w:r>
        <w:t>certification costs for those services</w:t>
      </w:r>
      <w:r w:rsidR="004E02A7">
        <w:rPr>
          <w:rStyle w:val="FootnoteReference"/>
        </w:rPr>
        <w:footnoteReference w:id="2"/>
      </w:r>
      <w:r>
        <w:t xml:space="preserve">. </w:t>
      </w:r>
      <w:r w:rsidR="0062312F" w:rsidRPr="00973DB0">
        <w:t>Suppliers</w:t>
      </w:r>
      <w:r w:rsidR="0062312F">
        <w:t xml:space="preserve"> need to consider HSQF compliance costs in the development of their quotes for service delivery. </w:t>
      </w:r>
    </w:p>
    <w:p w14:paraId="6598F20B" w14:textId="77777777" w:rsidR="006B2970" w:rsidRDefault="006B2970">
      <w:pPr>
        <w:rPr>
          <w:color w:val="0070C0"/>
          <w:sz w:val="28"/>
          <w:szCs w:val="28"/>
        </w:rPr>
      </w:pPr>
      <w:r>
        <w:br w:type="page"/>
      </w:r>
    </w:p>
    <w:p w14:paraId="2E5B9927" w14:textId="18C556A0" w:rsidR="00D9599F" w:rsidRPr="00D9599F" w:rsidRDefault="00D9599F" w:rsidP="00B05BA5">
      <w:pPr>
        <w:pStyle w:val="Heading1"/>
      </w:pPr>
      <w:r w:rsidRPr="00D9599F">
        <w:lastRenderedPageBreak/>
        <w:t xml:space="preserve">Organisations voluntarily opting into HSQF </w:t>
      </w:r>
      <w:proofErr w:type="gramStart"/>
      <w:r w:rsidRPr="00D9599F">
        <w:t>certification</w:t>
      </w:r>
      <w:proofErr w:type="gramEnd"/>
    </w:p>
    <w:p w14:paraId="5719DF1F" w14:textId="5ABB5F8A" w:rsidR="0062312F" w:rsidRDefault="007800E6" w:rsidP="00B1288D">
      <w:pPr>
        <w:pStyle w:val="NoSpacing"/>
        <w:rPr>
          <w:rFonts w:cs="Arial"/>
        </w:rPr>
      </w:pPr>
      <w:r>
        <w:rPr>
          <w:rFonts w:cs="Arial"/>
        </w:rPr>
        <w:t xml:space="preserve">Organisations approved to use HSQF certification on a voluntarily basis are required to meet all certification costs. </w:t>
      </w:r>
    </w:p>
    <w:p w14:paraId="614D2917" w14:textId="77777777" w:rsidR="00A77AEF" w:rsidRPr="00AA3319" w:rsidRDefault="00A77AEF" w:rsidP="00B1288D">
      <w:pPr>
        <w:pStyle w:val="NoSpacing"/>
        <w:rPr>
          <w:rFonts w:cs="Arial"/>
        </w:rPr>
      </w:pPr>
    </w:p>
    <w:p w14:paraId="03C5FD92" w14:textId="77777777" w:rsidR="00500AB6" w:rsidRPr="00D9599F" w:rsidRDefault="00500AB6" w:rsidP="00FF1221">
      <w:pPr>
        <w:pStyle w:val="Heading1"/>
      </w:pPr>
      <w:r w:rsidRPr="00D9599F">
        <w:t>Queensland Health services</w:t>
      </w:r>
    </w:p>
    <w:p w14:paraId="63489A73" w14:textId="1CBA37F9" w:rsidR="00500AB6" w:rsidRDefault="00500AB6" w:rsidP="00AA3319">
      <w:pPr>
        <w:pStyle w:val="BodyText"/>
        <w:tabs>
          <w:tab w:val="left" w:pos="567"/>
        </w:tabs>
        <w:spacing w:after="240"/>
        <w:ind w:left="0" w:right="130"/>
      </w:pPr>
      <w:r>
        <w:t xml:space="preserve">The information in this factsheet does not apply to services funded by Queensland Health. </w:t>
      </w:r>
      <w:r w:rsidR="00671F38">
        <w:t>F</w:t>
      </w:r>
      <w:r>
        <w:t xml:space="preserve">or further information </w:t>
      </w:r>
      <w:r w:rsidR="00671F38">
        <w:t xml:space="preserve">contact </w:t>
      </w:r>
      <w:r>
        <w:t xml:space="preserve">Queensland Health via </w:t>
      </w:r>
      <w:hyperlink r:id="rId8" w:history="1">
        <w:r w:rsidRPr="00670769">
          <w:rPr>
            <w:rStyle w:val="Hyperlink"/>
            <w:rFonts w:cs="Arial"/>
          </w:rPr>
          <w:t>CommunityFunding@health.qld.gov.au</w:t>
        </w:r>
      </w:hyperlink>
      <w:r>
        <w:rPr>
          <w:rStyle w:val="Hyperlink"/>
          <w:rFonts w:cs="Arial"/>
        </w:rPr>
        <w:t>.</w:t>
      </w:r>
    </w:p>
    <w:p w14:paraId="78EC2854" w14:textId="5D7414D9" w:rsidR="001F0CFF" w:rsidRPr="00671F38" w:rsidRDefault="00671F38" w:rsidP="00B05BA5">
      <w:pPr>
        <w:pStyle w:val="Heading1"/>
      </w:pPr>
      <w:r w:rsidRPr="00671F38">
        <w:t>Further information</w:t>
      </w:r>
      <w:r w:rsidR="001F0CFF" w:rsidRPr="00067BD8">
        <w:t xml:space="preserve"> </w:t>
      </w:r>
    </w:p>
    <w:p w14:paraId="4D166853" w14:textId="2E3C3344" w:rsidR="00382E31" w:rsidRDefault="00743BE7" w:rsidP="00522683">
      <w:pPr>
        <w:rPr>
          <w:color w:val="000000"/>
        </w:rPr>
      </w:pPr>
      <w:r>
        <w:t>For f</w:t>
      </w:r>
      <w:r w:rsidR="0048383B">
        <w:t xml:space="preserve">urther information please contact your </w:t>
      </w:r>
      <w:r w:rsidR="00B43F81">
        <w:t xml:space="preserve">Queensland Government </w:t>
      </w:r>
      <w:r w:rsidR="0048383B">
        <w:t>contract officer</w:t>
      </w:r>
      <w:r w:rsidR="00BE3247">
        <w:t xml:space="preserve"> or </w:t>
      </w:r>
      <w:r w:rsidR="00382E31">
        <w:rPr>
          <w:spacing w:val="-2"/>
        </w:rPr>
        <w:t>H</w:t>
      </w:r>
      <w:r w:rsidR="00382E31">
        <w:rPr>
          <w:spacing w:val="-1"/>
        </w:rPr>
        <w:t>S</w:t>
      </w:r>
      <w:r w:rsidR="00382E31">
        <w:t>QF</w:t>
      </w:r>
      <w:r w:rsidR="00DE5458">
        <w:t xml:space="preserve"> Operations</w:t>
      </w:r>
      <w:r>
        <w:t xml:space="preserve"> </w:t>
      </w:r>
      <w:r w:rsidR="00382E31">
        <w:t>on 1</w:t>
      </w:r>
      <w:r w:rsidR="00382E31">
        <w:rPr>
          <w:spacing w:val="-1"/>
        </w:rPr>
        <w:t>8</w:t>
      </w:r>
      <w:r w:rsidR="00382E31">
        <w:t>00</w:t>
      </w:r>
      <w:r w:rsidR="00382E31">
        <w:rPr>
          <w:spacing w:val="-2"/>
        </w:rPr>
        <w:t xml:space="preserve"> </w:t>
      </w:r>
      <w:r w:rsidR="00382E31">
        <w:t>0</w:t>
      </w:r>
      <w:r w:rsidR="00382E31">
        <w:rPr>
          <w:spacing w:val="-1"/>
        </w:rPr>
        <w:t>3</w:t>
      </w:r>
      <w:r w:rsidR="00382E31">
        <w:t>4 022</w:t>
      </w:r>
      <w:r w:rsidR="00382E31">
        <w:rPr>
          <w:spacing w:val="-2"/>
        </w:rPr>
        <w:t xml:space="preserve"> </w:t>
      </w:r>
      <w:r w:rsidR="00382E31">
        <w:t>or</w:t>
      </w:r>
      <w:r w:rsidR="00382E31">
        <w:rPr>
          <w:spacing w:val="-1"/>
        </w:rPr>
        <w:t xml:space="preserve"> </w:t>
      </w:r>
      <w:hyperlink r:id="rId9" w:history="1">
        <w:r w:rsidR="00DE5458" w:rsidRPr="00DE5458">
          <w:rPr>
            <w:rStyle w:val="Hyperlink"/>
          </w:rPr>
          <w:t>h</w:t>
        </w:r>
        <w:r w:rsidR="00DE5458" w:rsidRPr="00DE5458">
          <w:rPr>
            <w:rStyle w:val="Hyperlink"/>
            <w:spacing w:val="-3"/>
          </w:rPr>
          <w:t>s</w:t>
        </w:r>
        <w:r w:rsidR="00DE5458" w:rsidRPr="00DE5458">
          <w:rPr>
            <w:rStyle w:val="Hyperlink"/>
          </w:rPr>
          <w:t>q</w:t>
        </w:r>
        <w:r w:rsidR="00DE5458" w:rsidRPr="00DE5458">
          <w:rPr>
            <w:rStyle w:val="Hyperlink"/>
            <w:spacing w:val="2"/>
          </w:rPr>
          <w:t>f</w:t>
        </w:r>
        <w:r w:rsidR="00DE5458" w:rsidRPr="00DE5458">
          <w:rPr>
            <w:rStyle w:val="Hyperlink"/>
            <w:spacing w:val="-4"/>
          </w:rPr>
          <w:t>@</w:t>
        </w:r>
        <w:r w:rsidR="00DE5458" w:rsidRPr="00DE5458">
          <w:rPr>
            <w:rStyle w:val="Hyperlink"/>
            <w:spacing w:val="1"/>
          </w:rPr>
          <w:t>q</w:t>
        </w:r>
        <w:r w:rsidR="00DE5458" w:rsidRPr="00DE5458">
          <w:rPr>
            <w:rStyle w:val="Hyperlink"/>
            <w:spacing w:val="-2"/>
          </w:rPr>
          <w:t>l</w:t>
        </w:r>
        <w:r w:rsidR="00DE5458" w:rsidRPr="00DE5458">
          <w:rPr>
            <w:rStyle w:val="Hyperlink"/>
          </w:rPr>
          <w:t>d</w:t>
        </w:r>
        <w:r w:rsidR="00DE5458" w:rsidRPr="00DE5458">
          <w:rPr>
            <w:rStyle w:val="Hyperlink"/>
            <w:spacing w:val="-2"/>
          </w:rPr>
          <w:t>.</w:t>
        </w:r>
        <w:r w:rsidR="00DE5458" w:rsidRPr="00DE5458">
          <w:rPr>
            <w:rStyle w:val="Hyperlink"/>
            <w:spacing w:val="1"/>
          </w:rPr>
          <w:t>g</w:t>
        </w:r>
        <w:r w:rsidR="00DE5458" w:rsidRPr="00DE5458">
          <w:rPr>
            <w:rStyle w:val="Hyperlink"/>
          </w:rPr>
          <w:t>o</w:t>
        </w:r>
        <w:r w:rsidR="00DE5458" w:rsidRPr="00DE5458">
          <w:rPr>
            <w:rStyle w:val="Hyperlink"/>
            <w:spacing w:val="-3"/>
          </w:rPr>
          <w:t>v</w:t>
        </w:r>
        <w:r w:rsidR="00DE5458" w:rsidRPr="00DE5458">
          <w:rPr>
            <w:rStyle w:val="Hyperlink"/>
          </w:rPr>
          <w:t>.a</w:t>
        </w:r>
        <w:r w:rsidR="00DE5458" w:rsidRPr="00DE5458">
          <w:rPr>
            <w:rStyle w:val="Hyperlink"/>
            <w:spacing w:val="1"/>
          </w:rPr>
          <w:t>u</w:t>
        </w:r>
      </w:hyperlink>
      <w:r w:rsidR="00382E31">
        <w:rPr>
          <w:color w:val="000000"/>
        </w:rPr>
        <w:t>.</w:t>
      </w:r>
    </w:p>
    <w:sectPr w:rsidR="00382E31" w:rsidSect="002976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709" w:right="1134" w:bottom="1134" w:left="1134" w:header="34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189F4" w14:textId="77777777" w:rsidR="00C4382C" w:rsidRDefault="00C4382C" w:rsidP="00017E53">
      <w:r>
        <w:separator/>
      </w:r>
    </w:p>
  </w:endnote>
  <w:endnote w:type="continuationSeparator" w:id="0">
    <w:p w14:paraId="59765770" w14:textId="77777777" w:rsidR="00C4382C" w:rsidRDefault="00C4382C" w:rsidP="0001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A8F6" w14:textId="77777777" w:rsidR="00B43F81" w:rsidRDefault="00B43F81">
    <w:pPr>
      <w:pStyle w:val="Footer"/>
    </w:pPr>
  </w:p>
  <w:p w14:paraId="23D7F845" w14:textId="77777777" w:rsidR="00B43F81" w:rsidRDefault="00B43F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617E" w14:textId="0ADDA3F9" w:rsidR="00B43F81" w:rsidRPr="00BC45CD" w:rsidRDefault="00B43F81" w:rsidP="00BB59E5">
    <w:pPr>
      <w:pStyle w:val="Footer"/>
      <w:tabs>
        <w:tab w:val="clear" w:pos="8640"/>
        <w:tab w:val="left" w:pos="5103"/>
        <w:tab w:val="right" w:pos="9632"/>
      </w:tabs>
      <w:jc w:val="right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noProof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B4C89" w14:textId="77777777" w:rsidR="00C4382C" w:rsidRDefault="00C4382C" w:rsidP="00017E53">
      <w:r>
        <w:separator/>
      </w:r>
    </w:p>
  </w:footnote>
  <w:footnote w:type="continuationSeparator" w:id="0">
    <w:p w14:paraId="0DD1892F" w14:textId="77777777" w:rsidR="00C4382C" w:rsidRDefault="00C4382C" w:rsidP="00017E53">
      <w:r>
        <w:continuationSeparator/>
      </w:r>
    </w:p>
  </w:footnote>
  <w:footnote w:id="1">
    <w:p w14:paraId="40FD0F49" w14:textId="04BB6D01" w:rsidR="00B43F81" w:rsidRPr="00E92E2C" w:rsidRDefault="00B43F81" w:rsidP="00E92E2C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bookmarkStart w:id="1" w:name="_Hlk88379057"/>
      <w:r w:rsidRPr="00B15D8D">
        <w:rPr>
          <w:sz w:val="16"/>
          <w:szCs w:val="16"/>
        </w:rPr>
        <w:t>Include</w:t>
      </w:r>
      <w:r w:rsidR="00B00D0E" w:rsidRPr="00B15D8D">
        <w:rPr>
          <w:sz w:val="16"/>
          <w:szCs w:val="16"/>
        </w:rPr>
        <w:t>s</w:t>
      </w:r>
      <w:r w:rsidRPr="00B15D8D">
        <w:rPr>
          <w:sz w:val="16"/>
          <w:szCs w:val="16"/>
        </w:rPr>
        <w:t xml:space="preserve"> services </w:t>
      </w:r>
      <w:r w:rsidR="00F336CD" w:rsidRPr="00B15D8D">
        <w:rPr>
          <w:sz w:val="16"/>
          <w:szCs w:val="16"/>
        </w:rPr>
        <w:t xml:space="preserve">in-scope of certification </w:t>
      </w:r>
      <w:r w:rsidRPr="00B15D8D">
        <w:rPr>
          <w:sz w:val="16"/>
          <w:szCs w:val="16"/>
        </w:rPr>
        <w:t xml:space="preserve">funded </w:t>
      </w:r>
      <w:proofErr w:type="gramStart"/>
      <w:r w:rsidR="00D9599F" w:rsidRPr="00B15D8D">
        <w:rPr>
          <w:sz w:val="16"/>
          <w:szCs w:val="16"/>
        </w:rPr>
        <w:t>at</w:t>
      </w:r>
      <w:proofErr w:type="gramEnd"/>
      <w:r w:rsidR="00D9599F" w:rsidRPr="00B15D8D">
        <w:rPr>
          <w:sz w:val="16"/>
          <w:szCs w:val="16"/>
        </w:rPr>
        <w:t xml:space="preserve"> 1 July </w:t>
      </w:r>
      <w:r w:rsidR="007B475F" w:rsidRPr="00B15D8D">
        <w:rPr>
          <w:sz w:val="16"/>
          <w:szCs w:val="16"/>
        </w:rPr>
        <w:t xml:space="preserve">2020 </w:t>
      </w:r>
      <w:r w:rsidRPr="00B15D8D">
        <w:rPr>
          <w:sz w:val="16"/>
          <w:szCs w:val="16"/>
        </w:rPr>
        <w:t xml:space="preserve">under </w:t>
      </w:r>
      <w:r w:rsidRPr="00B15D8D">
        <w:rPr>
          <w:i/>
          <w:iCs/>
          <w:sz w:val="16"/>
          <w:szCs w:val="16"/>
        </w:rPr>
        <w:t>Service Agreements – Funding and Service Details</w:t>
      </w:r>
      <w:r w:rsidRPr="00B15D8D">
        <w:rPr>
          <w:sz w:val="16"/>
          <w:szCs w:val="16"/>
        </w:rPr>
        <w:t xml:space="preserve"> and </w:t>
      </w:r>
      <w:r w:rsidRPr="00B15D8D">
        <w:rPr>
          <w:i/>
          <w:iCs/>
          <w:sz w:val="16"/>
          <w:szCs w:val="16"/>
        </w:rPr>
        <w:t>Particulars (Service Provision)</w:t>
      </w:r>
      <w:r w:rsidRPr="00B15D8D">
        <w:rPr>
          <w:sz w:val="16"/>
          <w:szCs w:val="16"/>
        </w:rPr>
        <w:t xml:space="preserve"> with the </w:t>
      </w:r>
      <w:r w:rsidR="00030B8B" w:rsidRPr="00030B8B">
        <w:rPr>
          <w:rFonts w:cs="Arial"/>
          <w:sz w:val="16"/>
          <w:szCs w:val="16"/>
        </w:rPr>
        <w:t>Department of Child Safety, Seniors and Disability Services (DCSSDS)</w:t>
      </w:r>
      <w:r w:rsidRPr="00B15D8D">
        <w:rPr>
          <w:rFonts w:cs="Arial"/>
          <w:sz w:val="16"/>
          <w:szCs w:val="16"/>
        </w:rPr>
        <w:t xml:space="preserve">, the </w:t>
      </w:r>
      <w:r w:rsidR="00030B8B" w:rsidRPr="00030B8B">
        <w:rPr>
          <w:rFonts w:cs="Arial"/>
          <w:sz w:val="16"/>
          <w:szCs w:val="16"/>
        </w:rPr>
        <w:t>Department of Treaty, Aboriginal and Torres Strait Islander Partnerships, Communities and the Arts (DTATSIPCA)</w:t>
      </w:r>
      <w:r w:rsidR="00030B8B">
        <w:rPr>
          <w:rFonts w:cs="Arial"/>
          <w:sz w:val="16"/>
          <w:szCs w:val="16"/>
        </w:rPr>
        <w:t xml:space="preserve"> and</w:t>
      </w:r>
      <w:r w:rsidRPr="00B15D8D">
        <w:rPr>
          <w:rFonts w:cs="Arial"/>
          <w:sz w:val="16"/>
          <w:szCs w:val="16"/>
        </w:rPr>
        <w:t xml:space="preserve"> the Department of Justice and Attorney-General (DJAG)</w:t>
      </w:r>
      <w:r w:rsidR="00030B8B">
        <w:rPr>
          <w:rFonts w:cs="Arial"/>
          <w:sz w:val="16"/>
          <w:szCs w:val="16"/>
        </w:rPr>
        <w:t>.</w:t>
      </w:r>
    </w:p>
    <w:bookmarkEnd w:id="1"/>
  </w:footnote>
  <w:footnote w:id="2">
    <w:p w14:paraId="60FC9D2F" w14:textId="06B34586" w:rsidR="004E02A7" w:rsidRPr="004E02A7" w:rsidRDefault="004E02A7">
      <w:pPr>
        <w:pStyle w:val="FootnoteText"/>
        <w:rPr>
          <w:lang w:val="en-AU"/>
        </w:rPr>
      </w:pPr>
      <w:r w:rsidRPr="005E106B">
        <w:rPr>
          <w:rStyle w:val="FootnoteReference"/>
        </w:rPr>
        <w:footnoteRef/>
      </w:r>
      <w:r w:rsidRPr="005E106B">
        <w:t xml:space="preserve"> </w:t>
      </w:r>
      <w:r w:rsidR="009C242B" w:rsidRPr="00B15D8D">
        <w:rPr>
          <w:sz w:val="16"/>
          <w:szCs w:val="16"/>
        </w:rPr>
        <w:t>N</w:t>
      </w:r>
      <w:proofErr w:type="spellStart"/>
      <w:r w:rsidRPr="00B15D8D">
        <w:rPr>
          <w:sz w:val="16"/>
          <w:szCs w:val="16"/>
          <w:lang w:val="en-AU"/>
        </w:rPr>
        <w:t>ew</w:t>
      </w:r>
      <w:proofErr w:type="spellEnd"/>
      <w:r w:rsidRPr="00B15D8D">
        <w:rPr>
          <w:sz w:val="16"/>
          <w:szCs w:val="16"/>
          <w:lang w:val="en-AU"/>
        </w:rPr>
        <w:t xml:space="preserve"> services funded </w:t>
      </w:r>
      <w:r w:rsidR="001C1E46" w:rsidRPr="00B15D8D">
        <w:rPr>
          <w:sz w:val="16"/>
          <w:szCs w:val="16"/>
          <w:lang w:val="en-AU"/>
        </w:rPr>
        <w:t>from 1 July 2020 where a Request for Quote was not used</w:t>
      </w:r>
      <w:r w:rsidR="009C242B" w:rsidRPr="00B15D8D">
        <w:rPr>
          <w:sz w:val="16"/>
          <w:szCs w:val="16"/>
          <w:lang w:val="en-AU"/>
        </w:rPr>
        <w:t xml:space="preserve"> (</w:t>
      </w:r>
      <w:proofErr w:type="gramStart"/>
      <w:r w:rsidR="001C1E46" w:rsidRPr="00B15D8D">
        <w:rPr>
          <w:sz w:val="16"/>
          <w:szCs w:val="16"/>
          <w:lang w:val="en-AU"/>
        </w:rPr>
        <w:t>e.g.</w:t>
      </w:r>
      <w:proofErr w:type="gramEnd"/>
      <w:r w:rsidR="001C1E46" w:rsidRPr="00B15D8D">
        <w:rPr>
          <w:sz w:val="16"/>
          <w:szCs w:val="16"/>
          <w:lang w:val="en-AU"/>
        </w:rPr>
        <w:t xml:space="preserve"> </w:t>
      </w:r>
      <w:r w:rsidRPr="00B15D8D">
        <w:rPr>
          <w:sz w:val="16"/>
          <w:szCs w:val="16"/>
          <w:lang w:val="en-AU"/>
        </w:rPr>
        <w:t>via direct offer or transfer of funds from another provider</w:t>
      </w:r>
      <w:r w:rsidR="009C242B" w:rsidRPr="00B15D8D">
        <w:rPr>
          <w:sz w:val="16"/>
          <w:szCs w:val="16"/>
          <w:lang w:val="en-AU"/>
        </w:rPr>
        <w:t>) are also required to meet all certification costs</w:t>
      </w:r>
      <w:r w:rsidRPr="00B15D8D">
        <w:rPr>
          <w:sz w:val="16"/>
          <w:szCs w:val="16"/>
          <w:lang w:val="en-AU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3DD8" w14:textId="77777777" w:rsidR="00B43F81" w:rsidRDefault="00B43F81">
    <w:pPr>
      <w:pStyle w:val="Header"/>
    </w:pPr>
  </w:p>
  <w:p w14:paraId="6CCF01A7" w14:textId="77777777" w:rsidR="00B43F81" w:rsidRDefault="00B43F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5A74" w14:textId="77777777" w:rsidR="00B43F81" w:rsidRDefault="00B43F81">
    <w:pPr>
      <w:pStyle w:val="Header"/>
    </w:pPr>
  </w:p>
  <w:p w14:paraId="0A93819B" w14:textId="3E3CE9E3" w:rsidR="00B43F81" w:rsidRDefault="00B43F81"/>
  <w:p w14:paraId="41E58421" w14:textId="5085269C" w:rsidR="00297645" w:rsidRDefault="00297645"/>
  <w:p w14:paraId="1F27128E" w14:textId="77777777" w:rsidR="00CE6E31" w:rsidRDefault="00CE6E3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6F86" w14:textId="1C54B9F5" w:rsidR="00CD52D3" w:rsidRDefault="00B43F81" w:rsidP="00B1288D">
    <w:pPr>
      <w:pStyle w:val="Toptitle"/>
      <w:spacing w:before="560" w:after="480"/>
      <w:rPr>
        <w:sz w:val="64"/>
        <w:szCs w:val="64"/>
      </w:rPr>
    </w:pPr>
    <w:r w:rsidRPr="00CD52D3">
      <w:rPr>
        <w:noProof/>
        <w:sz w:val="64"/>
        <w:szCs w:val="64"/>
        <w:lang w:val="en-AU" w:eastAsia="en-AU"/>
      </w:rPr>
      <w:drawing>
        <wp:anchor distT="0" distB="0" distL="114300" distR="114300" simplePos="0" relativeHeight="251680768" behindDoc="1" locked="0" layoutInCell="1" allowOverlap="1" wp14:anchorId="456DE5E8" wp14:editId="32B8D413">
          <wp:simplePos x="0" y="0"/>
          <wp:positionH relativeFrom="column">
            <wp:posOffset>-712470</wp:posOffset>
          </wp:positionH>
          <wp:positionV relativeFrom="paragraph">
            <wp:posOffset>-263525</wp:posOffset>
          </wp:positionV>
          <wp:extent cx="7559040" cy="10782300"/>
          <wp:effectExtent l="0" t="0" r="381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782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52D3">
      <w:rPr>
        <w:sz w:val="64"/>
        <w:szCs w:val="64"/>
      </w:rPr>
      <w:t xml:space="preserve">HSQF Quality </w:t>
    </w:r>
    <w:r w:rsidR="00CD52D3" w:rsidRPr="001C1E46">
      <w:rPr>
        <w:sz w:val="68"/>
        <w:szCs w:val="68"/>
      </w:rPr>
      <w:t>Certification</w:t>
    </w:r>
    <w:r w:rsidR="007800E6">
      <w:rPr>
        <w:sz w:val="64"/>
        <w:szCs w:val="64"/>
      </w:rPr>
      <w:t xml:space="preserve"> Co</w:t>
    </w:r>
    <w:r w:rsidR="00165288" w:rsidRPr="00CD52D3">
      <w:rPr>
        <w:sz w:val="64"/>
        <w:szCs w:val="64"/>
      </w:rPr>
      <w:t>sts</w:t>
    </w:r>
  </w:p>
  <w:p w14:paraId="533314EA" w14:textId="4FAB8B56" w:rsidR="00B43F81" w:rsidRPr="0051091E" w:rsidRDefault="00B1288D" w:rsidP="007800E6">
    <w:pPr>
      <w:pStyle w:val="Toptitle"/>
      <w:ind w:left="7200" w:firstLine="720"/>
    </w:pPr>
    <w:r>
      <w:rPr>
        <w:sz w:val="20"/>
        <w:szCs w:val="20"/>
      </w:rPr>
      <w:t xml:space="preserve">   </w:t>
    </w:r>
    <w:r w:rsidR="00B15D8D">
      <w:rPr>
        <w:sz w:val="20"/>
        <w:szCs w:val="20"/>
      </w:rPr>
      <w:t>February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F64AC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4A6552"/>
    <w:multiLevelType w:val="hybridMultilevel"/>
    <w:tmpl w:val="A3AA1998"/>
    <w:lvl w:ilvl="0" w:tplc="5FD604CE">
      <w:start w:val="1"/>
      <w:numFmt w:val="decimal"/>
      <w:lvlText w:val="%1"/>
      <w:lvlJc w:val="left"/>
      <w:pPr>
        <w:ind w:hanging="128"/>
      </w:pPr>
      <w:rPr>
        <w:rFonts w:ascii="Arial" w:eastAsia="Arial" w:hAnsi="Arial" w:hint="default"/>
        <w:w w:val="99"/>
        <w:position w:val="6"/>
        <w:sz w:val="13"/>
        <w:szCs w:val="13"/>
      </w:rPr>
    </w:lvl>
    <w:lvl w:ilvl="1" w:tplc="9140EEB0">
      <w:start w:val="1"/>
      <w:numFmt w:val="bullet"/>
      <w:lvlText w:val="•"/>
      <w:lvlJc w:val="left"/>
      <w:rPr>
        <w:rFonts w:hint="default"/>
      </w:rPr>
    </w:lvl>
    <w:lvl w:ilvl="2" w:tplc="78562222">
      <w:start w:val="1"/>
      <w:numFmt w:val="bullet"/>
      <w:lvlText w:val="•"/>
      <w:lvlJc w:val="left"/>
      <w:rPr>
        <w:rFonts w:hint="default"/>
      </w:rPr>
    </w:lvl>
    <w:lvl w:ilvl="3" w:tplc="D4DA3F06">
      <w:start w:val="1"/>
      <w:numFmt w:val="bullet"/>
      <w:lvlText w:val="•"/>
      <w:lvlJc w:val="left"/>
      <w:rPr>
        <w:rFonts w:hint="default"/>
      </w:rPr>
    </w:lvl>
    <w:lvl w:ilvl="4" w:tplc="5694F5B2">
      <w:start w:val="1"/>
      <w:numFmt w:val="bullet"/>
      <w:lvlText w:val="•"/>
      <w:lvlJc w:val="left"/>
      <w:rPr>
        <w:rFonts w:hint="default"/>
      </w:rPr>
    </w:lvl>
    <w:lvl w:ilvl="5" w:tplc="5D005B9C">
      <w:start w:val="1"/>
      <w:numFmt w:val="bullet"/>
      <w:lvlText w:val="•"/>
      <w:lvlJc w:val="left"/>
      <w:rPr>
        <w:rFonts w:hint="default"/>
      </w:rPr>
    </w:lvl>
    <w:lvl w:ilvl="6" w:tplc="C5561526">
      <w:start w:val="1"/>
      <w:numFmt w:val="bullet"/>
      <w:lvlText w:val="•"/>
      <w:lvlJc w:val="left"/>
      <w:rPr>
        <w:rFonts w:hint="default"/>
      </w:rPr>
    </w:lvl>
    <w:lvl w:ilvl="7" w:tplc="C75C8DB8">
      <w:start w:val="1"/>
      <w:numFmt w:val="bullet"/>
      <w:lvlText w:val="•"/>
      <w:lvlJc w:val="left"/>
      <w:rPr>
        <w:rFonts w:hint="default"/>
      </w:rPr>
    </w:lvl>
    <w:lvl w:ilvl="8" w:tplc="44AA7CE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8C84605"/>
    <w:multiLevelType w:val="hybridMultilevel"/>
    <w:tmpl w:val="05D4E0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2772EA"/>
    <w:multiLevelType w:val="hybridMultilevel"/>
    <w:tmpl w:val="BBCC06E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084992"/>
    <w:multiLevelType w:val="hybridMultilevel"/>
    <w:tmpl w:val="3D32F0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FF479D"/>
    <w:multiLevelType w:val="hybridMultilevel"/>
    <w:tmpl w:val="380A48B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2A47C9"/>
    <w:multiLevelType w:val="hybridMultilevel"/>
    <w:tmpl w:val="4C7EE808"/>
    <w:lvl w:ilvl="0" w:tplc="0C045758">
      <w:start w:val="1"/>
      <w:numFmt w:val="bullet"/>
      <w:lvlText w:val=""/>
      <w:lvlJc w:val="left"/>
      <w:pPr>
        <w:ind w:hanging="428"/>
      </w:pPr>
      <w:rPr>
        <w:rFonts w:ascii="Symbol" w:eastAsia="Symbol" w:hAnsi="Symbol" w:hint="default"/>
        <w:sz w:val="22"/>
        <w:szCs w:val="22"/>
      </w:rPr>
    </w:lvl>
    <w:lvl w:ilvl="1" w:tplc="44D6195A">
      <w:start w:val="1"/>
      <w:numFmt w:val="bullet"/>
      <w:lvlText w:val="•"/>
      <w:lvlJc w:val="left"/>
      <w:pPr>
        <w:ind w:hanging="356"/>
      </w:pPr>
      <w:rPr>
        <w:rFonts w:ascii="Courier New" w:eastAsia="Courier New" w:hAnsi="Courier New" w:hint="default"/>
        <w:sz w:val="22"/>
        <w:szCs w:val="22"/>
      </w:rPr>
    </w:lvl>
    <w:lvl w:ilvl="2" w:tplc="04742C00">
      <w:start w:val="1"/>
      <w:numFmt w:val="bullet"/>
      <w:lvlText w:val="•"/>
      <w:lvlJc w:val="left"/>
      <w:rPr>
        <w:rFonts w:hint="default"/>
      </w:rPr>
    </w:lvl>
    <w:lvl w:ilvl="3" w:tplc="89FE7BBC">
      <w:start w:val="1"/>
      <w:numFmt w:val="bullet"/>
      <w:lvlText w:val="•"/>
      <w:lvlJc w:val="left"/>
      <w:rPr>
        <w:rFonts w:hint="default"/>
      </w:rPr>
    </w:lvl>
    <w:lvl w:ilvl="4" w:tplc="792C2DA0">
      <w:start w:val="1"/>
      <w:numFmt w:val="bullet"/>
      <w:lvlText w:val="•"/>
      <w:lvlJc w:val="left"/>
      <w:rPr>
        <w:rFonts w:hint="default"/>
      </w:rPr>
    </w:lvl>
    <w:lvl w:ilvl="5" w:tplc="A1CECE4A">
      <w:start w:val="1"/>
      <w:numFmt w:val="bullet"/>
      <w:lvlText w:val="•"/>
      <w:lvlJc w:val="left"/>
      <w:rPr>
        <w:rFonts w:hint="default"/>
      </w:rPr>
    </w:lvl>
    <w:lvl w:ilvl="6" w:tplc="97E265AC">
      <w:start w:val="1"/>
      <w:numFmt w:val="bullet"/>
      <w:lvlText w:val="•"/>
      <w:lvlJc w:val="left"/>
      <w:rPr>
        <w:rFonts w:hint="default"/>
      </w:rPr>
    </w:lvl>
    <w:lvl w:ilvl="7" w:tplc="F11446D2">
      <w:start w:val="1"/>
      <w:numFmt w:val="bullet"/>
      <w:lvlText w:val="•"/>
      <w:lvlJc w:val="left"/>
      <w:rPr>
        <w:rFonts w:hint="default"/>
      </w:rPr>
    </w:lvl>
    <w:lvl w:ilvl="8" w:tplc="437E9BA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EEF097C"/>
    <w:multiLevelType w:val="hybridMultilevel"/>
    <w:tmpl w:val="F6A6FDDE"/>
    <w:lvl w:ilvl="0" w:tplc="0C045758">
      <w:start w:val="1"/>
      <w:numFmt w:val="bullet"/>
      <w:lvlText w:val=""/>
      <w:lvlJc w:val="left"/>
      <w:pPr>
        <w:ind w:hanging="428"/>
      </w:pPr>
      <w:rPr>
        <w:rFonts w:ascii="Symbol" w:eastAsia="Symbol" w:hAnsi="Symbol" w:hint="default"/>
        <w:sz w:val="22"/>
        <w:szCs w:val="22"/>
      </w:rPr>
    </w:lvl>
    <w:lvl w:ilvl="1" w:tplc="799CB23E">
      <w:numFmt w:val="bullet"/>
      <w:lvlText w:val="-"/>
      <w:lvlJc w:val="left"/>
      <w:pPr>
        <w:ind w:hanging="356"/>
      </w:pPr>
      <w:rPr>
        <w:rFonts w:ascii="Calibri Light" w:eastAsia="Times New Roman" w:hAnsi="Calibri Light" w:cs="Calibri Light" w:hint="default"/>
        <w:sz w:val="22"/>
        <w:szCs w:val="22"/>
      </w:rPr>
    </w:lvl>
    <w:lvl w:ilvl="2" w:tplc="04742C00">
      <w:start w:val="1"/>
      <w:numFmt w:val="bullet"/>
      <w:lvlText w:val="•"/>
      <w:lvlJc w:val="left"/>
      <w:rPr>
        <w:rFonts w:hint="default"/>
      </w:rPr>
    </w:lvl>
    <w:lvl w:ilvl="3" w:tplc="89FE7BBC">
      <w:start w:val="1"/>
      <w:numFmt w:val="bullet"/>
      <w:lvlText w:val="•"/>
      <w:lvlJc w:val="left"/>
      <w:rPr>
        <w:rFonts w:hint="default"/>
      </w:rPr>
    </w:lvl>
    <w:lvl w:ilvl="4" w:tplc="792C2DA0">
      <w:start w:val="1"/>
      <w:numFmt w:val="bullet"/>
      <w:lvlText w:val="•"/>
      <w:lvlJc w:val="left"/>
      <w:rPr>
        <w:rFonts w:hint="default"/>
      </w:rPr>
    </w:lvl>
    <w:lvl w:ilvl="5" w:tplc="A1CECE4A">
      <w:start w:val="1"/>
      <w:numFmt w:val="bullet"/>
      <w:lvlText w:val="•"/>
      <w:lvlJc w:val="left"/>
      <w:rPr>
        <w:rFonts w:hint="default"/>
      </w:rPr>
    </w:lvl>
    <w:lvl w:ilvl="6" w:tplc="97E265AC">
      <w:start w:val="1"/>
      <w:numFmt w:val="bullet"/>
      <w:lvlText w:val="•"/>
      <w:lvlJc w:val="left"/>
      <w:rPr>
        <w:rFonts w:hint="default"/>
      </w:rPr>
    </w:lvl>
    <w:lvl w:ilvl="7" w:tplc="F11446D2">
      <w:start w:val="1"/>
      <w:numFmt w:val="bullet"/>
      <w:lvlText w:val="•"/>
      <w:lvlJc w:val="left"/>
      <w:rPr>
        <w:rFonts w:hint="default"/>
      </w:rPr>
    </w:lvl>
    <w:lvl w:ilvl="8" w:tplc="437E9BA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5D83873"/>
    <w:multiLevelType w:val="hybridMultilevel"/>
    <w:tmpl w:val="CA88827E"/>
    <w:lvl w:ilvl="0" w:tplc="A33CA8B4">
      <w:start w:val="1"/>
      <w:numFmt w:val="decimal"/>
      <w:lvlText w:val="%1."/>
      <w:lvlJc w:val="left"/>
      <w:pPr>
        <w:ind w:hanging="361"/>
      </w:pPr>
      <w:rPr>
        <w:rFonts w:ascii="Arial" w:eastAsia="Arial" w:hAnsi="Arial" w:hint="default"/>
        <w:spacing w:val="-1"/>
        <w:sz w:val="22"/>
        <w:szCs w:val="22"/>
      </w:rPr>
    </w:lvl>
    <w:lvl w:ilvl="1" w:tplc="A748017E">
      <w:start w:val="1"/>
      <w:numFmt w:val="bullet"/>
      <w:lvlText w:val="•"/>
      <w:lvlJc w:val="left"/>
      <w:rPr>
        <w:rFonts w:hint="default"/>
      </w:rPr>
    </w:lvl>
    <w:lvl w:ilvl="2" w:tplc="BA5E5BEC">
      <w:start w:val="1"/>
      <w:numFmt w:val="bullet"/>
      <w:lvlText w:val="•"/>
      <w:lvlJc w:val="left"/>
      <w:rPr>
        <w:rFonts w:hint="default"/>
      </w:rPr>
    </w:lvl>
    <w:lvl w:ilvl="3" w:tplc="07221FB4">
      <w:start w:val="1"/>
      <w:numFmt w:val="bullet"/>
      <w:lvlText w:val="•"/>
      <w:lvlJc w:val="left"/>
      <w:rPr>
        <w:rFonts w:hint="default"/>
      </w:rPr>
    </w:lvl>
    <w:lvl w:ilvl="4" w:tplc="9EF49CF4">
      <w:start w:val="1"/>
      <w:numFmt w:val="bullet"/>
      <w:lvlText w:val="•"/>
      <w:lvlJc w:val="left"/>
      <w:rPr>
        <w:rFonts w:hint="default"/>
      </w:rPr>
    </w:lvl>
    <w:lvl w:ilvl="5" w:tplc="C526C88E">
      <w:start w:val="1"/>
      <w:numFmt w:val="bullet"/>
      <w:lvlText w:val="•"/>
      <w:lvlJc w:val="left"/>
      <w:rPr>
        <w:rFonts w:hint="default"/>
      </w:rPr>
    </w:lvl>
    <w:lvl w:ilvl="6" w:tplc="90E40B60">
      <w:start w:val="1"/>
      <w:numFmt w:val="bullet"/>
      <w:lvlText w:val="•"/>
      <w:lvlJc w:val="left"/>
      <w:rPr>
        <w:rFonts w:hint="default"/>
      </w:rPr>
    </w:lvl>
    <w:lvl w:ilvl="7" w:tplc="C5A83FE2">
      <w:start w:val="1"/>
      <w:numFmt w:val="bullet"/>
      <w:lvlText w:val="•"/>
      <w:lvlJc w:val="left"/>
      <w:rPr>
        <w:rFonts w:hint="default"/>
      </w:rPr>
    </w:lvl>
    <w:lvl w:ilvl="8" w:tplc="3B6AC71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ED746C6"/>
    <w:multiLevelType w:val="hybridMultilevel"/>
    <w:tmpl w:val="6762B9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2477E8"/>
    <w:multiLevelType w:val="hybridMultilevel"/>
    <w:tmpl w:val="1B5CE274"/>
    <w:lvl w:ilvl="0" w:tplc="F426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8501F"/>
    <w:multiLevelType w:val="hybridMultilevel"/>
    <w:tmpl w:val="057CC6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272874"/>
    <w:multiLevelType w:val="hybridMultilevel"/>
    <w:tmpl w:val="61C40EFA"/>
    <w:lvl w:ilvl="0" w:tplc="0C045758">
      <w:start w:val="1"/>
      <w:numFmt w:val="bullet"/>
      <w:lvlText w:val=""/>
      <w:lvlJc w:val="left"/>
      <w:pPr>
        <w:ind w:hanging="428"/>
      </w:pPr>
      <w:rPr>
        <w:rFonts w:ascii="Symbol" w:eastAsia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D904AC6"/>
    <w:multiLevelType w:val="hybridMultilevel"/>
    <w:tmpl w:val="B5946080"/>
    <w:lvl w:ilvl="0" w:tplc="0C045758">
      <w:start w:val="1"/>
      <w:numFmt w:val="bullet"/>
      <w:lvlText w:val=""/>
      <w:lvlJc w:val="left"/>
      <w:pPr>
        <w:ind w:hanging="428"/>
      </w:pPr>
      <w:rPr>
        <w:rFonts w:ascii="Symbol" w:eastAsia="Symbol" w:hAnsi="Symbol" w:hint="default"/>
        <w:sz w:val="22"/>
        <w:szCs w:val="22"/>
      </w:rPr>
    </w:lvl>
    <w:lvl w:ilvl="1" w:tplc="2ACAE7A0">
      <w:start w:val="1"/>
      <w:numFmt w:val="bullet"/>
      <w:lvlText w:val=""/>
      <w:lvlJc w:val="left"/>
      <w:pPr>
        <w:ind w:hanging="356"/>
      </w:pPr>
      <w:rPr>
        <w:rFonts w:ascii="Symbol" w:hAnsi="Symbol" w:hint="default"/>
        <w:sz w:val="22"/>
        <w:szCs w:val="22"/>
      </w:rPr>
    </w:lvl>
    <w:lvl w:ilvl="2" w:tplc="04742C00">
      <w:start w:val="1"/>
      <w:numFmt w:val="bullet"/>
      <w:lvlText w:val="•"/>
      <w:lvlJc w:val="left"/>
      <w:rPr>
        <w:rFonts w:hint="default"/>
      </w:rPr>
    </w:lvl>
    <w:lvl w:ilvl="3" w:tplc="89FE7BBC">
      <w:start w:val="1"/>
      <w:numFmt w:val="bullet"/>
      <w:lvlText w:val="•"/>
      <w:lvlJc w:val="left"/>
      <w:rPr>
        <w:rFonts w:hint="default"/>
      </w:rPr>
    </w:lvl>
    <w:lvl w:ilvl="4" w:tplc="792C2DA0">
      <w:start w:val="1"/>
      <w:numFmt w:val="bullet"/>
      <w:lvlText w:val="•"/>
      <w:lvlJc w:val="left"/>
      <w:rPr>
        <w:rFonts w:hint="default"/>
      </w:rPr>
    </w:lvl>
    <w:lvl w:ilvl="5" w:tplc="A1CECE4A">
      <w:start w:val="1"/>
      <w:numFmt w:val="bullet"/>
      <w:lvlText w:val="•"/>
      <w:lvlJc w:val="left"/>
      <w:rPr>
        <w:rFonts w:hint="default"/>
      </w:rPr>
    </w:lvl>
    <w:lvl w:ilvl="6" w:tplc="97E265AC">
      <w:start w:val="1"/>
      <w:numFmt w:val="bullet"/>
      <w:lvlText w:val="•"/>
      <w:lvlJc w:val="left"/>
      <w:rPr>
        <w:rFonts w:hint="default"/>
      </w:rPr>
    </w:lvl>
    <w:lvl w:ilvl="7" w:tplc="F11446D2">
      <w:start w:val="1"/>
      <w:numFmt w:val="bullet"/>
      <w:lvlText w:val="•"/>
      <w:lvlJc w:val="left"/>
      <w:rPr>
        <w:rFonts w:hint="default"/>
      </w:rPr>
    </w:lvl>
    <w:lvl w:ilvl="8" w:tplc="437E9BA4">
      <w:start w:val="1"/>
      <w:numFmt w:val="bullet"/>
      <w:lvlText w:val="•"/>
      <w:lvlJc w:val="left"/>
      <w:rPr>
        <w:rFonts w:hint="default"/>
      </w:rPr>
    </w:lvl>
  </w:abstractNum>
  <w:num w:numId="1" w16cid:durableId="1575241640">
    <w:abstractNumId w:val="0"/>
  </w:num>
  <w:num w:numId="2" w16cid:durableId="1921674081">
    <w:abstractNumId w:val="8"/>
  </w:num>
  <w:num w:numId="3" w16cid:durableId="1840195405">
    <w:abstractNumId w:val="6"/>
  </w:num>
  <w:num w:numId="4" w16cid:durableId="1248032951">
    <w:abstractNumId w:val="13"/>
  </w:num>
  <w:num w:numId="5" w16cid:durableId="803355609">
    <w:abstractNumId w:val="7"/>
  </w:num>
  <w:num w:numId="6" w16cid:durableId="1350721251">
    <w:abstractNumId w:val="1"/>
  </w:num>
  <w:num w:numId="7" w16cid:durableId="1246261063">
    <w:abstractNumId w:val="10"/>
  </w:num>
  <w:num w:numId="8" w16cid:durableId="1648169212">
    <w:abstractNumId w:val="12"/>
  </w:num>
  <w:num w:numId="9" w16cid:durableId="1526401477">
    <w:abstractNumId w:val="3"/>
  </w:num>
  <w:num w:numId="10" w16cid:durableId="1833252322">
    <w:abstractNumId w:val="9"/>
  </w:num>
  <w:num w:numId="11" w16cid:durableId="107700227">
    <w:abstractNumId w:val="2"/>
  </w:num>
  <w:num w:numId="12" w16cid:durableId="1406301953">
    <w:abstractNumId w:val="11"/>
  </w:num>
  <w:num w:numId="13" w16cid:durableId="1412773972">
    <w:abstractNumId w:val="5"/>
  </w:num>
  <w:num w:numId="14" w16cid:durableId="2125734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E53"/>
    <w:rsid w:val="00001751"/>
    <w:rsid w:val="00014381"/>
    <w:rsid w:val="00017E53"/>
    <w:rsid w:val="00030B8B"/>
    <w:rsid w:val="0003326E"/>
    <w:rsid w:val="00036A0C"/>
    <w:rsid w:val="00037381"/>
    <w:rsid w:val="00067BD8"/>
    <w:rsid w:val="00077983"/>
    <w:rsid w:val="000857A4"/>
    <w:rsid w:val="000A5DD2"/>
    <w:rsid w:val="000A7C6C"/>
    <w:rsid w:val="000C4A4F"/>
    <w:rsid w:val="000E2166"/>
    <w:rsid w:val="000F667F"/>
    <w:rsid w:val="00100ACE"/>
    <w:rsid w:val="00101F97"/>
    <w:rsid w:val="001273EF"/>
    <w:rsid w:val="00131627"/>
    <w:rsid w:val="00137D5A"/>
    <w:rsid w:val="0014578D"/>
    <w:rsid w:val="0015465F"/>
    <w:rsid w:val="00165288"/>
    <w:rsid w:val="00175755"/>
    <w:rsid w:val="00195CDC"/>
    <w:rsid w:val="001B1FAE"/>
    <w:rsid w:val="001C1E46"/>
    <w:rsid w:val="001D1F49"/>
    <w:rsid w:val="001F0CFF"/>
    <w:rsid w:val="001F1339"/>
    <w:rsid w:val="001F50DE"/>
    <w:rsid w:val="001F7F25"/>
    <w:rsid w:val="00213CD7"/>
    <w:rsid w:val="00224E62"/>
    <w:rsid w:val="002341C3"/>
    <w:rsid w:val="00255629"/>
    <w:rsid w:val="00257FC9"/>
    <w:rsid w:val="00261295"/>
    <w:rsid w:val="00263D90"/>
    <w:rsid w:val="00297645"/>
    <w:rsid w:val="002B2F08"/>
    <w:rsid w:val="002C165C"/>
    <w:rsid w:val="002C614E"/>
    <w:rsid w:val="002E3F05"/>
    <w:rsid w:val="002E53CD"/>
    <w:rsid w:val="00365B64"/>
    <w:rsid w:val="00371AD4"/>
    <w:rsid w:val="00377E71"/>
    <w:rsid w:val="00382E31"/>
    <w:rsid w:val="00383869"/>
    <w:rsid w:val="00394207"/>
    <w:rsid w:val="0039674B"/>
    <w:rsid w:val="003C1A1B"/>
    <w:rsid w:val="004002DA"/>
    <w:rsid w:val="004035B9"/>
    <w:rsid w:val="00414087"/>
    <w:rsid w:val="00440EA2"/>
    <w:rsid w:val="00441421"/>
    <w:rsid w:val="00454B21"/>
    <w:rsid w:val="00467CB2"/>
    <w:rsid w:val="00472546"/>
    <w:rsid w:val="00476DB6"/>
    <w:rsid w:val="004824EB"/>
    <w:rsid w:val="0048383B"/>
    <w:rsid w:val="004B0D21"/>
    <w:rsid w:val="004B1A2F"/>
    <w:rsid w:val="004B6E89"/>
    <w:rsid w:val="004E02A7"/>
    <w:rsid w:val="004F5228"/>
    <w:rsid w:val="004F75B3"/>
    <w:rsid w:val="00500AB6"/>
    <w:rsid w:val="00505029"/>
    <w:rsid w:val="00506976"/>
    <w:rsid w:val="0051091E"/>
    <w:rsid w:val="00522683"/>
    <w:rsid w:val="00534AFC"/>
    <w:rsid w:val="005451DC"/>
    <w:rsid w:val="00547C3A"/>
    <w:rsid w:val="00547E0E"/>
    <w:rsid w:val="005562BD"/>
    <w:rsid w:val="005B1FA7"/>
    <w:rsid w:val="005B65A0"/>
    <w:rsid w:val="005B797A"/>
    <w:rsid w:val="005C5403"/>
    <w:rsid w:val="005E106B"/>
    <w:rsid w:val="005E5F7F"/>
    <w:rsid w:val="006130F4"/>
    <w:rsid w:val="0062312F"/>
    <w:rsid w:val="006372A8"/>
    <w:rsid w:val="00652AC5"/>
    <w:rsid w:val="00671F38"/>
    <w:rsid w:val="00675947"/>
    <w:rsid w:val="00684D48"/>
    <w:rsid w:val="00687F40"/>
    <w:rsid w:val="00697D78"/>
    <w:rsid w:val="006A1E5F"/>
    <w:rsid w:val="006A4A1F"/>
    <w:rsid w:val="006B2970"/>
    <w:rsid w:val="00732C3D"/>
    <w:rsid w:val="00743BE7"/>
    <w:rsid w:val="007533FF"/>
    <w:rsid w:val="007800E6"/>
    <w:rsid w:val="0078020D"/>
    <w:rsid w:val="00791FDE"/>
    <w:rsid w:val="007A7EDB"/>
    <w:rsid w:val="007B475F"/>
    <w:rsid w:val="007E15E4"/>
    <w:rsid w:val="007F3F79"/>
    <w:rsid w:val="007F48B9"/>
    <w:rsid w:val="00802FDB"/>
    <w:rsid w:val="008104B6"/>
    <w:rsid w:val="008114A2"/>
    <w:rsid w:val="00822B53"/>
    <w:rsid w:val="00834EE2"/>
    <w:rsid w:val="0083563B"/>
    <w:rsid w:val="00853723"/>
    <w:rsid w:val="008644D8"/>
    <w:rsid w:val="00866EBB"/>
    <w:rsid w:val="00883FE5"/>
    <w:rsid w:val="008952CF"/>
    <w:rsid w:val="008A3C5C"/>
    <w:rsid w:val="008A3E34"/>
    <w:rsid w:val="008A6F50"/>
    <w:rsid w:val="008C40CE"/>
    <w:rsid w:val="00902845"/>
    <w:rsid w:val="00910C5A"/>
    <w:rsid w:val="0094700A"/>
    <w:rsid w:val="00950107"/>
    <w:rsid w:val="0095442C"/>
    <w:rsid w:val="00967100"/>
    <w:rsid w:val="00974F4E"/>
    <w:rsid w:val="00980A3F"/>
    <w:rsid w:val="009911A4"/>
    <w:rsid w:val="009A1A79"/>
    <w:rsid w:val="009A2D22"/>
    <w:rsid w:val="009C242B"/>
    <w:rsid w:val="009E100E"/>
    <w:rsid w:val="009F362D"/>
    <w:rsid w:val="009F796C"/>
    <w:rsid w:val="00A076D2"/>
    <w:rsid w:val="00A14818"/>
    <w:rsid w:val="00A24B73"/>
    <w:rsid w:val="00A34B7B"/>
    <w:rsid w:val="00A43DD5"/>
    <w:rsid w:val="00A45604"/>
    <w:rsid w:val="00A66F79"/>
    <w:rsid w:val="00A77AEF"/>
    <w:rsid w:val="00A841C9"/>
    <w:rsid w:val="00AA3319"/>
    <w:rsid w:val="00AA3BE7"/>
    <w:rsid w:val="00AC441C"/>
    <w:rsid w:val="00AF312A"/>
    <w:rsid w:val="00B00D0E"/>
    <w:rsid w:val="00B01720"/>
    <w:rsid w:val="00B05BA5"/>
    <w:rsid w:val="00B06800"/>
    <w:rsid w:val="00B1288D"/>
    <w:rsid w:val="00B133C1"/>
    <w:rsid w:val="00B15D8D"/>
    <w:rsid w:val="00B43F81"/>
    <w:rsid w:val="00B77E5E"/>
    <w:rsid w:val="00B86F21"/>
    <w:rsid w:val="00B918F1"/>
    <w:rsid w:val="00BA3A49"/>
    <w:rsid w:val="00BB3DCE"/>
    <w:rsid w:val="00BB4554"/>
    <w:rsid w:val="00BB59E5"/>
    <w:rsid w:val="00BC1768"/>
    <w:rsid w:val="00BC45CD"/>
    <w:rsid w:val="00BC5053"/>
    <w:rsid w:val="00BD2F02"/>
    <w:rsid w:val="00BD6C86"/>
    <w:rsid w:val="00BE3247"/>
    <w:rsid w:val="00C15A31"/>
    <w:rsid w:val="00C22054"/>
    <w:rsid w:val="00C24DC2"/>
    <w:rsid w:val="00C418DA"/>
    <w:rsid w:val="00C4382C"/>
    <w:rsid w:val="00C607A6"/>
    <w:rsid w:val="00C95B28"/>
    <w:rsid w:val="00CB76A5"/>
    <w:rsid w:val="00CC26D6"/>
    <w:rsid w:val="00CC5368"/>
    <w:rsid w:val="00CC5430"/>
    <w:rsid w:val="00CD52D3"/>
    <w:rsid w:val="00CE4FDC"/>
    <w:rsid w:val="00CE5DC6"/>
    <w:rsid w:val="00CE6E31"/>
    <w:rsid w:val="00D1645B"/>
    <w:rsid w:val="00D2638B"/>
    <w:rsid w:val="00D419A3"/>
    <w:rsid w:val="00D42E08"/>
    <w:rsid w:val="00D45AA0"/>
    <w:rsid w:val="00D47220"/>
    <w:rsid w:val="00D474AA"/>
    <w:rsid w:val="00D55E00"/>
    <w:rsid w:val="00D74354"/>
    <w:rsid w:val="00D74D8C"/>
    <w:rsid w:val="00D847CB"/>
    <w:rsid w:val="00D936B5"/>
    <w:rsid w:val="00D9599F"/>
    <w:rsid w:val="00DB3DB0"/>
    <w:rsid w:val="00DC1D8C"/>
    <w:rsid w:val="00DD3741"/>
    <w:rsid w:val="00DD6847"/>
    <w:rsid w:val="00DE5458"/>
    <w:rsid w:val="00E01924"/>
    <w:rsid w:val="00E65A64"/>
    <w:rsid w:val="00E701C3"/>
    <w:rsid w:val="00E9057B"/>
    <w:rsid w:val="00E9235D"/>
    <w:rsid w:val="00E92E2C"/>
    <w:rsid w:val="00EA2CBC"/>
    <w:rsid w:val="00EB5837"/>
    <w:rsid w:val="00EC1DC6"/>
    <w:rsid w:val="00EC2AA2"/>
    <w:rsid w:val="00EC71B7"/>
    <w:rsid w:val="00EE0771"/>
    <w:rsid w:val="00EE2F81"/>
    <w:rsid w:val="00EF443D"/>
    <w:rsid w:val="00F00129"/>
    <w:rsid w:val="00F05F21"/>
    <w:rsid w:val="00F336CD"/>
    <w:rsid w:val="00F41AA1"/>
    <w:rsid w:val="00F53CF2"/>
    <w:rsid w:val="00F63C36"/>
    <w:rsid w:val="00F649F5"/>
    <w:rsid w:val="00FB0376"/>
    <w:rsid w:val="00FB32A3"/>
    <w:rsid w:val="00FB5C74"/>
    <w:rsid w:val="00FC08C3"/>
    <w:rsid w:val="00FE6D91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342A49"/>
  <w14:defaultImageDpi w14:val="300"/>
  <w15:docId w15:val="{CD71B7E4-A18C-48FD-9F50-33625AF0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A79"/>
    <w:rPr>
      <w:rFonts w:ascii="Arial" w:hAnsi="Arial"/>
      <w:sz w:val="22"/>
      <w:lang w:val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B05BA5"/>
    <w:pPr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BA5"/>
    <w:pPr>
      <w:spacing w:line="360" w:lineRule="auto"/>
      <w:contextualSpacing/>
      <w:outlineLvl w:val="1"/>
    </w:pPr>
    <w:rPr>
      <w:color w:val="0070C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B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22B5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B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B53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57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78D"/>
    <w:rPr>
      <w:rFonts w:ascii="Arial" w:hAnsi="Arial"/>
      <w:sz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05BA5"/>
    <w:rPr>
      <w:rFonts w:ascii="Arial" w:hAnsi="Arial"/>
      <w:color w:val="0070C0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05BA5"/>
    <w:rPr>
      <w:rFonts w:ascii="Arial" w:hAnsi="Arial"/>
      <w:color w:val="0070C0"/>
      <w:lang w:val="en-US"/>
    </w:rPr>
  </w:style>
  <w:style w:type="paragraph" w:customStyle="1" w:styleId="Toptitle">
    <w:name w:val="Top title"/>
    <w:qFormat/>
    <w:rsid w:val="00822B53"/>
    <w:rPr>
      <w:rFonts w:ascii="Arial" w:hAnsi="Arial"/>
      <w:color w:val="FFFFFF" w:themeColor="background1"/>
      <w:sz w:val="96"/>
      <w:szCs w:val="96"/>
      <w:lang w:val="en-US"/>
    </w:rPr>
  </w:style>
  <w:style w:type="paragraph" w:customStyle="1" w:styleId="Topsubheading">
    <w:name w:val="Top subheading"/>
    <w:qFormat/>
    <w:rsid w:val="00822B53"/>
    <w:rPr>
      <w:rFonts w:ascii="Arial" w:hAnsi="Arial"/>
      <w:color w:val="FFFFFF" w:themeColor="background1"/>
      <w:sz w:val="36"/>
      <w:szCs w:val="36"/>
      <w:lang w:val="en-US"/>
    </w:rPr>
  </w:style>
  <w:style w:type="paragraph" w:customStyle="1" w:styleId="Bodycopy">
    <w:name w:val="Body copy"/>
    <w:basedOn w:val="Normal"/>
    <w:qFormat/>
    <w:rsid w:val="00822B53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1457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78D"/>
    <w:rPr>
      <w:rFonts w:ascii="Arial" w:hAnsi="Arial"/>
      <w:sz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1091E"/>
    <w:pPr>
      <w:widowControl w:val="0"/>
      <w:ind w:left="100"/>
    </w:pPr>
    <w:rPr>
      <w:rFonts w:eastAsia="Arial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1091E"/>
    <w:rPr>
      <w:rFonts w:ascii="Arial" w:eastAsia="Arial" w:hAnsi="Arial"/>
      <w:sz w:val="22"/>
      <w:szCs w:val="22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50D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50DE"/>
    <w:rPr>
      <w:rFonts w:ascii="Arial" w:hAnsi="Arial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F50D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57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57A4"/>
    <w:rPr>
      <w:rFonts w:ascii="Arial" w:hAnsi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857A4"/>
    <w:rPr>
      <w:vertAlign w:val="superscript"/>
    </w:rPr>
  </w:style>
  <w:style w:type="paragraph" w:styleId="ListParagraph">
    <w:name w:val="List Paragraph"/>
    <w:basedOn w:val="Normal"/>
    <w:uiPriority w:val="34"/>
    <w:qFormat/>
    <w:rsid w:val="00037381"/>
    <w:pPr>
      <w:ind w:left="720"/>
      <w:contextualSpacing/>
    </w:pPr>
  </w:style>
  <w:style w:type="table" w:styleId="TableGrid">
    <w:name w:val="Table Grid"/>
    <w:basedOn w:val="TableNormal"/>
    <w:uiPriority w:val="59"/>
    <w:rsid w:val="00534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6F2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43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43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381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381"/>
    <w:rPr>
      <w:rFonts w:ascii="Arial" w:hAnsi="Arial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1D1F49"/>
    <w:rPr>
      <w:rFonts w:ascii="Arial" w:hAnsi="Arial"/>
      <w:sz w:val="22"/>
      <w:lang w:val="en-US"/>
    </w:rPr>
  </w:style>
  <w:style w:type="paragraph" w:styleId="Revision">
    <w:name w:val="Revision"/>
    <w:hidden/>
    <w:uiPriority w:val="99"/>
    <w:semiHidden/>
    <w:rsid w:val="00EA2CBC"/>
    <w:rPr>
      <w:rFonts w:ascii="Arial" w:hAnsi="Arial"/>
      <w:sz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5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eader1.xml" Type="http://schemas.openxmlformats.org/officeDocument/2006/relationships/header"/>
<Relationship Id="rId11" Target="header2.xml" Type="http://schemas.openxmlformats.org/officeDocument/2006/relationships/header"/>
<Relationship Id="rId12" Target="footer1.xml" Type="http://schemas.openxmlformats.org/officeDocument/2006/relationships/footer"/>
<Relationship Id="rId13" Target="footer2.xml" Type="http://schemas.openxmlformats.org/officeDocument/2006/relationships/footer"/>
<Relationship Id="rId14" Target="header3.xml" Type="http://schemas.openxmlformats.org/officeDocument/2006/relationships/header"/>
<Relationship Id="rId15" Target="fontTable.xml" Type="http://schemas.openxmlformats.org/officeDocument/2006/relationships/fontTable"/>
<Relationship Id="rId16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mailto:CommunityFunding@health.qld.gov.au" TargetMode="External" Type="http://schemas.openxmlformats.org/officeDocument/2006/relationships/hyperlink"/>
<Relationship Id="rId9" Target="mailto:hsqf@qld.gov.au" TargetMode="External" Type="http://schemas.openxmlformats.org/officeDocument/2006/relationships/hyperlink"/>
</Relationships>

</file>

<file path=word/_rels/header3.xml.rels><?xml version="1.0" encoding="UTF-8" standalone="yes"?>
<Relationships xmlns="http://schemas.openxmlformats.org/package/2006/relationships">
<Relationship Id="rId1" Target="media/image1.jpe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C0E41-0D5C-4E7D-9DCE-08227408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HSQF Quality Certification Costs</vt:lpstr>
    </vt:vector>
  </TitlesOfParts>
  <Company>Queensland Government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2022-04-12T00:40:00Z</dcterms:created>
  <dc:creator>Queensland Government</dc:creator>
  <cp:keywords>quality standards; quality; audit; contributions; HSQF</cp:keywords>
  <cp:lastModifiedBy>Sophie Tory</cp:lastModifiedBy>
  <cp:lastPrinted>2022-04-12T00:53:00Z</cp:lastPrinted>
  <dcterms:modified xsi:type="dcterms:W3CDTF">2024-01-08T01:30:00Z</dcterms:modified>
  <cp:revision>20</cp:revision>
  <dc:subject>Human Services Quality Framework</dc:subject>
  <dc:title>HSQF Quality Certification Costs</dc:title>
</cp:coreProperties>
</file>