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F0CB6" w14:textId="77777777" w:rsidR="00431731" w:rsidRDefault="00431731" w:rsidP="00431731">
      <w:pPr>
        <w:rPr>
          <w:sz w:val="21"/>
          <w:szCs w:val="21"/>
        </w:rPr>
      </w:pPr>
    </w:p>
    <w:p w14:paraId="32419979" w14:textId="3D452EFD" w:rsidR="00613ECD" w:rsidRDefault="00184E1D">
      <w:pPr>
        <w:rPr>
          <w:sz w:val="21"/>
          <w:szCs w:val="21"/>
        </w:rPr>
      </w:pPr>
      <w:r w:rsidRPr="00995350">
        <w:rPr>
          <w:sz w:val="21"/>
          <w:szCs w:val="21"/>
        </w:rPr>
        <w:t xml:space="preserve">The Department of Seniors, Disability Services and Aboriginal and Torres Strait Islander Partnerships (the </w:t>
      </w:r>
      <w:r w:rsidR="00A46B82" w:rsidRPr="00995350">
        <w:rPr>
          <w:sz w:val="21"/>
          <w:szCs w:val="21"/>
        </w:rPr>
        <w:t>d</w:t>
      </w:r>
      <w:r w:rsidRPr="00995350">
        <w:rPr>
          <w:sz w:val="21"/>
          <w:szCs w:val="21"/>
        </w:rPr>
        <w:t xml:space="preserve">epartment) draws on its SOLID values (Strengths based, Open, Loyal, Innovative and Dedicated) to commit itself to </w:t>
      </w:r>
      <w:r w:rsidR="00995350">
        <w:rPr>
          <w:sz w:val="21"/>
          <w:szCs w:val="21"/>
        </w:rPr>
        <w:t>supporting</w:t>
      </w:r>
      <w:r w:rsidRPr="003D6B66">
        <w:rPr>
          <w:sz w:val="21"/>
          <w:szCs w:val="21"/>
        </w:rPr>
        <w:t xml:space="preserve"> people with a disability to thrive. </w:t>
      </w:r>
    </w:p>
    <w:p w14:paraId="2C902EC8" w14:textId="76B62951" w:rsidR="00184E1D" w:rsidRPr="00995350" w:rsidRDefault="00184E1D" w:rsidP="00995350">
      <w:pPr>
        <w:rPr>
          <w:rFonts w:cs="Arial"/>
          <w:sz w:val="21"/>
          <w:szCs w:val="21"/>
        </w:rPr>
      </w:pPr>
      <w:r w:rsidRPr="00995350">
        <w:rPr>
          <w:rFonts w:cs="Arial"/>
          <w:spacing w:val="2"/>
          <w:sz w:val="21"/>
          <w:szCs w:val="21"/>
        </w:rPr>
        <w:t>As such, t</w:t>
      </w:r>
      <w:r w:rsidRPr="00995350">
        <w:rPr>
          <w:rFonts w:cs="Arial"/>
          <w:sz w:val="21"/>
          <w:szCs w:val="21"/>
        </w:rPr>
        <w:t xml:space="preserve">he </w:t>
      </w:r>
      <w:r w:rsidR="00A46B82" w:rsidRPr="00995350">
        <w:rPr>
          <w:rFonts w:cs="Arial"/>
          <w:sz w:val="21"/>
          <w:szCs w:val="21"/>
        </w:rPr>
        <w:t>d</w:t>
      </w:r>
      <w:r w:rsidRPr="00995350">
        <w:rPr>
          <w:rFonts w:cs="Arial"/>
          <w:sz w:val="21"/>
          <w:szCs w:val="21"/>
        </w:rPr>
        <w:t xml:space="preserve">epartment is committed to ensuring that adults with intellectual or cognitive disability are supported in appropriate ways which ensure personal safety while actively considering the adult’s rights and needs. Furthermore, the </w:t>
      </w:r>
      <w:r w:rsidR="00A46B82" w:rsidRPr="00995350">
        <w:rPr>
          <w:rFonts w:cs="Arial"/>
          <w:sz w:val="21"/>
          <w:szCs w:val="21"/>
        </w:rPr>
        <w:t>d</w:t>
      </w:r>
      <w:r w:rsidRPr="00995350">
        <w:rPr>
          <w:rFonts w:cs="Arial"/>
          <w:sz w:val="21"/>
          <w:szCs w:val="21"/>
        </w:rPr>
        <w:t xml:space="preserve">epartment is committed to respecting, protecting and promoting human rights. Under the </w:t>
      </w:r>
      <w:r w:rsidRPr="00995350">
        <w:rPr>
          <w:rFonts w:cs="Arial"/>
          <w:i/>
          <w:sz w:val="21"/>
          <w:szCs w:val="21"/>
        </w:rPr>
        <w:t>Human Rights Act 2019</w:t>
      </w:r>
      <w:r w:rsidRPr="00995350">
        <w:rPr>
          <w:rFonts w:cs="Arial"/>
          <w:sz w:val="21"/>
          <w:szCs w:val="21"/>
        </w:rPr>
        <w:t xml:space="preserve">, the </w:t>
      </w:r>
      <w:r w:rsidR="00A46B82" w:rsidRPr="00995350">
        <w:rPr>
          <w:rFonts w:cs="Arial"/>
          <w:sz w:val="21"/>
          <w:szCs w:val="21"/>
        </w:rPr>
        <w:t>d</w:t>
      </w:r>
      <w:r w:rsidRPr="00995350">
        <w:rPr>
          <w:rFonts w:cs="Arial"/>
          <w:sz w:val="21"/>
          <w:szCs w:val="21"/>
        </w:rPr>
        <w:t xml:space="preserve">epartment, as a public entity, has an obligation to act and make decisions in a way that is compatible with human rights and, when </w:t>
      </w:r>
      <w:proofErr w:type="gramStart"/>
      <w:r w:rsidRPr="00995350">
        <w:rPr>
          <w:rFonts w:cs="Arial"/>
          <w:sz w:val="21"/>
          <w:szCs w:val="21"/>
        </w:rPr>
        <w:t>making a decision</w:t>
      </w:r>
      <w:proofErr w:type="gramEnd"/>
      <w:r w:rsidRPr="00995350">
        <w:rPr>
          <w:rFonts w:cs="Arial"/>
          <w:sz w:val="21"/>
          <w:szCs w:val="21"/>
        </w:rPr>
        <w:t xml:space="preserve">, to give proper consideration to human rights. </w:t>
      </w:r>
    </w:p>
    <w:p w14:paraId="4AC769B3" w14:textId="455C09AD" w:rsidR="00DD084E" w:rsidRPr="00995350" w:rsidRDefault="00DD084E" w:rsidP="00995350">
      <w:pPr>
        <w:widowControl w:val="0"/>
        <w:autoSpaceDE w:val="0"/>
        <w:autoSpaceDN w:val="0"/>
        <w:adjustRightInd w:val="0"/>
        <w:rPr>
          <w:rFonts w:cs="Arial"/>
          <w:sz w:val="21"/>
          <w:szCs w:val="21"/>
        </w:rPr>
      </w:pPr>
      <w:r w:rsidRPr="00995350">
        <w:rPr>
          <w:rFonts w:cs="Arial"/>
          <w:sz w:val="21"/>
          <w:szCs w:val="21"/>
        </w:rPr>
        <w:t xml:space="preserve">This </w:t>
      </w:r>
      <w:r w:rsidR="00613ECD">
        <w:rPr>
          <w:rFonts w:cs="Arial"/>
          <w:sz w:val="21"/>
          <w:szCs w:val="21"/>
        </w:rPr>
        <w:t>Fact Sheet</w:t>
      </w:r>
      <w:r w:rsidRPr="00995350">
        <w:rPr>
          <w:rFonts w:cs="Arial"/>
          <w:sz w:val="21"/>
          <w:szCs w:val="21"/>
        </w:rPr>
        <w:t xml:space="preserve"> provides practitioners, service providers and disability support workers with information about the authorisation and use of restricting access to objects as applied to adults (18 years or older) who:</w:t>
      </w:r>
    </w:p>
    <w:p w14:paraId="0468969C" w14:textId="77777777" w:rsidR="00431731" w:rsidRDefault="00DD084E" w:rsidP="00995350">
      <w:pPr>
        <w:widowControl w:val="0"/>
        <w:numPr>
          <w:ilvl w:val="0"/>
          <w:numId w:val="11"/>
        </w:numPr>
        <w:autoSpaceDE w:val="0"/>
        <w:autoSpaceDN w:val="0"/>
        <w:adjustRightInd w:val="0"/>
        <w:spacing w:after="0"/>
        <w:ind w:left="714" w:hanging="357"/>
        <w:rPr>
          <w:rFonts w:cs="Arial"/>
          <w:sz w:val="21"/>
          <w:szCs w:val="21"/>
        </w:rPr>
      </w:pPr>
      <w:r w:rsidRPr="00995350">
        <w:rPr>
          <w:rFonts w:cs="Arial"/>
          <w:sz w:val="21"/>
          <w:szCs w:val="21"/>
        </w:rPr>
        <w:t>have an intellectual or cognitive disability</w:t>
      </w:r>
    </w:p>
    <w:p w14:paraId="66209DF0" w14:textId="703B37BD" w:rsidR="00431731" w:rsidRDefault="00DD084E" w:rsidP="00995350">
      <w:pPr>
        <w:widowControl w:val="0"/>
        <w:numPr>
          <w:ilvl w:val="0"/>
          <w:numId w:val="11"/>
        </w:numPr>
        <w:autoSpaceDE w:val="0"/>
        <w:autoSpaceDN w:val="0"/>
        <w:adjustRightInd w:val="0"/>
        <w:spacing w:after="0"/>
        <w:ind w:left="714" w:hanging="357"/>
        <w:rPr>
          <w:rFonts w:cs="Arial"/>
          <w:sz w:val="21"/>
          <w:szCs w:val="21"/>
        </w:rPr>
      </w:pPr>
      <w:r w:rsidRPr="00995350">
        <w:rPr>
          <w:rFonts w:cs="Arial"/>
          <w:sz w:val="21"/>
          <w:szCs w:val="21"/>
        </w:rPr>
        <w:t xml:space="preserve">are receiving services provided by </w:t>
      </w:r>
      <w:r w:rsidR="00613ECD">
        <w:rPr>
          <w:rFonts w:cs="Arial"/>
          <w:sz w:val="21"/>
          <w:szCs w:val="21"/>
        </w:rPr>
        <w:t>the department</w:t>
      </w:r>
      <w:r w:rsidRPr="00995350">
        <w:rPr>
          <w:rFonts w:cs="Arial"/>
          <w:sz w:val="21"/>
          <w:szCs w:val="21"/>
        </w:rPr>
        <w:t>, or services prescribed by regulation and funded under a NDIS participant plan</w:t>
      </w:r>
    </w:p>
    <w:p w14:paraId="6BDC2C3C" w14:textId="77777777" w:rsidR="00DD084E" w:rsidRPr="00995350" w:rsidRDefault="00DD084E" w:rsidP="00995350">
      <w:pPr>
        <w:widowControl w:val="0"/>
        <w:numPr>
          <w:ilvl w:val="0"/>
          <w:numId w:val="11"/>
        </w:numPr>
        <w:autoSpaceDE w:val="0"/>
        <w:autoSpaceDN w:val="0"/>
        <w:adjustRightInd w:val="0"/>
        <w:ind w:left="714" w:hanging="357"/>
        <w:rPr>
          <w:rFonts w:cs="Arial"/>
          <w:sz w:val="21"/>
          <w:szCs w:val="21"/>
        </w:rPr>
      </w:pPr>
      <w:r w:rsidRPr="00995350">
        <w:rPr>
          <w:rFonts w:cs="Arial"/>
          <w:sz w:val="21"/>
          <w:szCs w:val="21"/>
        </w:rPr>
        <w:t>behave in a way that causes physical harm or a serious risk of physical harm to themselves or others.</w:t>
      </w:r>
    </w:p>
    <w:p w14:paraId="7899F247" w14:textId="77777777" w:rsidR="00DD084E" w:rsidRPr="00995350" w:rsidRDefault="00DD084E" w:rsidP="00995350">
      <w:pPr>
        <w:widowControl w:val="0"/>
        <w:autoSpaceDE w:val="0"/>
        <w:autoSpaceDN w:val="0"/>
        <w:adjustRightInd w:val="0"/>
        <w:spacing w:after="200"/>
        <w:rPr>
          <w:rFonts w:cs="Arial"/>
          <w:sz w:val="21"/>
          <w:szCs w:val="21"/>
        </w:rPr>
      </w:pPr>
      <w:r w:rsidRPr="00995350">
        <w:rPr>
          <w:rFonts w:cs="Arial"/>
          <w:sz w:val="21"/>
          <w:szCs w:val="21"/>
        </w:rPr>
        <w:t xml:space="preserve">The intent of Part 6 of the </w:t>
      </w:r>
      <w:r w:rsidRPr="00995350">
        <w:rPr>
          <w:rFonts w:cs="Arial"/>
          <w:i/>
          <w:iCs/>
          <w:sz w:val="21"/>
          <w:szCs w:val="21"/>
        </w:rPr>
        <w:t>Disability Services Act 2006</w:t>
      </w:r>
      <w:r w:rsidRPr="00995350">
        <w:rPr>
          <w:rFonts w:cs="Arial"/>
          <w:sz w:val="21"/>
          <w:szCs w:val="21"/>
        </w:rPr>
        <w:t xml:space="preserve"> is to promote positive behaviour support approaches; support the elimination or reduction of the use of restrictive practices; and to reinforce that, if restrictive practices are used, they are to be the least restrictive way of ensuring the safety of the adult or others (as is practicable in the circumstances).</w:t>
      </w:r>
    </w:p>
    <w:p w14:paraId="44F090FE" w14:textId="77777777" w:rsidR="00DD084E" w:rsidRPr="006C1182" w:rsidRDefault="00DD084E" w:rsidP="00995350">
      <w:pPr>
        <w:pStyle w:val="Heading1"/>
      </w:pPr>
      <w:r w:rsidRPr="006C1182">
        <w:t>What is restricting access?</w:t>
      </w:r>
    </w:p>
    <w:p w14:paraId="5BF73C36" w14:textId="77777777" w:rsidR="00DD084E" w:rsidRPr="00995350" w:rsidRDefault="00DD084E" w:rsidP="009423CC">
      <w:pPr>
        <w:widowControl w:val="0"/>
        <w:autoSpaceDE w:val="0"/>
        <w:autoSpaceDN w:val="0"/>
        <w:adjustRightInd w:val="0"/>
        <w:spacing w:after="240"/>
        <w:rPr>
          <w:rFonts w:cs="Arial"/>
          <w:sz w:val="21"/>
          <w:szCs w:val="21"/>
        </w:rPr>
      </w:pPr>
      <w:r w:rsidRPr="00995350">
        <w:rPr>
          <w:rFonts w:cs="Arial"/>
          <w:sz w:val="21"/>
          <w:szCs w:val="21"/>
        </w:rPr>
        <w:t xml:space="preserve">Restricting the access of an adult with an intellectual or cognitive disability means </w:t>
      </w:r>
      <w:r w:rsidRPr="00995350">
        <w:rPr>
          <w:rFonts w:cs="Arial"/>
          <w:i/>
          <w:iCs/>
          <w:sz w:val="21"/>
          <w:szCs w:val="21"/>
        </w:rPr>
        <w:t>restricting the adult’s access, at a place where the adult receives disability services, to an object to prevent the adult using the object to cause harm to the adult or others</w:t>
      </w:r>
      <w:r w:rsidRPr="00995350">
        <w:rPr>
          <w:rFonts w:cs="Arial"/>
          <w:sz w:val="21"/>
          <w:szCs w:val="21"/>
        </w:rPr>
        <w:t>.</w:t>
      </w:r>
    </w:p>
    <w:p w14:paraId="36CDB896" w14:textId="77777777" w:rsidR="00DD084E" w:rsidRPr="006C1182" w:rsidRDefault="00DD084E" w:rsidP="00995350">
      <w:pPr>
        <w:pStyle w:val="Heading2"/>
      </w:pPr>
      <w:r w:rsidRPr="006C1182">
        <w:t xml:space="preserve">Example of restricted access </w:t>
      </w:r>
    </w:p>
    <w:p w14:paraId="0D2F2B96" w14:textId="6898DA02" w:rsidR="00DD084E" w:rsidRPr="00995350" w:rsidRDefault="00DD084E" w:rsidP="00995350">
      <w:pPr>
        <w:widowControl w:val="0"/>
        <w:autoSpaceDE w:val="0"/>
        <w:autoSpaceDN w:val="0"/>
        <w:adjustRightInd w:val="0"/>
        <w:rPr>
          <w:rFonts w:cs="Arial"/>
          <w:i/>
          <w:iCs/>
          <w:sz w:val="21"/>
          <w:szCs w:val="21"/>
        </w:rPr>
      </w:pPr>
      <w:r w:rsidRPr="00995350">
        <w:rPr>
          <w:rFonts w:cs="Arial"/>
          <w:i/>
          <w:iCs/>
          <w:sz w:val="21"/>
          <w:szCs w:val="21"/>
        </w:rPr>
        <w:t>Monica is 33 years of age and lives with another woman in a rented home. They are both supported in their home by paid staff. When Monica was a child</w:t>
      </w:r>
      <w:r w:rsidR="007013AE">
        <w:rPr>
          <w:rFonts w:cs="Arial"/>
          <w:i/>
          <w:iCs/>
          <w:sz w:val="21"/>
          <w:szCs w:val="21"/>
        </w:rPr>
        <w:t>,</w:t>
      </w:r>
      <w:r w:rsidRPr="00995350">
        <w:rPr>
          <w:rFonts w:cs="Arial"/>
          <w:i/>
          <w:iCs/>
          <w:sz w:val="21"/>
          <w:szCs w:val="21"/>
        </w:rPr>
        <w:t xml:space="preserve"> she drank washing up detergent and had to go to hospital. Her parents also said they kept the refrigerator locked as she would drink all the milk and water kept in the refrigerator. The staff have seen her try to drink the washing liquid and stopped her in time and she has been taking all the milk from the refrigerator</w:t>
      </w:r>
      <w:r w:rsidR="00995350">
        <w:rPr>
          <w:rFonts w:cs="Arial"/>
          <w:i/>
          <w:iCs/>
          <w:sz w:val="21"/>
          <w:szCs w:val="21"/>
        </w:rPr>
        <w:t>; Monica has also attempted to consume raw chicken from the fridge on one occasion</w:t>
      </w:r>
      <w:r w:rsidRPr="00995350">
        <w:rPr>
          <w:rFonts w:cs="Arial"/>
          <w:i/>
          <w:iCs/>
          <w:sz w:val="21"/>
          <w:szCs w:val="21"/>
        </w:rPr>
        <w:t xml:space="preserve">. Monica </w:t>
      </w:r>
      <w:r w:rsidR="00386458">
        <w:rPr>
          <w:rFonts w:cs="Arial"/>
          <w:i/>
          <w:iCs/>
          <w:sz w:val="21"/>
          <w:szCs w:val="21"/>
        </w:rPr>
        <w:t xml:space="preserve">eats and </w:t>
      </w:r>
      <w:r w:rsidRPr="00995350">
        <w:rPr>
          <w:rFonts w:cs="Arial"/>
          <w:i/>
          <w:iCs/>
          <w:sz w:val="21"/>
          <w:szCs w:val="21"/>
        </w:rPr>
        <w:t xml:space="preserve">drinks </w:t>
      </w:r>
      <w:proofErr w:type="gramStart"/>
      <w:r w:rsidRPr="00995350">
        <w:rPr>
          <w:rFonts w:cs="Arial"/>
          <w:i/>
          <w:iCs/>
          <w:sz w:val="21"/>
          <w:szCs w:val="21"/>
        </w:rPr>
        <w:t>quickly</w:t>
      </w:r>
      <w:r w:rsidR="00386458">
        <w:rPr>
          <w:rFonts w:cs="Arial"/>
          <w:i/>
          <w:iCs/>
          <w:sz w:val="21"/>
          <w:szCs w:val="21"/>
        </w:rPr>
        <w:t>,</w:t>
      </w:r>
      <w:r w:rsidRPr="00995350">
        <w:rPr>
          <w:rFonts w:cs="Arial"/>
          <w:i/>
          <w:iCs/>
          <w:sz w:val="21"/>
          <w:szCs w:val="21"/>
        </w:rPr>
        <w:t xml:space="preserve"> and</w:t>
      </w:r>
      <w:proofErr w:type="gramEnd"/>
      <w:r w:rsidRPr="00995350">
        <w:rPr>
          <w:rFonts w:cs="Arial"/>
          <w:i/>
          <w:iCs/>
          <w:sz w:val="21"/>
          <w:szCs w:val="21"/>
        </w:rPr>
        <w:t xml:space="preserve"> can cough from choking if staff do not remind her to slow down. Staff are worried they will not be able to stop her from </w:t>
      </w:r>
      <w:r w:rsidR="00386458">
        <w:rPr>
          <w:rFonts w:cs="Arial"/>
          <w:i/>
          <w:iCs/>
          <w:sz w:val="21"/>
          <w:szCs w:val="21"/>
        </w:rPr>
        <w:t xml:space="preserve">eating or </w:t>
      </w:r>
      <w:r w:rsidRPr="00995350">
        <w:rPr>
          <w:rFonts w:cs="Arial"/>
          <w:i/>
          <w:iCs/>
          <w:sz w:val="21"/>
          <w:szCs w:val="21"/>
        </w:rPr>
        <w:t xml:space="preserve">drinking something dangerous and want to lock away anything that Monica may </w:t>
      </w:r>
      <w:r w:rsidR="00386458">
        <w:rPr>
          <w:rFonts w:cs="Arial"/>
          <w:i/>
          <w:iCs/>
          <w:sz w:val="21"/>
          <w:szCs w:val="21"/>
        </w:rPr>
        <w:t xml:space="preserve">eat or </w:t>
      </w:r>
      <w:r w:rsidRPr="00995350">
        <w:rPr>
          <w:rFonts w:cs="Arial"/>
          <w:i/>
          <w:iCs/>
          <w:sz w:val="21"/>
          <w:szCs w:val="21"/>
        </w:rPr>
        <w:t>drink when they are not around. Staff who support her feel that locking these away is the only way to keep her safe. They cannot be with Monica every moment of the day or night to support both Monica and her flat mate.</w:t>
      </w:r>
    </w:p>
    <w:p w14:paraId="65A7CBD8" w14:textId="77777777" w:rsidR="00DD084E" w:rsidRPr="00995350" w:rsidRDefault="00DD084E" w:rsidP="00995350">
      <w:pPr>
        <w:widowControl w:val="0"/>
        <w:autoSpaceDE w:val="0"/>
        <w:autoSpaceDN w:val="0"/>
        <w:adjustRightInd w:val="0"/>
        <w:rPr>
          <w:rFonts w:cs="Arial"/>
          <w:i/>
          <w:iCs/>
          <w:sz w:val="21"/>
          <w:szCs w:val="21"/>
        </w:rPr>
      </w:pPr>
      <w:r w:rsidRPr="00995350">
        <w:rPr>
          <w:rFonts w:cs="Arial"/>
          <w:i/>
          <w:iCs/>
          <w:sz w:val="21"/>
          <w:szCs w:val="21"/>
        </w:rPr>
        <w:t>Monica’s friend Lorna helps Monica with decisions and is recognised by Monica’s parents as her informal decision maker. Monica does not have any other behaviours of concern.</w:t>
      </w:r>
    </w:p>
    <w:p w14:paraId="7143F9B4" w14:textId="77777777" w:rsidR="00DD084E" w:rsidRPr="00995350" w:rsidRDefault="00DD084E" w:rsidP="00995350">
      <w:pPr>
        <w:widowControl w:val="0"/>
        <w:autoSpaceDE w:val="0"/>
        <w:autoSpaceDN w:val="0"/>
        <w:adjustRightInd w:val="0"/>
        <w:rPr>
          <w:rFonts w:cs="Arial"/>
          <w:sz w:val="21"/>
          <w:szCs w:val="21"/>
        </w:rPr>
      </w:pPr>
      <w:r w:rsidRPr="00995350">
        <w:rPr>
          <w:rFonts w:cs="Arial"/>
          <w:sz w:val="21"/>
          <w:szCs w:val="21"/>
        </w:rPr>
        <w:t>When considering locking items away to keep Monica safe, the service provider must give a statement in the approved form to Monica, her family members and others in her support network about locking items away.</w:t>
      </w:r>
    </w:p>
    <w:p w14:paraId="57CF5F3B" w14:textId="6AE11C4C" w:rsidR="00DD084E" w:rsidRPr="00995350" w:rsidRDefault="00DD084E" w:rsidP="00995350">
      <w:pPr>
        <w:widowControl w:val="0"/>
        <w:autoSpaceDE w:val="0"/>
        <w:autoSpaceDN w:val="0"/>
        <w:adjustRightInd w:val="0"/>
        <w:rPr>
          <w:rFonts w:cs="Arial"/>
          <w:sz w:val="21"/>
          <w:szCs w:val="21"/>
        </w:rPr>
      </w:pPr>
      <w:r w:rsidRPr="00995350">
        <w:rPr>
          <w:rFonts w:cs="Arial"/>
          <w:sz w:val="21"/>
          <w:szCs w:val="21"/>
        </w:rPr>
        <w:t>The statement must include why the service provider is considering locking items away; how Monica, her family or others in her support network can be involved and express their views in relation to this practice; who decides whether this practice can be used; and how Monica, her family or others in her support network can make a complaint about, or seek review of, this practice. The statement must be explained in a way that Monica is most likely to understand and is appropriate to her age, culture, disability and communication skills.</w:t>
      </w:r>
    </w:p>
    <w:p w14:paraId="4985498D" w14:textId="273ABBAB" w:rsidR="00DD084E" w:rsidRPr="00995350" w:rsidRDefault="00DD084E" w:rsidP="00995350">
      <w:pPr>
        <w:widowControl w:val="0"/>
        <w:autoSpaceDE w:val="0"/>
        <w:autoSpaceDN w:val="0"/>
        <w:adjustRightInd w:val="0"/>
        <w:rPr>
          <w:rFonts w:cs="Arial"/>
          <w:sz w:val="21"/>
          <w:szCs w:val="21"/>
        </w:rPr>
      </w:pPr>
      <w:r w:rsidRPr="00995350">
        <w:rPr>
          <w:rFonts w:cs="Arial"/>
          <w:sz w:val="21"/>
          <w:szCs w:val="21"/>
        </w:rPr>
        <w:t xml:space="preserve">The service must </w:t>
      </w:r>
      <w:r w:rsidR="00386458">
        <w:rPr>
          <w:rFonts w:cs="Arial"/>
          <w:sz w:val="21"/>
          <w:szCs w:val="21"/>
        </w:rPr>
        <w:t>undertake</w:t>
      </w:r>
      <w:r w:rsidR="00386458" w:rsidRPr="00995350">
        <w:rPr>
          <w:rFonts w:cs="Arial"/>
          <w:sz w:val="21"/>
          <w:szCs w:val="21"/>
        </w:rPr>
        <w:t xml:space="preserve"> </w:t>
      </w:r>
      <w:r w:rsidRPr="00995350">
        <w:rPr>
          <w:rFonts w:cs="Arial"/>
          <w:sz w:val="21"/>
          <w:szCs w:val="21"/>
        </w:rPr>
        <w:t xml:space="preserve">an assessment and try to find out why this behaviour occurs. The staff must talk with Monica, her informal decision maker and staff to evaluate which lifestyle changes may increase </w:t>
      </w:r>
      <w:r w:rsidRPr="00995350">
        <w:rPr>
          <w:rFonts w:cs="Arial"/>
          <w:sz w:val="21"/>
          <w:szCs w:val="21"/>
        </w:rPr>
        <w:lastRenderedPageBreak/>
        <w:t xml:space="preserve">Monica’s quality of life. If locking away anything she may </w:t>
      </w:r>
      <w:r w:rsidR="00386458">
        <w:rPr>
          <w:rFonts w:cs="Arial"/>
          <w:sz w:val="21"/>
          <w:szCs w:val="21"/>
        </w:rPr>
        <w:t xml:space="preserve">eat or </w:t>
      </w:r>
      <w:r w:rsidRPr="00995350">
        <w:rPr>
          <w:rFonts w:cs="Arial"/>
          <w:sz w:val="21"/>
          <w:szCs w:val="21"/>
        </w:rPr>
        <w:t>drink is the best way to keep Monica from hurting herself</w:t>
      </w:r>
      <w:r w:rsidR="00386458">
        <w:rPr>
          <w:rFonts w:cs="Arial"/>
          <w:sz w:val="21"/>
          <w:szCs w:val="21"/>
        </w:rPr>
        <w:t>,</w:t>
      </w:r>
      <w:r w:rsidRPr="00995350">
        <w:rPr>
          <w:rFonts w:cs="Arial"/>
          <w:sz w:val="21"/>
          <w:szCs w:val="21"/>
        </w:rPr>
        <w:t xml:space="preserve"> a Positive Behaviour Support Plan must be written. The Positive Behaviour Support Plan needs to detail the procedure so that Monica’s flatmate can have a drink when she wants one.  As Monica does not have a guardian for restrictive practice matter appointed, Lorna is able to </w:t>
      </w:r>
      <w:r w:rsidR="00386458">
        <w:rPr>
          <w:rFonts w:cs="Arial"/>
          <w:sz w:val="21"/>
          <w:szCs w:val="21"/>
        </w:rPr>
        <w:t>consent to a PBSP that includes</w:t>
      </w:r>
      <w:r w:rsidR="00386458" w:rsidRPr="00995350">
        <w:rPr>
          <w:rFonts w:cs="Arial"/>
          <w:sz w:val="21"/>
          <w:szCs w:val="21"/>
        </w:rPr>
        <w:t xml:space="preserve"> </w:t>
      </w:r>
      <w:r w:rsidRPr="00995350">
        <w:rPr>
          <w:rFonts w:cs="Arial"/>
          <w:sz w:val="21"/>
          <w:szCs w:val="21"/>
        </w:rPr>
        <w:t>locking away the dangerous liquids and putting a lock on the refrigerator</w:t>
      </w:r>
      <w:r w:rsidR="00386458">
        <w:rPr>
          <w:rFonts w:cs="Arial"/>
          <w:sz w:val="21"/>
          <w:szCs w:val="21"/>
        </w:rPr>
        <w:t xml:space="preserve"> as restricting </w:t>
      </w:r>
      <w:proofErr w:type="gramStart"/>
      <w:r w:rsidR="00386458">
        <w:rPr>
          <w:rFonts w:cs="Arial"/>
          <w:sz w:val="21"/>
          <w:szCs w:val="21"/>
        </w:rPr>
        <w:t>access.</w:t>
      </w:r>
      <w:r w:rsidRPr="00995350">
        <w:rPr>
          <w:rFonts w:cs="Arial"/>
          <w:sz w:val="21"/>
          <w:szCs w:val="21"/>
        </w:rPr>
        <w:t>.</w:t>
      </w:r>
      <w:proofErr w:type="gramEnd"/>
    </w:p>
    <w:p w14:paraId="19638E60" w14:textId="72728762" w:rsidR="00DD084E" w:rsidRPr="00995350" w:rsidRDefault="00DD084E" w:rsidP="00995350">
      <w:pPr>
        <w:widowControl w:val="0"/>
        <w:autoSpaceDE w:val="0"/>
        <w:autoSpaceDN w:val="0"/>
        <w:adjustRightInd w:val="0"/>
        <w:rPr>
          <w:rFonts w:cs="Arial"/>
          <w:sz w:val="21"/>
          <w:szCs w:val="21"/>
        </w:rPr>
      </w:pPr>
      <w:r w:rsidRPr="00995350">
        <w:rPr>
          <w:rFonts w:cs="Arial"/>
          <w:sz w:val="21"/>
          <w:szCs w:val="21"/>
        </w:rPr>
        <w:t>Other examples of restricting access to objects are:</w:t>
      </w:r>
    </w:p>
    <w:p w14:paraId="1B59BEC9" w14:textId="133E67C4" w:rsidR="00DD084E" w:rsidRPr="00995350" w:rsidRDefault="00DD084E" w:rsidP="00386458">
      <w:pPr>
        <w:widowControl w:val="0"/>
        <w:numPr>
          <w:ilvl w:val="0"/>
          <w:numId w:val="11"/>
        </w:numPr>
        <w:autoSpaceDE w:val="0"/>
        <w:autoSpaceDN w:val="0"/>
        <w:adjustRightInd w:val="0"/>
        <w:spacing w:after="100"/>
        <w:ind w:left="714" w:hanging="357"/>
        <w:rPr>
          <w:rFonts w:cs="Arial"/>
          <w:sz w:val="21"/>
          <w:szCs w:val="21"/>
        </w:rPr>
      </w:pPr>
      <w:r w:rsidRPr="00995350">
        <w:rPr>
          <w:rFonts w:cs="Arial"/>
          <w:sz w:val="21"/>
          <w:szCs w:val="21"/>
        </w:rPr>
        <w:t>removing an adult’s possession or stopping them from using an item they own</w:t>
      </w:r>
      <w:r w:rsidR="00184E1D" w:rsidRPr="00995350">
        <w:rPr>
          <w:rFonts w:cs="Arial"/>
          <w:sz w:val="21"/>
          <w:szCs w:val="21"/>
        </w:rPr>
        <w:t>,</w:t>
      </w:r>
      <w:r w:rsidRPr="00995350">
        <w:rPr>
          <w:rFonts w:cs="Arial"/>
          <w:sz w:val="21"/>
          <w:szCs w:val="21"/>
        </w:rPr>
        <w:t xml:space="preserve"> e.g.</w:t>
      </w:r>
      <w:r w:rsidR="00184E1D" w:rsidRPr="00995350">
        <w:rPr>
          <w:rFonts w:cs="Arial"/>
          <w:sz w:val="21"/>
          <w:szCs w:val="21"/>
        </w:rPr>
        <w:t>,</w:t>
      </w:r>
      <w:r w:rsidRPr="00995350">
        <w:rPr>
          <w:rFonts w:cs="Arial"/>
          <w:sz w:val="21"/>
          <w:szCs w:val="21"/>
        </w:rPr>
        <w:t xml:space="preserve"> radio, television, toy</w:t>
      </w:r>
    </w:p>
    <w:p w14:paraId="5CF8EA8D" w14:textId="5C1F791B" w:rsidR="00DD084E" w:rsidRPr="00995350" w:rsidRDefault="00DD084E" w:rsidP="00386458">
      <w:pPr>
        <w:widowControl w:val="0"/>
        <w:numPr>
          <w:ilvl w:val="0"/>
          <w:numId w:val="11"/>
        </w:numPr>
        <w:autoSpaceDE w:val="0"/>
        <w:autoSpaceDN w:val="0"/>
        <w:adjustRightInd w:val="0"/>
        <w:spacing w:after="100"/>
        <w:ind w:left="714" w:hanging="357"/>
        <w:rPr>
          <w:rFonts w:cs="Arial"/>
          <w:sz w:val="21"/>
          <w:szCs w:val="21"/>
        </w:rPr>
      </w:pPr>
      <w:r w:rsidRPr="00995350">
        <w:rPr>
          <w:rFonts w:cs="Arial"/>
          <w:sz w:val="21"/>
          <w:szCs w:val="21"/>
        </w:rPr>
        <w:t>stopping an adult from using the telephone in their house</w:t>
      </w:r>
    </w:p>
    <w:p w14:paraId="544B12A4" w14:textId="3E75F5C6" w:rsidR="00DD084E" w:rsidRPr="00995350" w:rsidRDefault="00DD084E" w:rsidP="00386458">
      <w:pPr>
        <w:widowControl w:val="0"/>
        <w:numPr>
          <w:ilvl w:val="0"/>
          <w:numId w:val="11"/>
        </w:numPr>
        <w:autoSpaceDE w:val="0"/>
        <w:autoSpaceDN w:val="0"/>
        <w:adjustRightInd w:val="0"/>
        <w:spacing w:after="100"/>
        <w:ind w:left="714" w:hanging="357"/>
        <w:rPr>
          <w:rFonts w:cs="Arial"/>
          <w:sz w:val="21"/>
          <w:szCs w:val="21"/>
        </w:rPr>
      </w:pPr>
      <w:r w:rsidRPr="00995350">
        <w:rPr>
          <w:rFonts w:cs="Arial"/>
          <w:sz w:val="21"/>
          <w:szCs w:val="21"/>
        </w:rPr>
        <w:t>stopping an adult from going into a room in their home (other than another person’s bedroom unless agreed by the person whose bedroom it is)</w:t>
      </w:r>
    </w:p>
    <w:p w14:paraId="5F16FB3D" w14:textId="77777777" w:rsidR="00DD084E" w:rsidRPr="00995350" w:rsidRDefault="00DD084E" w:rsidP="009423CC">
      <w:pPr>
        <w:widowControl w:val="0"/>
        <w:numPr>
          <w:ilvl w:val="0"/>
          <w:numId w:val="11"/>
        </w:numPr>
        <w:autoSpaceDE w:val="0"/>
        <w:autoSpaceDN w:val="0"/>
        <w:adjustRightInd w:val="0"/>
        <w:ind w:left="714" w:hanging="357"/>
        <w:rPr>
          <w:rFonts w:cs="Arial"/>
          <w:sz w:val="21"/>
          <w:szCs w:val="21"/>
        </w:rPr>
      </w:pPr>
      <w:r w:rsidRPr="00995350">
        <w:rPr>
          <w:rFonts w:cs="Arial"/>
          <w:sz w:val="21"/>
          <w:szCs w:val="21"/>
        </w:rPr>
        <w:t>putting a lock or similar on the refrigerator door or food cupboard to stop an adult from accessing the contents.</w:t>
      </w:r>
    </w:p>
    <w:p w14:paraId="0FB12EF3" w14:textId="5ECDF998" w:rsidR="00DD084E" w:rsidRPr="00386458" w:rsidRDefault="00DD084E" w:rsidP="00386458">
      <w:pPr>
        <w:widowControl w:val="0"/>
        <w:autoSpaceDE w:val="0"/>
        <w:autoSpaceDN w:val="0"/>
        <w:adjustRightInd w:val="0"/>
        <w:spacing w:after="200"/>
        <w:rPr>
          <w:rFonts w:cs="Arial"/>
          <w:sz w:val="21"/>
          <w:szCs w:val="21"/>
        </w:rPr>
      </w:pPr>
      <w:r w:rsidRPr="00995350">
        <w:rPr>
          <w:rFonts w:cs="Arial"/>
          <w:sz w:val="21"/>
          <w:szCs w:val="21"/>
        </w:rPr>
        <w:t xml:space="preserve">The Act </w:t>
      </w:r>
      <w:r w:rsidR="003D6B66">
        <w:rPr>
          <w:rFonts w:cs="Arial"/>
          <w:sz w:val="21"/>
          <w:szCs w:val="21"/>
        </w:rPr>
        <w:t>stipulates</w:t>
      </w:r>
      <w:r w:rsidR="003D6B66" w:rsidRPr="00386458">
        <w:rPr>
          <w:rFonts w:cs="Arial"/>
          <w:sz w:val="21"/>
          <w:szCs w:val="21"/>
        </w:rPr>
        <w:t xml:space="preserve"> </w:t>
      </w:r>
      <w:r w:rsidRPr="00386458">
        <w:rPr>
          <w:rFonts w:cs="Arial"/>
          <w:sz w:val="21"/>
          <w:szCs w:val="21"/>
        </w:rPr>
        <w:t>that restricting access</w:t>
      </w:r>
      <w:r w:rsidR="00613ECD">
        <w:rPr>
          <w:rFonts w:cs="Arial"/>
          <w:sz w:val="21"/>
          <w:szCs w:val="21"/>
        </w:rPr>
        <w:t xml:space="preserve"> must</w:t>
      </w:r>
      <w:r w:rsidR="007013AE">
        <w:rPr>
          <w:rFonts w:cs="Arial"/>
          <w:sz w:val="21"/>
          <w:szCs w:val="21"/>
        </w:rPr>
        <w:t xml:space="preserve"> </w:t>
      </w:r>
      <w:r w:rsidRPr="00386458">
        <w:rPr>
          <w:rFonts w:cs="Arial"/>
          <w:sz w:val="21"/>
          <w:szCs w:val="21"/>
        </w:rPr>
        <w:t>not be used punitively</w:t>
      </w:r>
      <w:r w:rsidR="00386458">
        <w:rPr>
          <w:rFonts w:cs="Arial"/>
          <w:sz w:val="21"/>
          <w:szCs w:val="21"/>
        </w:rPr>
        <w:t>,</w:t>
      </w:r>
      <w:r w:rsidRPr="00386458">
        <w:rPr>
          <w:rFonts w:cs="Arial"/>
          <w:sz w:val="21"/>
          <w:szCs w:val="21"/>
        </w:rPr>
        <w:t xml:space="preserve"> or in response to behaviour that does not cause harm to the adult or others. Locking away items or stopping an adult from using an item to punish them violates the adult’s human rights and is therefore against the law.  </w:t>
      </w:r>
    </w:p>
    <w:p w14:paraId="1B62E750" w14:textId="3D17BE05" w:rsidR="00DD084E" w:rsidRPr="00386458" w:rsidRDefault="00DD084E" w:rsidP="003D6B66">
      <w:pPr>
        <w:pStyle w:val="Heading1"/>
        <w:rPr>
          <w:bCs w:val="0"/>
        </w:rPr>
      </w:pPr>
      <w:r w:rsidRPr="00386458">
        <w:t>When should restrict</w:t>
      </w:r>
      <w:r w:rsidR="003D6B66">
        <w:t xml:space="preserve">ing access </w:t>
      </w:r>
      <w:r w:rsidRPr="00386458">
        <w:t>be considered?</w:t>
      </w:r>
    </w:p>
    <w:p w14:paraId="3C50A308" w14:textId="653EDD2F" w:rsidR="00DD084E" w:rsidRPr="00386458" w:rsidRDefault="00DD084E" w:rsidP="00386458">
      <w:pPr>
        <w:widowControl w:val="0"/>
        <w:autoSpaceDE w:val="0"/>
        <w:autoSpaceDN w:val="0"/>
        <w:adjustRightInd w:val="0"/>
        <w:rPr>
          <w:rFonts w:cs="Arial"/>
          <w:sz w:val="21"/>
          <w:szCs w:val="21"/>
        </w:rPr>
      </w:pPr>
      <w:r w:rsidRPr="00386458">
        <w:rPr>
          <w:rFonts w:cs="Arial"/>
          <w:sz w:val="21"/>
          <w:szCs w:val="21"/>
        </w:rPr>
        <w:t xml:space="preserve">Restricting access as a form of restrictive practice may be considered for use by services provided or funded by </w:t>
      </w:r>
      <w:r w:rsidR="00613ECD">
        <w:rPr>
          <w:rFonts w:cs="Arial"/>
          <w:sz w:val="21"/>
          <w:szCs w:val="21"/>
        </w:rPr>
        <w:t>the department</w:t>
      </w:r>
      <w:r w:rsidRPr="00386458">
        <w:rPr>
          <w:rFonts w:cs="Arial"/>
          <w:sz w:val="21"/>
          <w:szCs w:val="21"/>
        </w:rPr>
        <w:t>, or services prescribed by regulation and funded under a NDIS participant plan in the following circumstances:</w:t>
      </w:r>
    </w:p>
    <w:p w14:paraId="7C8B41DE" w14:textId="52E19DDB"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As </w:t>
      </w:r>
      <w:r w:rsidR="00DD084E" w:rsidRPr="003D6B66">
        <w:rPr>
          <w:rFonts w:cs="Arial"/>
          <w:sz w:val="21"/>
          <w:szCs w:val="21"/>
        </w:rPr>
        <w:t xml:space="preserve">part of a </w:t>
      </w:r>
      <w:r w:rsidR="00303936" w:rsidRPr="003D6B66">
        <w:rPr>
          <w:rFonts w:cs="Arial"/>
          <w:sz w:val="21"/>
          <w:szCs w:val="21"/>
        </w:rPr>
        <w:t xml:space="preserve">Positive Behaviour Support Plan </w:t>
      </w:r>
      <w:r w:rsidR="00DD084E" w:rsidRPr="003D6B66">
        <w:rPr>
          <w:rFonts w:cs="Arial"/>
          <w:sz w:val="21"/>
          <w:szCs w:val="21"/>
        </w:rPr>
        <w:t>that promotes positive outcomes for the adult and supports the reduction or elimination of restrictive practices</w:t>
      </w:r>
      <w:r>
        <w:rPr>
          <w:rFonts w:cs="Arial"/>
          <w:sz w:val="21"/>
          <w:szCs w:val="21"/>
        </w:rPr>
        <w:t>.</w:t>
      </w:r>
    </w:p>
    <w:p w14:paraId="056AEB4C" w14:textId="3471C4CF"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As </w:t>
      </w:r>
      <w:r w:rsidR="00DD084E" w:rsidRPr="003D6B66">
        <w:rPr>
          <w:rFonts w:cs="Arial"/>
          <w:sz w:val="21"/>
          <w:szCs w:val="21"/>
        </w:rPr>
        <w:t>the least restrictive way to prevent the adult’s behaviour causing harm to the adult or others</w:t>
      </w:r>
      <w:r>
        <w:rPr>
          <w:rFonts w:cs="Arial"/>
          <w:sz w:val="21"/>
          <w:szCs w:val="21"/>
        </w:rPr>
        <w:t>.</w:t>
      </w:r>
    </w:p>
    <w:p w14:paraId="71D169A5" w14:textId="235F17DC" w:rsidR="00DD084E" w:rsidRPr="003D6B66" w:rsidRDefault="002165A0" w:rsidP="009423CC">
      <w:pPr>
        <w:widowControl w:val="0"/>
        <w:numPr>
          <w:ilvl w:val="0"/>
          <w:numId w:val="11"/>
        </w:numPr>
        <w:autoSpaceDE w:val="0"/>
        <w:autoSpaceDN w:val="0"/>
        <w:adjustRightInd w:val="0"/>
        <w:ind w:left="714" w:hanging="357"/>
        <w:rPr>
          <w:rFonts w:cs="Arial"/>
          <w:sz w:val="21"/>
          <w:szCs w:val="21"/>
        </w:rPr>
      </w:pPr>
      <w:r w:rsidRPr="002165A0">
        <w:rPr>
          <w:rFonts w:cs="Arial"/>
          <w:sz w:val="21"/>
          <w:szCs w:val="21"/>
        </w:rPr>
        <w:t xml:space="preserve">As </w:t>
      </w:r>
      <w:r w:rsidR="00DD084E" w:rsidRPr="003D6B66">
        <w:rPr>
          <w:rFonts w:cs="Arial"/>
          <w:sz w:val="21"/>
          <w:szCs w:val="21"/>
        </w:rPr>
        <w:t>a time-limited response where there is a need to safeguard the adult and others from harm associated with the occurrence of the adult’s behaviour.</w:t>
      </w:r>
    </w:p>
    <w:p w14:paraId="09CED123" w14:textId="0B980268" w:rsidR="00DD084E" w:rsidRPr="003D6B66" w:rsidRDefault="00DD084E" w:rsidP="003D6B66">
      <w:pPr>
        <w:pStyle w:val="Heading2"/>
        <w:rPr>
          <w:b w:val="0"/>
          <w:bCs w:val="0"/>
        </w:rPr>
      </w:pPr>
      <w:r w:rsidRPr="003D6B66">
        <w:t>Considerations for the use of restrict</w:t>
      </w:r>
      <w:r w:rsidR="007033C6">
        <w:t>ing</w:t>
      </w:r>
      <w:r w:rsidRPr="003D6B66">
        <w:t xml:space="preserve"> access strategies</w:t>
      </w:r>
    </w:p>
    <w:p w14:paraId="5E39D84C" w14:textId="61A11503" w:rsidR="00DD084E" w:rsidRPr="003D6B66" w:rsidRDefault="00DD084E" w:rsidP="003D6B66">
      <w:pPr>
        <w:widowControl w:val="0"/>
        <w:autoSpaceDE w:val="0"/>
        <w:autoSpaceDN w:val="0"/>
        <w:adjustRightInd w:val="0"/>
        <w:rPr>
          <w:rFonts w:cs="Arial"/>
          <w:sz w:val="21"/>
          <w:szCs w:val="21"/>
        </w:rPr>
      </w:pPr>
      <w:proofErr w:type="gramStart"/>
      <w:r w:rsidRPr="003D6B66">
        <w:rPr>
          <w:rFonts w:cs="Arial"/>
          <w:sz w:val="21"/>
          <w:szCs w:val="21"/>
        </w:rPr>
        <w:t>A number of</w:t>
      </w:r>
      <w:proofErr w:type="gramEnd"/>
      <w:r w:rsidRPr="003D6B66">
        <w:rPr>
          <w:rFonts w:cs="Arial"/>
          <w:sz w:val="21"/>
          <w:szCs w:val="21"/>
        </w:rPr>
        <w:t xml:space="preserve"> factors must be considered with regard to restrict</w:t>
      </w:r>
      <w:r w:rsidR="007033C6">
        <w:rPr>
          <w:rFonts w:cs="Arial"/>
          <w:sz w:val="21"/>
          <w:szCs w:val="21"/>
        </w:rPr>
        <w:t>ing</w:t>
      </w:r>
      <w:r w:rsidRPr="003D6B66">
        <w:rPr>
          <w:rFonts w:cs="Arial"/>
          <w:sz w:val="21"/>
          <w:szCs w:val="21"/>
        </w:rPr>
        <w:t xml:space="preserve"> access strategies in relation to an adult with an intellectual or cognitive disability:</w:t>
      </w:r>
    </w:p>
    <w:p w14:paraId="6C2BB85E" w14:textId="2C15DDC8"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The </w:t>
      </w:r>
      <w:r w:rsidR="00DD084E" w:rsidRPr="003D6B66">
        <w:rPr>
          <w:rFonts w:cs="Arial"/>
          <w:sz w:val="21"/>
          <w:szCs w:val="21"/>
        </w:rPr>
        <w:t>relevant service provider must give a statement in the approved form about the use of restrict</w:t>
      </w:r>
      <w:r w:rsidR="007033C6">
        <w:rPr>
          <w:rFonts w:cs="Arial"/>
          <w:sz w:val="21"/>
          <w:szCs w:val="21"/>
        </w:rPr>
        <w:t>ing</w:t>
      </w:r>
      <w:r w:rsidR="00DD084E" w:rsidRPr="003D6B66">
        <w:rPr>
          <w:rFonts w:cs="Arial"/>
          <w:sz w:val="21"/>
          <w:szCs w:val="21"/>
        </w:rPr>
        <w:t xml:space="preserve"> access strategies to the adult, their family members and others in the adult’s support network</w:t>
      </w:r>
      <w:r>
        <w:rPr>
          <w:rFonts w:cs="Arial"/>
          <w:sz w:val="21"/>
          <w:szCs w:val="21"/>
        </w:rPr>
        <w:t>.</w:t>
      </w:r>
    </w:p>
    <w:p w14:paraId="644CE967" w14:textId="7944A7C5"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The </w:t>
      </w:r>
      <w:r w:rsidR="00DD084E" w:rsidRPr="003D6B66">
        <w:rPr>
          <w:rFonts w:cs="Arial"/>
          <w:sz w:val="21"/>
          <w:szCs w:val="21"/>
        </w:rPr>
        <w:t>benefit of the use of restrict</w:t>
      </w:r>
      <w:r w:rsidR="007033C6">
        <w:rPr>
          <w:rFonts w:cs="Arial"/>
          <w:sz w:val="21"/>
          <w:szCs w:val="21"/>
        </w:rPr>
        <w:t>ing</w:t>
      </w:r>
      <w:r w:rsidR="00DD084E" w:rsidRPr="003D6B66">
        <w:rPr>
          <w:rFonts w:cs="Arial"/>
          <w:sz w:val="21"/>
          <w:szCs w:val="21"/>
        </w:rPr>
        <w:t xml:space="preserve"> access strategies to the adult must outweigh the possible negative effects on the adult and the risk involved if the restrictive practice is not used</w:t>
      </w:r>
      <w:r>
        <w:rPr>
          <w:rFonts w:cs="Arial"/>
          <w:sz w:val="21"/>
          <w:szCs w:val="21"/>
        </w:rPr>
        <w:t>.</w:t>
      </w:r>
    </w:p>
    <w:p w14:paraId="75A30CFA" w14:textId="59E535B6"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Less</w:t>
      </w:r>
      <w:r w:rsidR="00DD084E" w:rsidRPr="003D6B66">
        <w:rPr>
          <w:rFonts w:cs="Arial"/>
          <w:sz w:val="21"/>
          <w:szCs w:val="21"/>
        </w:rPr>
        <w:t>-restrictive alternatives have been considered and found to be inappropriate or ineffective</w:t>
      </w:r>
      <w:r>
        <w:rPr>
          <w:rFonts w:cs="Arial"/>
          <w:sz w:val="21"/>
          <w:szCs w:val="21"/>
        </w:rPr>
        <w:t>.</w:t>
      </w:r>
    </w:p>
    <w:p w14:paraId="0B35B6A1" w14:textId="49EE7534"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Restrict</w:t>
      </w:r>
      <w:r w:rsidR="007033C6">
        <w:rPr>
          <w:rFonts w:cs="Arial"/>
          <w:sz w:val="21"/>
          <w:szCs w:val="21"/>
        </w:rPr>
        <w:t>ing</w:t>
      </w:r>
      <w:r w:rsidRPr="002165A0">
        <w:rPr>
          <w:rFonts w:cs="Arial"/>
          <w:sz w:val="21"/>
          <w:szCs w:val="21"/>
        </w:rPr>
        <w:t xml:space="preserve"> </w:t>
      </w:r>
      <w:r w:rsidR="00DD084E" w:rsidRPr="003D6B66">
        <w:rPr>
          <w:rFonts w:cs="Arial"/>
          <w:sz w:val="21"/>
          <w:szCs w:val="21"/>
        </w:rPr>
        <w:t>access strategies are considered a short-term response only</w:t>
      </w:r>
      <w:r>
        <w:rPr>
          <w:rFonts w:cs="Arial"/>
          <w:sz w:val="21"/>
          <w:szCs w:val="21"/>
        </w:rPr>
        <w:t>.</w:t>
      </w:r>
    </w:p>
    <w:p w14:paraId="26ABEFDE" w14:textId="5C132EB8"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A </w:t>
      </w:r>
      <w:r w:rsidR="00D55650" w:rsidRPr="003D6B66">
        <w:rPr>
          <w:rFonts w:cs="Arial"/>
          <w:sz w:val="21"/>
          <w:szCs w:val="21"/>
        </w:rPr>
        <w:t xml:space="preserve">Positive Behaviour Support Plan </w:t>
      </w:r>
      <w:r w:rsidR="00DD084E" w:rsidRPr="003D6B66">
        <w:rPr>
          <w:rFonts w:cs="Arial"/>
          <w:sz w:val="21"/>
          <w:szCs w:val="21"/>
        </w:rPr>
        <w:t>has been developed, which details the use of the restrictive practice in the context of a proactive framework for reducing or eliminating challenging behavio</w:t>
      </w:r>
      <w:r w:rsidR="00D55650" w:rsidRPr="003D6B66">
        <w:rPr>
          <w:rFonts w:cs="Arial"/>
          <w:sz w:val="21"/>
          <w:szCs w:val="21"/>
        </w:rPr>
        <w:t>u</w:t>
      </w:r>
      <w:r w:rsidR="00DD084E" w:rsidRPr="003D6B66">
        <w:rPr>
          <w:rFonts w:cs="Arial"/>
          <w:sz w:val="21"/>
          <w:szCs w:val="21"/>
        </w:rPr>
        <w:t>r</w:t>
      </w:r>
      <w:r>
        <w:rPr>
          <w:rFonts w:cs="Arial"/>
          <w:sz w:val="21"/>
          <w:szCs w:val="21"/>
        </w:rPr>
        <w:t>.</w:t>
      </w:r>
    </w:p>
    <w:p w14:paraId="2D1DE606" w14:textId="66F43916"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Support </w:t>
      </w:r>
      <w:r w:rsidR="00DD084E" w:rsidRPr="003D6B66">
        <w:rPr>
          <w:rFonts w:cs="Arial"/>
          <w:sz w:val="21"/>
          <w:szCs w:val="21"/>
        </w:rPr>
        <w:t>staff and others have been trained in the use of the practice and assessed as competent</w:t>
      </w:r>
      <w:r>
        <w:rPr>
          <w:rFonts w:cs="Arial"/>
          <w:sz w:val="21"/>
          <w:szCs w:val="21"/>
        </w:rPr>
        <w:t>.</w:t>
      </w:r>
    </w:p>
    <w:p w14:paraId="6F0E4DDE" w14:textId="423EDE94"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Systems </w:t>
      </w:r>
      <w:r w:rsidR="00DD084E" w:rsidRPr="003D6B66">
        <w:rPr>
          <w:rFonts w:cs="Arial"/>
          <w:sz w:val="21"/>
          <w:szCs w:val="21"/>
        </w:rPr>
        <w:t>have been put in place to allow the ongoing monitoring and review of the use of the practice</w:t>
      </w:r>
      <w:r>
        <w:rPr>
          <w:rFonts w:cs="Arial"/>
          <w:sz w:val="21"/>
          <w:szCs w:val="21"/>
        </w:rPr>
        <w:t>.</w:t>
      </w:r>
    </w:p>
    <w:p w14:paraId="12CE27C0" w14:textId="38694DA5"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The </w:t>
      </w:r>
      <w:r w:rsidR="00DD084E" w:rsidRPr="003D6B66">
        <w:rPr>
          <w:rFonts w:cs="Arial"/>
          <w:sz w:val="21"/>
          <w:szCs w:val="21"/>
        </w:rPr>
        <w:t>practice must be reviewed within established timeframes</w:t>
      </w:r>
      <w:r>
        <w:rPr>
          <w:rFonts w:cs="Arial"/>
          <w:sz w:val="21"/>
          <w:szCs w:val="21"/>
        </w:rPr>
        <w:t>.</w:t>
      </w:r>
    </w:p>
    <w:p w14:paraId="09D7AC06" w14:textId="3AD493E7"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The </w:t>
      </w:r>
      <w:r w:rsidR="00DD084E" w:rsidRPr="003D6B66">
        <w:rPr>
          <w:rFonts w:cs="Arial"/>
          <w:sz w:val="21"/>
          <w:szCs w:val="21"/>
        </w:rPr>
        <w:t>adult with a disability, their family and relevant others must be involved and consulted at all stages of the process, including assessment, plan design, implementation and review</w:t>
      </w:r>
      <w:r>
        <w:rPr>
          <w:rFonts w:cs="Arial"/>
          <w:sz w:val="21"/>
          <w:szCs w:val="21"/>
        </w:rPr>
        <w:t>.</w:t>
      </w:r>
    </w:p>
    <w:p w14:paraId="31EF094B" w14:textId="083AC583" w:rsidR="00DD084E" w:rsidRPr="003D6B66" w:rsidRDefault="002165A0" w:rsidP="003D6B66">
      <w:pPr>
        <w:widowControl w:val="0"/>
        <w:numPr>
          <w:ilvl w:val="0"/>
          <w:numId w:val="11"/>
        </w:numPr>
        <w:autoSpaceDE w:val="0"/>
        <w:autoSpaceDN w:val="0"/>
        <w:adjustRightInd w:val="0"/>
        <w:spacing w:after="100"/>
        <w:ind w:left="714" w:hanging="357"/>
        <w:rPr>
          <w:rFonts w:cs="Arial"/>
          <w:sz w:val="21"/>
          <w:szCs w:val="21"/>
        </w:rPr>
      </w:pPr>
      <w:r w:rsidRPr="002165A0">
        <w:rPr>
          <w:rFonts w:cs="Arial"/>
          <w:sz w:val="21"/>
          <w:szCs w:val="21"/>
        </w:rPr>
        <w:t xml:space="preserve">The </w:t>
      </w:r>
      <w:r w:rsidR="00DD084E" w:rsidRPr="003D6B66">
        <w:rPr>
          <w:rFonts w:cs="Arial"/>
          <w:sz w:val="21"/>
          <w:szCs w:val="21"/>
        </w:rPr>
        <w:t>adult’s unique attributes must be considered, including their communication support needs as well as their cultural, linguistic and social background</w:t>
      </w:r>
      <w:r>
        <w:rPr>
          <w:rFonts w:cs="Arial"/>
          <w:sz w:val="21"/>
          <w:szCs w:val="21"/>
        </w:rPr>
        <w:t>.</w:t>
      </w:r>
    </w:p>
    <w:p w14:paraId="3A44550B" w14:textId="0D3D6BD1" w:rsidR="00DD084E" w:rsidRPr="003D6B66" w:rsidRDefault="002165A0" w:rsidP="003D6B66">
      <w:pPr>
        <w:widowControl w:val="0"/>
        <w:numPr>
          <w:ilvl w:val="0"/>
          <w:numId w:val="11"/>
        </w:numPr>
        <w:autoSpaceDE w:val="0"/>
        <w:autoSpaceDN w:val="0"/>
        <w:adjustRightInd w:val="0"/>
        <w:ind w:left="714" w:hanging="357"/>
        <w:rPr>
          <w:rFonts w:cs="Arial"/>
          <w:sz w:val="21"/>
          <w:szCs w:val="21"/>
        </w:rPr>
      </w:pPr>
      <w:r w:rsidRPr="002165A0">
        <w:rPr>
          <w:rFonts w:cs="Arial"/>
          <w:sz w:val="21"/>
          <w:szCs w:val="21"/>
        </w:rPr>
        <w:t xml:space="preserve">Authorisation </w:t>
      </w:r>
      <w:r w:rsidR="00DD084E" w:rsidRPr="003D6B66">
        <w:rPr>
          <w:rFonts w:cs="Arial"/>
          <w:sz w:val="21"/>
          <w:szCs w:val="21"/>
        </w:rPr>
        <w:t>has been obtained from the relevant decision maker prior to implementation.</w:t>
      </w:r>
    </w:p>
    <w:p w14:paraId="6A7F55D2" w14:textId="148F480B" w:rsidR="00DD084E" w:rsidRPr="003D6B66" w:rsidRDefault="00DD084E" w:rsidP="003D6B66">
      <w:pPr>
        <w:widowControl w:val="0"/>
        <w:autoSpaceDE w:val="0"/>
        <w:autoSpaceDN w:val="0"/>
        <w:adjustRightInd w:val="0"/>
        <w:spacing w:after="200"/>
        <w:rPr>
          <w:rFonts w:cs="Arial"/>
          <w:sz w:val="21"/>
          <w:szCs w:val="21"/>
        </w:rPr>
      </w:pPr>
      <w:r w:rsidRPr="003D6B66">
        <w:rPr>
          <w:rFonts w:cs="Arial"/>
          <w:sz w:val="21"/>
          <w:szCs w:val="21"/>
        </w:rPr>
        <w:t>Restrict</w:t>
      </w:r>
      <w:r w:rsidR="007033C6">
        <w:rPr>
          <w:rFonts w:cs="Arial"/>
          <w:sz w:val="21"/>
          <w:szCs w:val="21"/>
        </w:rPr>
        <w:t>ing</w:t>
      </w:r>
      <w:r w:rsidRPr="003D6B66">
        <w:rPr>
          <w:rFonts w:cs="Arial"/>
          <w:sz w:val="21"/>
          <w:szCs w:val="21"/>
        </w:rPr>
        <w:t xml:space="preserve"> access strategies must not be used as a form of punishment or for organisational convenience</w:t>
      </w:r>
      <w:r w:rsidR="003E0649">
        <w:rPr>
          <w:rFonts w:cs="Arial"/>
          <w:sz w:val="21"/>
          <w:szCs w:val="21"/>
        </w:rPr>
        <w:t xml:space="preserve"> (</w:t>
      </w:r>
      <w:proofErr w:type="gramStart"/>
      <w:r w:rsidR="003E0649">
        <w:rPr>
          <w:rFonts w:cs="Arial"/>
          <w:sz w:val="21"/>
          <w:szCs w:val="21"/>
        </w:rPr>
        <w:t>e.g.</w:t>
      </w:r>
      <w:proofErr w:type="gramEnd"/>
      <w:r w:rsidR="003E0649">
        <w:rPr>
          <w:rFonts w:cs="Arial"/>
          <w:sz w:val="21"/>
          <w:szCs w:val="21"/>
        </w:rPr>
        <w:t xml:space="preserve"> </w:t>
      </w:r>
      <w:r w:rsidR="00B1115D">
        <w:rPr>
          <w:rFonts w:cs="Arial"/>
          <w:sz w:val="21"/>
          <w:szCs w:val="21"/>
        </w:rPr>
        <w:t>rostering issues or staff shortage)</w:t>
      </w:r>
      <w:r w:rsidRPr="003D6B66">
        <w:rPr>
          <w:rFonts w:cs="Arial"/>
          <w:sz w:val="21"/>
          <w:szCs w:val="21"/>
        </w:rPr>
        <w:t>.</w:t>
      </w:r>
    </w:p>
    <w:p w14:paraId="320C366D" w14:textId="77777777" w:rsidR="00DD084E" w:rsidRPr="006C1182" w:rsidRDefault="00DD084E" w:rsidP="003D6B66">
      <w:pPr>
        <w:pStyle w:val="Heading1"/>
      </w:pPr>
      <w:r w:rsidRPr="006C1182">
        <w:t>Who can authorise the use of restricting access?</w:t>
      </w:r>
    </w:p>
    <w:p w14:paraId="1990C4F9" w14:textId="57CB910E" w:rsidR="00DD084E" w:rsidRPr="003D6B66" w:rsidRDefault="00DD084E" w:rsidP="003D6B66">
      <w:pPr>
        <w:widowControl w:val="0"/>
        <w:autoSpaceDE w:val="0"/>
        <w:autoSpaceDN w:val="0"/>
        <w:adjustRightInd w:val="0"/>
        <w:rPr>
          <w:rFonts w:cs="Arial"/>
          <w:sz w:val="21"/>
          <w:szCs w:val="21"/>
        </w:rPr>
      </w:pPr>
      <w:r w:rsidRPr="003D6B66">
        <w:rPr>
          <w:rFonts w:cs="Arial"/>
          <w:sz w:val="21"/>
          <w:szCs w:val="21"/>
        </w:rPr>
        <w:t xml:space="preserve">Where services are provided or funded by </w:t>
      </w:r>
      <w:r w:rsidR="00AF17A3">
        <w:rPr>
          <w:rFonts w:cs="Arial"/>
          <w:sz w:val="21"/>
          <w:szCs w:val="21"/>
        </w:rPr>
        <w:t>the department</w:t>
      </w:r>
      <w:r w:rsidRPr="003D6B66">
        <w:rPr>
          <w:rFonts w:cs="Arial"/>
          <w:sz w:val="21"/>
          <w:szCs w:val="21"/>
        </w:rPr>
        <w:t>, or services prescribed by regulation and funded under a NDIS participant plan are considering the use of a restricting access strategy in response to the behaviour of an adult with an intellectual or cognitive disability, authorisation must first be sought. The Act specifies the authorisation requirements for the use of restricting access to objects and who can authorise the use of the practice.</w:t>
      </w:r>
    </w:p>
    <w:p w14:paraId="61E141F9" w14:textId="16F0DB92" w:rsidR="00DD084E" w:rsidRPr="003D6B66" w:rsidRDefault="00DD084E" w:rsidP="003D6B66">
      <w:pPr>
        <w:widowControl w:val="0"/>
        <w:autoSpaceDE w:val="0"/>
        <w:autoSpaceDN w:val="0"/>
        <w:adjustRightInd w:val="0"/>
        <w:rPr>
          <w:rFonts w:cs="Arial"/>
          <w:sz w:val="21"/>
          <w:szCs w:val="21"/>
        </w:rPr>
      </w:pPr>
      <w:r w:rsidRPr="003D6B66">
        <w:rPr>
          <w:rFonts w:cs="Arial"/>
          <w:sz w:val="21"/>
          <w:szCs w:val="21"/>
        </w:rPr>
        <w:t>If the service provider is only</w:t>
      </w:r>
      <w:r w:rsidR="00AF17A3">
        <w:rPr>
          <w:rFonts w:cs="Arial"/>
          <w:sz w:val="21"/>
          <w:szCs w:val="21"/>
        </w:rPr>
        <w:t xml:space="preserve"> using</w:t>
      </w:r>
      <w:r w:rsidRPr="003D6B66">
        <w:rPr>
          <w:rFonts w:cs="Arial"/>
          <w:sz w:val="21"/>
          <w:szCs w:val="21"/>
        </w:rPr>
        <w:t xml:space="preserve"> restrict</w:t>
      </w:r>
      <w:r w:rsidR="00AF17A3">
        <w:rPr>
          <w:rFonts w:cs="Arial"/>
          <w:sz w:val="21"/>
          <w:szCs w:val="21"/>
        </w:rPr>
        <w:t>ing</w:t>
      </w:r>
      <w:r w:rsidRPr="003D6B66">
        <w:rPr>
          <w:rFonts w:cs="Arial"/>
          <w:sz w:val="21"/>
          <w:szCs w:val="21"/>
        </w:rPr>
        <w:t xml:space="preserve"> access and no other restrictive practices</w:t>
      </w:r>
      <w:r w:rsidR="00C22C9A" w:rsidRPr="003D6B66">
        <w:rPr>
          <w:rFonts w:cs="Arial"/>
          <w:sz w:val="21"/>
          <w:szCs w:val="21"/>
        </w:rPr>
        <w:t>,</w:t>
      </w:r>
      <w:r w:rsidRPr="003D6B66">
        <w:rPr>
          <w:rFonts w:cs="Arial"/>
          <w:sz w:val="21"/>
          <w:szCs w:val="21"/>
        </w:rPr>
        <w:t xml:space="preserve"> then consent is required from a guardian for a restrictive practice (general) matter or, if a guardian has not been appointed by QCAT, a</w:t>
      </w:r>
      <w:r w:rsidR="003D6B66">
        <w:rPr>
          <w:rFonts w:cs="Arial"/>
          <w:sz w:val="21"/>
          <w:szCs w:val="21"/>
        </w:rPr>
        <w:t xml:space="preserve"> relevant </w:t>
      </w:r>
      <w:r w:rsidRPr="003D6B66">
        <w:rPr>
          <w:rFonts w:cs="Arial"/>
          <w:sz w:val="21"/>
          <w:szCs w:val="21"/>
        </w:rPr>
        <w:t>decision maker for the adult.</w:t>
      </w:r>
    </w:p>
    <w:p w14:paraId="19ACCC2B" w14:textId="51709C43" w:rsidR="00DD084E" w:rsidRPr="003D6B66" w:rsidRDefault="00DD084E" w:rsidP="003D6B66">
      <w:pPr>
        <w:widowControl w:val="0"/>
        <w:autoSpaceDE w:val="0"/>
        <w:autoSpaceDN w:val="0"/>
        <w:adjustRightInd w:val="0"/>
        <w:rPr>
          <w:rFonts w:cs="Arial"/>
          <w:i/>
          <w:iCs/>
          <w:sz w:val="21"/>
          <w:szCs w:val="21"/>
        </w:rPr>
      </w:pPr>
      <w:r w:rsidRPr="003D6B66">
        <w:rPr>
          <w:rFonts w:cs="Arial"/>
          <w:sz w:val="21"/>
          <w:szCs w:val="21"/>
        </w:rPr>
        <w:t>If restrict</w:t>
      </w:r>
      <w:r w:rsidR="00AF17A3">
        <w:rPr>
          <w:rFonts w:cs="Arial"/>
          <w:sz w:val="21"/>
          <w:szCs w:val="21"/>
        </w:rPr>
        <w:t>ing</w:t>
      </w:r>
      <w:r w:rsidRPr="003D6B66">
        <w:rPr>
          <w:rFonts w:cs="Arial"/>
          <w:sz w:val="21"/>
          <w:szCs w:val="21"/>
        </w:rPr>
        <w:t xml:space="preserve"> access is used in combination with containment or seclusion, physical, mechanical or chemical restraint then the authorisation requirements </w:t>
      </w:r>
      <w:r w:rsidR="00C22C9A" w:rsidRPr="003D6B66">
        <w:rPr>
          <w:rFonts w:cs="Arial"/>
          <w:sz w:val="21"/>
          <w:szCs w:val="21"/>
        </w:rPr>
        <w:t xml:space="preserve">for </w:t>
      </w:r>
      <w:r w:rsidRPr="003D6B66">
        <w:rPr>
          <w:rFonts w:cs="Arial"/>
          <w:sz w:val="21"/>
          <w:szCs w:val="21"/>
        </w:rPr>
        <w:t xml:space="preserve">those restricted practices apply. For further information, refer to the Fact Sheet, </w:t>
      </w:r>
      <w:hyperlink r:id="rId8" w:history="1">
        <w:r w:rsidRPr="003D6B66">
          <w:rPr>
            <w:rStyle w:val="Hyperlink"/>
            <w:rFonts w:cs="Arial"/>
            <w:sz w:val="21"/>
            <w:szCs w:val="21"/>
          </w:rPr>
          <w:t>Authorising Restrictive Practices</w:t>
        </w:r>
      </w:hyperlink>
      <w:r w:rsidRPr="003D6B66">
        <w:rPr>
          <w:rFonts w:cs="Arial"/>
          <w:i/>
          <w:iCs/>
          <w:sz w:val="21"/>
          <w:szCs w:val="21"/>
        </w:rPr>
        <w:t>.</w:t>
      </w:r>
    </w:p>
    <w:p w14:paraId="152157E1" w14:textId="1DDABBF9" w:rsidR="00DD084E" w:rsidRPr="003D6B66" w:rsidRDefault="00DD084E" w:rsidP="003D6B66">
      <w:pPr>
        <w:widowControl w:val="0"/>
        <w:autoSpaceDE w:val="0"/>
        <w:autoSpaceDN w:val="0"/>
        <w:adjustRightInd w:val="0"/>
        <w:spacing w:after="200"/>
        <w:rPr>
          <w:rFonts w:cs="Arial"/>
          <w:sz w:val="21"/>
          <w:szCs w:val="21"/>
        </w:rPr>
      </w:pPr>
      <w:r w:rsidRPr="003D6B66">
        <w:rPr>
          <w:rFonts w:cs="Arial"/>
          <w:sz w:val="21"/>
          <w:szCs w:val="21"/>
        </w:rPr>
        <w:t xml:space="preserve">Where an adult only receives a respite or community access service, consent to use restricting access is required from a guardian for restrictive practice (respite) matters or, if not appointed, from a </w:t>
      </w:r>
      <w:r w:rsidR="003D6B66">
        <w:rPr>
          <w:rFonts w:cs="Arial"/>
          <w:sz w:val="21"/>
          <w:szCs w:val="21"/>
        </w:rPr>
        <w:t xml:space="preserve">relevant </w:t>
      </w:r>
      <w:r w:rsidRPr="003D6B66">
        <w:rPr>
          <w:rFonts w:cs="Arial"/>
          <w:sz w:val="21"/>
          <w:szCs w:val="21"/>
        </w:rPr>
        <w:t>decision maker for the adult.</w:t>
      </w:r>
    </w:p>
    <w:p w14:paraId="3B350670" w14:textId="77777777" w:rsidR="00DD084E" w:rsidRPr="006C1182" w:rsidRDefault="00DD084E" w:rsidP="003D6B66">
      <w:pPr>
        <w:pStyle w:val="Heading1"/>
      </w:pPr>
      <w:r w:rsidRPr="006C1182">
        <w:t>Further Information</w:t>
      </w:r>
    </w:p>
    <w:p w14:paraId="7C44DD43" w14:textId="417F93C7" w:rsidR="00DD084E" w:rsidRPr="003D6B66" w:rsidRDefault="00DD084E" w:rsidP="009423CC">
      <w:pPr>
        <w:spacing w:after="240"/>
        <w:ind w:right="283"/>
        <w:rPr>
          <w:rFonts w:cs="Arial"/>
          <w:sz w:val="21"/>
          <w:szCs w:val="21"/>
        </w:rPr>
      </w:pPr>
      <w:r w:rsidRPr="003D6B66">
        <w:rPr>
          <w:rFonts w:cs="Arial"/>
          <w:sz w:val="21"/>
          <w:szCs w:val="21"/>
        </w:rPr>
        <w:t xml:space="preserve">For more information, contact the Positive Behaviour Support and Restrictive Practices team on 1800 902 006 or </w:t>
      </w:r>
      <w:hyperlink r:id="rId9" w:history="1">
        <w:r w:rsidR="0027698D" w:rsidRPr="00B553D4">
          <w:rPr>
            <w:rStyle w:val="Hyperlink"/>
            <w:sz w:val="21"/>
            <w:szCs w:val="21"/>
          </w:rPr>
          <w:t>enquiries_rp@dsdsatsip.qld.gov.au</w:t>
        </w:r>
      </w:hyperlink>
      <w:r w:rsidR="00C22C9A" w:rsidRPr="003D6B66">
        <w:rPr>
          <w:rFonts w:cs="Arial"/>
          <w:sz w:val="21"/>
          <w:szCs w:val="21"/>
        </w:rPr>
        <w:t>.</w:t>
      </w:r>
    </w:p>
    <w:p w14:paraId="20B3E8F0" w14:textId="4C5DCE55" w:rsidR="001A2C00" w:rsidRPr="003D6B66" w:rsidRDefault="003D6B66" w:rsidP="009423CC">
      <w:pPr>
        <w:rPr>
          <w:rFonts w:cs="Arial"/>
          <w:sz w:val="21"/>
          <w:szCs w:val="21"/>
        </w:rPr>
      </w:pPr>
      <w:r>
        <w:rPr>
          <w:rFonts w:cs="Arial"/>
          <w:sz w:val="21"/>
          <w:szCs w:val="21"/>
        </w:rPr>
        <w:t>August</w:t>
      </w:r>
      <w:r w:rsidR="00C22C9A" w:rsidRPr="003D6B66">
        <w:rPr>
          <w:rFonts w:cs="Arial"/>
          <w:sz w:val="21"/>
          <w:szCs w:val="21"/>
        </w:rPr>
        <w:t xml:space="preserve"> 2022</w:t>
      </w:r>
    </w:p>
    <w:p w14:paraId="4B42320F" w14:textId="4587544C" w:rsidR="004D6471" w:rsidRPr="003D6B66" w:rsidRDefault="004D6471" w:rsidP="009423CC">
      <w:pPr>
        <w:rPr>
          <w:rFonts w:cs="Arial"/>
          <w:sz w:val="21"/>
          <w:szCs w:val="21"/>
        </w:rPr>
      </w:pPr>
    </w:p>
    <w:p w14:paraId="385BE928" w14:textId="1B5D31AA" w:rsidR="004D6471" w:rsidRPr="003D6B66" w:rsidRDefault="004D6471" w:rsidP="009423CC">
      <w:pPr>
        <w:spacing w:after="60"/>
        <w:rPr>
          <w:sz w:val="21"/>
          <w:szCs w:val="21"/>
          <w:lang w:eastAsia="en-US"/>
        </w:rPr>
      </w:pPr>
      <w:r w:rsidRPr="003D6B66">
        <w:rPr>
          <w:sz w:val="21"/>
          <w:szCs w:val="21"/>
          <w:lang w:eastAsia="en-US"/>
        </w:rPr>
        <w:t>Chris</w:t>
      </w:r>
      <w:r w:rsidR="003D6B66">
        <w:rPr>
          <w:sz w:val="21"/>
          <w:szCs w:val="21"/>
          <w:lang w:eastAsia="en-US"/>
        </w:rPr>
        <w:t>topher</w:t>
      </w:r>
      <w:r w:rsidRPr="003D6B66">
        <w:rPr>
          <w:sz w:val="21"/>
          <w:szCs w:val="21"/>
          <w:lang w:eastAsia="en-US"/>
        </w:rPr>
        <w:t xml:space="preserve"> Booker</w:t>
      </w:r>
    </w:p>
    <w:p w14:paraId="390C7A13" w14:textId="77777777" w:rsidR="004D6471" w:rsidRPr="003D6B66" w:rsidRDefault="004D6471" w:rsidP="009423CC">
      <w:pPr>
        <w:rPr>
          <w:sz w:val="21"/>
          <w:szCs w:val="21"/>
          <w:lang w:eastAsia="en-US"/>
        </w:rPr>
      </w:pPr>
      <w:r w:rsidRPr="003D6B66">
        <w:rPr>
          <w:sz w:val="21"/>
          <w:szCs w:val="21"/>
          <w:lang w:eastAsia="en-US"/>
        </w:rPr>
        <w:t>Director, Positive Behaviour Support &amp; Restrictive Practices</w:t>
      </w:r>
    </w:p>
    <w:p w14:paraId="73B9C232" w14:textId="77777777" w:rsidR="004D6471" w:rsidRPr="00DD084E" w:rsidRDefault="004D6471" w:rsidP="009423CC"/>
    <w:sectPr w:rsidR="004D6471" w:rsidRPr="00DD084E" w:rsidSect="001F7341">
      <w:headerReference w:type="default" r:id="rId10"/>
      <w:footerReference w:type="default" r:id="rId11"/>
      <w:headerReference w:type="first" r:id="rId12"/>
      <w:footerReference w:type="first" r:id="rId13"/>
      <w:type w:val="continuous"/>
      <w:pgSz w:w="11906" w:h="16838" w:code="9"/>
      <w:pgMar w:top="1985" w:right="907" w:bottom="1134" w:left="907" w:header="709"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74562" w14:textId="77777777" w:rsidR="006B3F27" w:rsidRDefault="006B3F27" w:rsidP="00843FBF">
      <w:r>
        <w:separator/>
      </w:r>
    </w:p>
  </w:endnote>
  <w:endnote w:type="continuationSeparator" w:id="0">
    <w:p w14:paraId="35123A5F" w14:textId="77777777" w:rsidR="006B3F27" w:rsidRDefault="006B3F27" w:rsidP="0084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E26D" w14:textId="3E7C6527" w:rsidR="00FC7681" w:rsidRPr="005E1C7F" w:rsidRDefault="004C6E1D" w:rsidP="004C6E1D">
    <w:pPr>
      <w:pStyle w:val="Footer"/>
      <w:tabs>
        <w:tab w:val="clear" w:pos="9498"/>
        <w:tab w:val="right" w:pos="10065"/>
      </w:tabs>
    </w:pPr>
    <w:r w:rsidRPr="005E1C7F">
      <w:t xml:space="preserve">Department of </w:t>
    </w:r>
    <w:r>
      <w:t xml:space="preserve">Seniors, Disability Services and </w:t>
    </w:r>
    <w:r w:rsidRPr="005E1C7F">
      <w:t xml:space="preserve">Aboriginal and Torres Strait Islander </w:t>
    </w:r>
    <w:r>
      <w:t>Partnerships</w:t>
    </w:r>
    <w:r w:rsidR="005E1C7F" w:rsidRPr="005E1C7F">
      <w:tab/>
    </w:r>
    <w:r w:rsidR="005E1C7F" w:rsidRPr="005E1C7F">
      <w:fldChar w:fldCharType="begin"/>
    </w:r>
    <w:r w:rsidR="005E1C7F" w:rsidRPr="005E1C7F">
      <w:instrText xml:space="preserve"> PAGE   \* MERGEFORMAT </w:instrText>
    </w:r>
    <w:r w:rsidR="005E1C7F" w:rsidRPr="005E1C7F">
      <w:fldChar w:fldCharType="separate"/>
    </w:r>
    <w:r w:rsidR="00680AB8">
      <w:rPr>
        <w:noProof/>
      </w:rPr>
      <w:t>2</w:t>
    </w:r>
    <w:r w:rsidR="005E1C7F" w:rsidRPr="005E1C7F">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2FC10" w14:textId="7E988E9F" w:rsidR="009B4E61" w:rsidRDefault="001C0D3D" w:rsidP="003D6B66">
    <w:pPr>
      <w:pStyle w:val="Footer"/>
      <w:tabs>
        <w:tab w:val="clear" w:pos="9498"/>
        <w:tab w:val="left" w:pos="8187"/>
      </w:tabs>
    </w:pPr>
    <w:r w:rsidRPr="00F35837">
      <w:rPr>
        <w:noProof/>
        <w:sz w:val="25"/>
        <w:szCs w:val="25"/>
      </w:rPr>
      <w:drawing>
        <wp:anchor distT="0" distB="0" distL="114300" distR="114300" simplePos="0" relativeHeight="251661312" behindDoc="0" locked="0" layoutInCell="1" allowOverlap="1" wp14:anchorId="376DBB9A" wp14:editId="553EEA46">
          <wp:simplePos x="0" y="0"/>
          <wp:positionH relativeFrom="column">
            <wp:posOffset>5130800</wp:posOffset>
          </wp:positionH>
          <wp:positionV relativeFrom="paragraph">
            <wp:posOffset>-143933</wp:posOffset>
          </wp:positionV>
          <wp:extent cx="1517218" cy="572873"/>
          <wp:effectExtent l="0" t="0" r="6985" b="0"/>
          <wp:wrapNone/>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17218" cy="572873"/>
                  </a:xfrm>
                  <a:prstGeom prst="rect">
                    <a:avLst/>
                  </a:prstGeom>
                </pic:spPr>
              </pic:pic>
            </a:graphicData>
          </a:graphic>
          <wp14:sizeRelH relativeFrom="margin">
            <wp14:pctWidth>0</wp14:pctWidth>
          </wp14:sizeRelH>
          <wp14:sizeRelV relativeFrom="margin">
            <wp14:pctHeight>0</wp14:pctHeight>
          </wp14:sizeRelV>
        </wp:anchor>
      </w:drawing>
    </w:r>
    <w:r w:rsidR="009B4E61" w:rsidRPr="005E1C7F">
      <w:t xml:space="preserve">Department of </w:t>
    </w:r>
    <w:r w:rsidR="009B4E61">
      <w:t xml:space="preserve">Seniors, Disability Services and </w:t>
    </w:r>
    <w:r w:rsidR="009B4E61" w:rsidRPr="005E1C7F">
      <w:t xml:space="preserve">Aboriginal and Torres Strait Islander </w:t>
    </w:r>
    <w:r w:rsidR="009B4E61">
      <w:t>Partnerships</w:t>
    </w:r>
    <w:r w:rsidR="005A6931">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0B27C" w14:textId="77777777" w:rsidR="006B3F27" w:rsidRDefault="006B3F27" w:rsidP="00843FBF">
      <w:r>
        <w:separator/>
      </w:r>
    </w:p>
  </w:footnote>
  <w:footnote w:type="continuationSeparator" w:id="0">
    <w:p w14:paraId="674B9229" w14:textId="77777777" w:rsidR="006B3F27" w:rsidRDefault="006B3F27" w:rsidP="00843F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4E98C" w14:textId="5852E7D0" w:rsidR="00FC7681" w:rsidRPr="0022302F" w:rsidRDefault="002C4C41" w:rsidP="0022302F">
    <w:pPr>
      <w:pStyle w:val="Header"/>
    </w:pPr>
    <w:r w:rsidRPr="003D6B66">
      <w:rPr>
        <w:bCs/>
        <w:color w:val="auto"/>
        <w:sz w:val="24"/>
        <w:szCs w:val="24"/>
      </w:rPr>
      <w:t>Positive Behaviour Support &amp; Restrictive Practices:</w:t>
    </w:r>
    <w:r w:rsidR="003606FA" w:rsidRPr="003606FA">
      <w:rPr>
        <w:color w:val="auto"/>
        <w:sz w:val="24"/>
        <w:szCs w:val="24"/>
      </w:rPr>
      <w:t xml:space="preserve"> </w:t>
    </w:r>
    <w:r w:rsidRPr="00FB4ACB">
      <w:rPr>
        <w:color w:val="auto"/>
        <w:sz w:val="24"/>
        <w:szCs w:val="24"/>
      </w:rPr>
      <w:t>Restricting access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F4B3" w14:textId="110D978B" w:rsidR="00686F14" w:rsidRDefault="00166878" w:rsidP="00A20544">
    <w:pPr>
      <w:pStyle w:val="DOCUMENTTITLE"/>
      <w:jc w:val="center"/>
    </w:pPr>
    <w:r w:rsidRPr="00B81549">
      <w:drawing>
        <wp:anchor distT="0" distB="0" distL="114300" distR="114300" simplePos="0" relativeHeight="251659264" behindDoc="1" locked="0" layoutInCell="1" allowOverlap="1" wp14:anchorId="46D0327C" wp14:editId="55F8517D">
          <wp:simplePos x="0" y="0"/>
          <wp:positionH relativeFrom="margin">
            <wp:posOffset>-561975</wp:posOffset>
          </wp:positionH>
          <wp:positionV relativeFrom="paragraph">
            <wp:posOffset>-483870</wp:posOffset>
          </wp:positionV>
          <wp:extent cx="7570800" cy="15120000"/>
          <wp:effectExtent l="0" t="0" r="0" b="5715"/>
          <wp:wrapNone/>
          <wp:docPr id="11" name="Picture 11" descr="Colourful angular blocks of colour as the header image. Queensland Government crest in the bottom right cor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Picture 15" descr="Colourful angular blocks of colour as the header image. Queensland Government crest in the bottom right corner."/>
                  <pic:cNvPicPr preferRelativeResize="0">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70800" cy="1512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118BE" w:rsidRPr="00B81549">
      <w:t xml:space="preserve">FACTSHEET: </w:t>
    </w:r>
    <w:r w:rsidR="00FB4ACB" w:rsidRPr="00FB4ACB">
      <w:t>Restricting access</w:t>
    </w:r>
  </w:p>
  <w:p w14:paraId="1354B020" w14:textId="47A321C1" w:rsidR="00A20544" w:rsidRPr="004F7487" w:rsidRDefault="00A20544" w:rsidP="003D6B66">
    <w:pPr>
      <w:pStyle w:val="DOCUMENTTITLE"/>
      <w:jc w:val="center"/>
      <w:rPr>
        <w:sz w:val="25"/>
        <w:szCs w:val="25"/>
      </w:rPr>
    </w:pPr>
    <w:r>
      <w:rPr>
        <w:rFonts w:eastAsia="Arial" w:cs="Arial"/>
        <w:bCs/>
        <w:sz w:val="24"/>
        <w:szCs w:val="24"/>
      </w:rPr>
      <w:t>pOSITIVE BEHAVIOUR SUPPORT &amp; RESTRICTIVE PRACTICES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6A69EC2"/>
    <w:lvl w:ilvl="0">
      <w:start w:val="1"/>
      <w:numFmt w:val="decimal"/>
      <w:pStyle w:val="ListNumber"/>
      <w:lvlText w:val="%1."/>
      <w:lvlJc w:val="left"/>
      <w:pPr>
        <w:tabs>
          <w:tab w:val="num" w:pos="360"/>
        </w:tabs>
        <w:ind w:left="360" w:hanging="360"/>
      </w:pPr>
      <w:rPr>
        <w:color w:val="595959" w:themeColor="text1" w:themeTint="A6"/>
      </w:rPr>
    </w:lvl>
  </w:abstractNum>
  <w:abstractNum w:abstractNumId="1" w15:restartNumberingAfterBreak="0">
    <w:nsid w:val="FFFFFF89"/>
    <w:multiLevelType w:val="singleLevel"/>
    <w:tmpl w:val="8CE80A56"/>
    <w:lvl w:ilvl="0">
      <w:start w:val="1"/>
      <w:numFmt w:val="bullet"/>
      <w:pStyle w:val="ListBullet"/>
      <w:lvlText w:val=""/>
      <w:lvlJc w:val="left"/>
      <w:pPr>
        <w:tabs>
          <w:tab w:val="num" w:pos="360"/>
        </w:tabs>
        <w:ind w:left="360" w:hanging="360"/>
      </w:pPr>
      <w:rPr>
        <w:rFonts w:ascii="Symbol" w:hAnsi="Symbol" w:hint="default"/>
        <w:color w:val="595959" w:themeColor="text1" w:themeTint="A6"/>
      </w:rPr>
    </w:lvl>
  </w:abstractNum>
  <w:abstractNum w:abstractNumId="2" w15:restartNumberingAfterBreak="0">
    <w:nsid w:val="FFFFFFFE"/>
    <w:multiLevelType w:val="singleLevel"/>
    <w:tmpl w:val="C896C4D2"/>
    <w:lvl w:ilvl="0">
      <w:numFmt w:val="bullet"/>
      <w:lvlText w:val="*"/>
      <w:lvlJc w:val="left"/>
    </w:lvl>
  </w:abstractNum>
  <w:abstractNum w:abstractNumId="3" w15:restartNumberingAfterBreak="0">
    <w:nsid w:val="0D7C7506"/>
    <w:multiLevelType w:val="hybridMultilevel"/>
    <w:tmpl w:val="734CA6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7F7764"/>
    <w:multiLevelType w:val="hybridMultilevel"/>
    <w:tmpl w:val="33F6E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0D05207"/>
    <w:multiLevelType w:val="hybridMultilevel"/>
    <w:tmpl w:val="E1F296F4"/>
    <w:lvl w:ilvl="0" w:tplc="8304BC18">
      <w:start w:val="1"/>
      <w:numFmt w:val="bullet"/>
      <w:pStyle w:val="ListBullet2"/>
      <w:lvlText w:val="-"/>
      <w:lvlJc w:val="left"/>
      <w:pPr>
        <w:ind w:left="720" w:hanging="360"/>
      </w:pPr>
      <w:rPr>
        <w:rFonts w:ascii="Courier New" w:hAnsi="Courier New" w:hint="default"/>
        <w:color w:val="595959" w:themeColor="text1" w:themeTint="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7A041C3"/>
    <w:multiLevelType w:val="hybridMultilevel"/>
    <w:tmpl w:val="2D06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D422770"/>
    <w:multiLevelType w:val="hybridMultilevel"/>
    <w:tmpl w:val="6CD00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B616B7B"/>
    <w:multiLevelType w:val="hybridMultilevel"/>
    <w:tmpl w:val="18200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45F5E7B"/>
    <w:multiLevelType w:val="hybridMultilevel"/>
    <w:tmpl w:val="A6CA05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5459C0"/>
    <w:multiLevelType w:val="hybridMultilevel"/>
    <w:tmpl w:val="C8B667A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1" w15:restartNumberingAfterBreak="0">
    <w:nsid w:val="69CB524C"/>
    <w:multiLevelType w:val="hybridMultilevel"/>
    <w:tmpl w:val="F320A8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7A42731"/>
    <w:multiLevelType w:val="hybridMultilevel"/>
    <w:tmpl w:val="AE02082E"/>
    <w:lvl w:ilvl="0" w:tplc="16700560">
      <w:start w:val="1"/>
      <w:numFmt w:val="decimal"/>
      <w:pStyle w:val="Numberedlist"/>
      <w:lvlText w:val="%1."/>
      <w:lvlJc w:val="left"/>
      <w:pPr>
        <w:ind w:left="360" w:hanging="360"/>
      </w:pPr>
      <w:rPr>
        <w:color w:val="00336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2"/>
  </w:num>
  <w:num w:numId="2">
    <w:abstractNumId w:val="1"/>
  </w:num>
  <w:num w:numId="3">
    <w:abstractNumId w:val="5"/>
  </w:num>
  <w:num w:numId="4">
    <w:abstractNumId w:val="0"/>
  </w:num>
  <w:num w:numId="5">
    <w:abstractNumId w:val="3"/>
  </w:num>
  <w:num w:numId="6">
    <w:abstractNumId w:val="9"/>
  </w:num>
  <w:num w:numId="7">
    <w:abstractNumId w:val="11"/>
  </w:num>
  <w:num w:numId="8">
    <w:abstractNumId w:val="10"/>
  </w:num>
  <w:num w:numId="9">
    <w:abstractNumId w:val="6"/>
  </w:num>
  <w:num w:numId="10">
    <w:abstractNumId w:val="7"/>
  </w:num>
  <w:num w:numId="11">
    <w:abstractNumId w:val="2"/>
    <w:lvlOverride w:ilvl="0">
      <w:lvl w:ilvl="0">
        <w:numFmt w:val="bullet"/>
        <w:lvlText w:val=""/>
        <w:legacy w:legacy="1" w:legacySpace="0" w:legacyIndent="360"/>
        <w:lvlJc w:val="left"/>
        <w:rPr>
          <w:rFonts w:ascii="Symbol" w:hAnsi="Symbol" w:hint="default"/>
        </w:rPr>
      </w:lvl>
    </w:lvlOverride>
  </w:num>
  <w:num w:numId="12">
    <w:abstractNumId w:val="8"/>
  </w:num>
  <w:num w:numId="1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ocumentProtection w:formatting="1" w:enforcement="0"/>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A0sTQ2NzQytzAwNTFS0lEKTi0uzszPAykwrAUAnIbGAiwAAAA="/>
  </w:docVars>
  <w:rsids>
    <w:rsidRoot w:val="00E463B4"/>
    <w:rsid w:val="00013F14"/>
    <w:rsid w:val="00015CD1"/>
    <w:rsid w:val="000212E7"/>
    <w:rsid w:val="00024F45"/>
    <w:rsid w:val="00025C5C"/>
    <w:rsid w:val="00046D00"/>
    <w:rsid w:val="00054669"/>
    <w:rsid w:val="000602C5"/>
    <w:rsid w:val="000634CC"/>
    <w:rsid w:val="000974D4"/>
    <w:rsid w:val="000E45F7"/>
    <w:rsid w:val="000E72CB"/>
    <w:rsid w:val="000F370B"/>
    <w:rsid w:val="000F392E"/>
    <w:rsid w:val="000F7F7A"/>
    <w:rsid w:val="00103440"/>
    <w:rsid w:val="00121532"/>
    <w:rsid w:val="00132B62"/>
    <w:rsid w:val="00145031"/>
    <w:rsid w:val="00151CC3"/>
    <w:rsid w:val="00156C62"/>
    <w:rsid w:val="00166878"/>
    <w:rsid w:val="001719FB"/>
    <w:rsid w:val="00175796"/>
    <w:rsid w:val="00184E1D"/>
    <w:rsid w:val="00185385"/>
    <w:rsid w:val="00196407"/>
    <w:rsid w:val="001A2C00"/>
    <w:rsid w:val="001B321A"/>
    <w:rsid w:val="001C0D3D"/>
    <w:rsid w:val="001C3907"/>
    <w:rsid w:val="001C430F"/>
    <w:rsid w:val="001D4DD1"/>
    <w:rsid w:val="001D5147"/>
    <w:rsid w:val="001D544F"/>
    <w:rsid w:val="001F0573"/>
    <w:rsid w:val="001F7341"/>
    <w:rsid w:val="002005C9"/>
    <w:rsid w:val="0020620B"/>
    <w:rsid w:val="00207021"/>
    <w:rsid w:val="002165A0"/>
    <w:rsid w:val="00220D9A"/>
    <w:rsid w:val="00222131"/>
    <w:rsid w:val="0022302F"/>
    <w:rsid w:val="002254FB"/>
    <w:rsid w:val="00231166"/>
    <w:rsid w:val="00233909"/>
    <w:rsid w:val="002432AB"/>
    <w:rsid w:val="002505FA"/>
    <w:rsid w:val="00265BC1"/>
    <w:rsid w:val="00270E9A"/>
    <w:rsid w:val="00271D95"/>
    <w:rsid w:val="00274A66"/>
    <w:rsid w:val="00274B24"/>
    <w:rsid w:val="0027698D"/>
    <w:rsid w:val="0028179F"/>
    <w:rsid w:val="00291201"/>
    <w:rsid w:val="0029264A"/>
    <w:rsid w:val="002A4AAB"/>
    <w:rsid w:val="002C4C41"/>
    <w:rsid w:val="002C62EF"/>
    <w:rsid w:val="002D0835"/>
    <w:rsid w:val="002D65B0"/>
    <w:rsid w:val="002E4760"/>
    <w:rsid w:val="002E5EED"/>
    <w:rsid w:val="00303936"/>
    <w:rsid w:val="00310B3A"/>
    <w:rsid w:val="00310E49"/>
    <w:rsid w:val="003133AE"/>
    <w:rsid w:val="00333CEC"/>
    <w:rsid w:val="00340CA9"/>
    <w:rsid w:val="003465A1"/>
    <w:rsid w:val="0034783B"/>
    <w:rsid w:val="00351776"/>
    <w:rsid w:val="003606FA"/>
    <w:rsid w:val="003643BE"/>
    <w:rsid w:val="003747A5"/>
    <w:rsid w:val="00386458"/>
    <w:rsid w:val="0039441B"/>
    <w:rsid w:val="00397518"/>
    <w:rsid w:val="003A0C6A"/>
    <w:rsid w:val="003A39D6"/>
    <w:rsid w:val="003C74F9"/>
    <w:rsid w:val="003D511D"/>
    <w:rsid w:val="003D6B66"/>
    <w:rsid w:val="003D6C28"/>
    <w:rsid w:val="003E0649"/>
    <w:rsid w:val="003E50B7"/>
    <w:rsid w:val="003E5521"/>
    <w:rsid w:val="003F3C29"/>
    <w:rsid w:val="003F5145"/>
    <w:rsid w:val="003F6E8B"/>
    <w:rsid w:val="004171DE"/>
    <w:rsid w:val="00421B03"/>
    <w:rsid w:val="00431375"/>
    <w:rsid w:val="00431731"/>
    <w:rsid w:val="004741F6"/>
    <w:rsid w:val="004745EC"/>
    <w:rsid w:val="00486C06"/>
    <w:rsid w:val="004903BE"/>
    <w:rsid w:val="00495E2C"/>
    <w:rsid w:val="004A18EC"/>
    <w:rsid w:val="004A1A8A"/>
    <w:rsid w:val="004A52E7"/>
    <w:rsid w:val="004B3619"/>
    <w:rsid w:val="004B49CE"/>
    <w:rsid w:val="004C6E1D"/>
    <w:rsid w:val="004C75FC"/>
    <w:rsid w:val="004D16BC"/>
    <w:rsid w:val="004D30C0"/>
    <w:rsid w:val="004D346E"/>
    <w:rsid w:val="004D6471"/>
    <w:rsid w:val="004F2869"/>
    <w:rsid w:val="004F7487"/>
    <w:rsid w:val="0050016D"/>
    <w:rsid w:val="00501471"/>
    <w:rsid w:val="005236FA"/>
    <w:rsid w:val="00523CC6"/>
    <w:rsid w:val="005264DC"/>
    <w:rsid w:val="00543833"/>
    <w:rsid w:val="00544A69"/>
    <w:rsid w:val="00546053"/>
    <w:rsid w:val="0054727F"/>
    <w:rsid w:val="005472DB"/>
    <w:rsid w:val="00550340"/>
    <w:rsid w:val="00567569"/>
    <w:rsid w:val="005902A5"/>
    <w:rsid w:val="00592307"/>
    <w:rsid w:val="005A2D7B"/>
    <w:rsid w:val="005A3C07"/>
    <w:rsid w:val="005A3CBA"/>
    <w:rsid w:val="005A6931"/>
    <w:rsid w:val="005C2BF1"/>
    <w:rsid w:val="005D7319"/>
    <w:rsid w:val="005E1C7F"/>
    <w:rsid w:val="00605BFB"/>
    <w:rsid w:val="006114F6"/>
    <w:rsid w:val="00613ECD"/>
    <w:rsid w:val="0061433F"/>
    <w:rsid w:val="00614FD7"/>
    <w:rsid w:val="00615496"/>
    <w:rsid w:val="0061687F"/>
    <w:rsid w:val="00622ECB"/>
    <w:rsid w:val="006433A1"/>
    <w:rsid w:val="00671013"/>
    <w:rsid w:val="006740CA"/>
    <w:rsid w:val="00677838"/>
    <w:rsid w:val="00680AB8"/>
    <w:rsid w:val="00686F14"/>
    <w:rsid w:val="00694030"/>
    <w:rsid w:val="006B1064"/>
    <w:rsid w:val="006B3F27"/>
    <w:rsid w:val="006C0C1B"/>
    <w:rsid w:val="006C2B27"/>
    <w:rsid w:val="006C66BB"/>
    <w:rsid w:val="006D49E8"/>
    <w:rsid w:val="006E32EF"/>
    <w:rsid w:val="006E6100"/>
    <w:rsid w:val="007013AE"/>
    <w:rsid w:val="007033C6"/>
    <w:rsid w:val="00711885"/>
    <w:rsid w:val="00711D2D"/>
    <w:rsid w:val="00747823"/>
    <w:rsid w:val="007510FB"/>
    <w:rsid w:val="00760867"/>
    <w:rsid w:val="00762836"/>
    <w:rsid w:val="007669FD"/>
    <w:rsid w:val="00780179"/>
    <w:rsid w:val="007820CC"/>
    <w:rsid w:val="007921B7"/>
    <w:rsid w:val="007A00DF"/>
    <w:rsid w:val="007C1F35"/>
    <w:rsid w:val="007D173A"/>
    <w:rsid w:val="007D2A59"/>
    <w:rsid w:val="007E17B5"/>
    <w:rsid w:val="00805810"/>
    <w:rsid w:val="00816C6B"/>
    <w:rsid w:val="0083359D"/>
    <w:rsid w:val="0084002D"/>
    <w:rsid w:val="00843FBF"/>
    <w:rsid w:val="00846D94"/>
    <w:rsid w:val="008652E0"/>
    <w:rsid w:val="00873864"/>
    <w:rsid w:val="0087399A"/>
    <w:rsid w:val="0087537B"/>
    <w:rsid w:val="00881D1A"/>
    <w:rsid w:val="00897856"/>
    <w:rsid w:val="008A114E"/>
    <w:rsid w:val="008E5720"/>
    <w:rsid w:val="008F25C9"/>
    <w:rsid w:val="008F6415"/>
    <w:rsid w:val="00904AD7"/>
    <w:rsid w:val="00932749"/>
    <w:rsid w:val="009328A6"/>
    <w:rsid w:val="00937C8B"/>
    <w:rsid w:val="009423CC"/>
    <w:rsid w:val="009468E3"/>
    <w:rsid w:val="00957451"/>
    <w:rsid w:val="00976742"/>
    <w:rsid w:val="00982D16"/>
    <w:rsid w:val="00983F80"/>
    <w:rsid w:val="00992490"/>
    <w:rsid w:val="00995350"/>
    <w:rsid w:val="009A0F70"/>
    <w:rsid w:val="009A190A"/>
    <w:rsid w:val="009A4474"/>
    <w:rsid w:val="009B4386"/>
    <w:rsid w:val="009B4E61"/>
    <w:rsid w:val="009B5779"/>
    <w:rsid w:val="009B6EB7"/>
    <w:rsid w:val="009B7EDF"/>
    <w:rsid w:val="009C2EBF"/>
    <w:rsid w:val="009C5883"/>
    <w:rsid w:val="009F170C"/>
    <w:rsid w:val="00A100A0"/>
    <w:rsid w:val="00A16045"/>
    <w:rsid w:val="00A20544"/>
    <w:rsid w:val="00A2462B"/>
    <w:rsid w:val="00A26580"/>
    <w:rsid w:val="00A3120E"/>
    <w:rsid w:val="00A31F1B"/>
    <w:rsid w:val="00A353E8"/>
    <w:rsid w:val="00A364A3"/>
    <w:rsid w:val="00A46B82"/>
    <w:rsid w:val="00A474FB"/>
    <w:rsid w:val="00A523BE"/>
    <w:rsid w:val="00A709A0"/>
    <w:rsid w:val="00A86F7D"/>
    <w:rsid w:val="00A90448"/>
    <w:rsid w:val="00AA47AA"/>
    <w:rsid w:val="00AB2C9A"/>
    <w:rsid w:val="00AC367D"/>
    <w:rsid w:val="00AC7879"/>
    <w:rsid w:val="00AD1635"/>
    <w:rsid w:val="00AE4C1A"/>
    <w:rsid w:val="00AE5A59"/>
    <w:rsid w:val="00AF17A3"/>
    <w:rsid w:val="00B04B9F"/>
    <w:rsid w:val="00B05486"/>
    <w:rsid w:val="00B063BA"/>
    <w:rsid w:val="00B073F6"/>
    <w:rsid w:val="00B1115D"/>
    <w:rsid w:val="00B1641A"/>
    <w:rsid w:val="00B21AAF"/>
    <w:rsid w:val="00B257F9"/>
    <w:rsid w:val="00B46EC7"/>
    <w:rsid w:val="00B5775E"/>
    <w:rsid w:val="00B64F6C"/>
    <w:rsid w:val="00B75C01"/>
    <w:rsid w:val="00B80CAC"/>
    <w:rsid w:val="00B81549"/>
    <w:rsid w:val="00B92BEF"/>
    <w:rsid w:val="00B93981"/>
    <w:rsid w:val="00B9665B"/>
    <w:rsid w:val="00BB3962"/>
    <w:rsid w:val="00BB3B07"/>
    <w:rsid w:val="00BC201E"/>
    <w:rsid w:val="00BC2C31"/>
    <w:rsid w:val="00BD61F2"/>
    <w:rsid w:val="00BE52CB"/>
    <w:rsid w:val="00C16B05"/>
    <w:rsid w:val="00C22C9A"/>
    <w:rsid w:val="00C23A95"/>
    <w:rsid w:val="00C24DFF"/>
    <w:rsid w:val="00C350E5"/>
    <w:rsid w:val="00C35523"/>
    <w:rsid w:val="00C57420"/>
    <w:rsid w:val="00C63246"/>
    <w:rsid w:val="00C75B08"/>
    <w:rsid w:val="00C84C81"/>
    <w:rsid w:val="00C92F7C"/>
    <w:rsid w:val="00CA1DA2"/>
    <w:rsid w:val="00CA44EB"/>
    <w:rsid w:val="00CA54E6"/>
    <w:rsid w:val="00CB1AD0"/>
    <w:rsid w:val="00CB5345"/>
    <w:rsid w:val="00CB5631"/>
    <w:rsid w:val="00CD1C6C"/>
    <w:rsid w:val="00CD239D"/>
    <w:rsid w:val="00CE4C67"/>
    <w:rsid w:val="00CF0FAF"/>
    <w:rsid w:val="00CF18ED"/>
    <w:rsid w:val="00CF232B"/>
    <w:rsid w:val="00CF5EF5"/>
    <w:rsid w:val="00D13D3B"/>
    <w:rsid w:val="00D14604"/>
    <w:rsid w:val="00D33272"/>
    <w:rsid w:val="00D465CE"/>
    <w:rsid w:val="00D55650"/>
    <w:rsid w:val="00D576EF"/>
    <w:rsid w:val="00D706B5"/>
    <w:rsid w:val="00D74075"/>
    <w:rsid w:val="00D8469B"/>
    <w:rsid w:val="00D84B71"/>
    <w:rsid w:val="00D92F63"/>
    <w:rsid w:val="00DA7B77"/>
    <w:rsid w:val="00DB7141"/>
    <w:rsid w:val="00DC2E95"/>
    <w:rsid w:val="00DC4BD3"/>
    <w:rsid w:val="00DD084E"/>
    <w:rsid w:val="00DD0F9A"/>
    <w:rsid w:val="00DD3BD4"/>
    <w:rsid w:val="00DD6C63"/>
    <w:rsid w:val="00E056E1"/>
    <w:rsid w:val="00E118BE"/>
    <w:rsid w:val="00E138B9"/>
    <w:rsid w:val="00E352CD"/>
    <w:rsid w:val="00E4426F"/>
    <w:rsid w:val="00E4436B"/>
    <w:rsid w:val="00E463B4"/>
    <w:rsid w:val="00E573BE"/>
    <w:rsid w:val="00E57562"/>
    <w:rsid w:val="00E9199D"/>
    <w:rsid w:val="00EA3F47"/>
    <w:rsid w:val="00EA628A"/>
    <w:rsid w:val="00ED143E"/>
    <w:rsid w:val="00EE201E"/>
    <w:rsid w:val="00EF1B69"/>
    <w:rsid w:val="00F124C2"/>
    <w:rsid w:val="00F34D24"/>
    <w:rsid w:val="00F3516E"/>
    <w:rsid w:val="00F35481"/>
    <w:rsid w:val="00F42671"/>
    <w:rsid w:val="00F4445B"/>
    <w:rsid w:val="00F52C43"/>
    <w:rsid w:val="00F834E5"/>
    <w:rsid w:val="00F93524"/>
    <w:rsid w:val="00FA1227"/>
    <w:rsid w:val="00FA3258"/>
    <w:rsid w:val="00FB03F9"/>
    <w:rsid w:val="00FB4ACB"/>
    <w:rsid w:val="00FC2AB5"/>
    <w:rsid w:val="00FC58E4"/>
    <w:rsid w:val="00FC7681"/>
    <w:rsid w:val="00FD2DA6"/>
    <w:rsid w:val="00FE412E"/>
    <w:rsid w:val="00FF57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65A352BA"/>
  <w15:docId w15:val="{6A509AEB-EAA5-4685-99A0-5A333B6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uiPriority="9" w:qFormat="1"/>
    <w:lsdException w:name="heading 2" w:locked="0" w:uiPriority="9" w:qFormat="1"/>
    <w:lsdException w:name="heading 3" w:locked="0" w:uiPriority="9"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iPriority="99" w:unhideWhenUsed="1"/>
    <w:lsdException w:name="footer" w:locked="0"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99"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843FBF"/>
    <w:pPr>
      <w:spacing w:after="120"/>
    </w:pPr>
    <w:rPr>
      <w:lang w:val="en-GB"/>
    </w:rPr>
  </w:style>
  <w:style w:type="paragraph" w:styleId="Heading1">
    <w:name w:val="heading 1"/>
    <w:basedOn w:val="Normal"/>
    <w:next w:val="Normal"/>
    <w:link w:val="Heading1Char"/>
    <w:uiPriority w:val="9"/>
    <w:qFormat/>
    <w:rsid w:val="00C84C81"/>
    <w:pPr>
      <w:keepNext/>
      <w:spacing w:after="180"/>
      <w:outlineLvl w:val="0"/>
    </w:pPr>
    <w:rPr>
      <w:rFonts w:cs="Arial"/>
      <w:bCs/>
      <w:noProof/>
      <w:kern w:val="32"/>
      <w:sz w:val="30"/>
      <w:szCs w:val="30"/>
      <w:lang w:eastAsia="en-US"/>
    </w:rPr>
  </w:style>
  <w:style w:type="paragraph" w:styleId="Heading2">
    <w:name w:val="heading 2"/>
    <w:basedOn w:val="Normal"/>
    <w:next w:val="Normal"/>
    <w:link w:val="Heading2Char"/>
    <w:uiPriority w:val="9"/>
    <w:qFormat/>
    <w:rsid w:val="00C84C81"/>
    <w:pPr>
      <w:keepNext/>
      <w:outlineLvl w:val="1"/>
    </w:pPr>
    <w:rPr>
      <w:rFonts w:cs="Arial"/>
      <w:b/>
      <w:bCs/>
      <w:iCs/>
      <w:color w:val="595959" w:themeColor="text1" w:themeTint="A6"/>
      <w:sz w:val="24"/>
      <w:szCs w:val="24"/>
      <w:lang w:eastAsia="en-US"/>
    </w:rPr>
  </w:style>
  <w:style w:type="paragraph" w:styleId="Heading3">
    <w:name w:val="heading 3"/>
    <w:basedOn w:val="Normal"/>
    <w:next w:val="Normal"/>
    <w:link w:val="Heading3Char"/>
    <w:uiPriority w:val="9"/>
    <w:qFormat/>
    <w:rsid w:val="00166878"/>
    <w:pPr>
      <w:outlineLvl w:val="2"/>
    </w:pPr>
    <w:rPr>
      <w:rFonts w:cs="Arial"/>
      <w:color w:val="7F7F7F"/>
      <w:sz w:val="28"/>
      <w:szCs w:val="28"/>
      <w:lang w:eastAsia="en-US"/>
    </w:rPr>
  </w:style>
  <w:style w:type="paragraph" w:styleId="Heading4">
    <w:name w:val="heading 4"/>
    <w:basedOn w:val="Normal"/>
    <w:next w:val="Normal"/>
    <w:link w:val="Heading4Char"/>
    <w:unhideWhenUsed/>
    <w:qFormat/>
    <w:rsid w:val="00D576EF"/>
    <w:pPr>
      <w:spacing w:before="80"/>
      <w:outlineLvl w:val="3"/>
    </w:pPr>
    <w:rPr>
      <w:rFonts w:cs="Arial"/>
      <w:b/>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302F"/>
    <w:pPr>
      <w:tabs>
        <w:tab w:val="center" w:pos="4513"/>
        <w:tab w:val="right" w:pos="9026"/>
      </w:tabs>
      <w:spacing w:after="0"/>
    </w:pPr>
    <w:rPr>
      <w:color w:val="7F7F7F" w:themeColor="text1" w:themeTint="80"/>
    </w:rPr>
  </w:style>
  <w:style w:type="paragraph" w:styleId="Footer">
    <w:name w:val="footer"/>
    <w:basedOn w:val="Normal"/>
    <w:link w:val="FooterChar"/>
    <w:uiPriority w:val="99"/>
    <w:rsid w:val="005E1C7F"/>
    <w:pPr>
      <w:tabs>
        <w:tab w:val="center" w:pos="4153"/>
        <w:tab w:val="right" w:pos="9498"/>
      </w:tabs>
    </w:pPr>
    <w:rPr>
      <w:rFonts w:cs="Arial"/>
      <w:color w:val="808080"/>
      <w:sz w:val="18"/>
      <w:szCs w:val="18"/>
      <w:lang w:eastAsia="en-US"/>
    </w:rPr>
  </w:style>
  <w:style w:type="character" w:styleId="PageNumber">
    <w:name w:val="page number"/>
    <w:rsid w:val="00D576EF"/>
    <w:rPr>
      <w:rFonts w:ascii="Arial" w:hAnsi="Arial" w:cs="Arial"/>
      <w:color w:val="7F7F7F"/>
      <w:sz w:val="16"/>
      <w:szCs w:val="16"/>
    </w:rPr>
  </w:style>
  <w:style w:type="paragraph" w:styleId="ListBullet">
    <w:name w:val="List Bullet"/>
    <w:basedOn w:val="Normal"/>
    <w:rsid w:val="00D576EF"/>
    <w:pPr>
      <w:numPr>
        <w:numId w:val="2"/>
      </w:numPr>
      <w:spacing w:line="276" w:lineRule="auto"/>
      <w:contextualSpacing/>
    </w:pPr>
    <w:rPr>
      <w:rFonts w:cs="Arial"/>
      <w:lang w:val="en-US" w:eastAsia="en-US"/>
    </w:rPr>
  </w:style>
  <w:style w:type="paragraph" w:customStyle="1" w:styleId="DOCUMENTTITLE">
    <w:name w:val="DOCUMENT TITLE"/>
    <w:basedOn w:val="Normal"/>
    <w:rsid w:val="00C84C81"/>
    <w:pPr>
      <w:spacing w:after="60"/>
    </w:pPr>
    <w:rPr>
      <w:rFonts w:ascii="Arial Black" w:hAnsi="Arial Black"/>
      <w:b/>
      <w:caps/>
      <w:noProof/>
      <w:sz w:val="28"/>
      <w:szCs w:val="28"/>
    </w:rPr>
  </w:style>
  <w:style w:type="character" w:customStyle="1" w:styleId="HeaderChar">
    <w:name w:val="Header Char"/>
    <w:link w:val="Header"/>
    <w:uiPriority w:val="99"/>
    <w:rsid w:val="0022302F"/>
    <w:rPr>
      <w:color w:val="7F7F7F" w:themeColor="text1" w:themeTint="80"/>
    </w:rPr>
  </w:style>
  <w:style w:type="paragraph" w:customStyle="1" w:styleId="Numberedlist">
    <w:name w:val="Numbered list"/>
    <w:basedOn w:val="ListBullet"/>
    <w:locked/>
    <w:rsid w:val="00C16B05"/>
    <w:pPr>
      <w:numPr>
        <w:numId w:val="1"/>
      </w:numPr>
    </w:pPr>
  </w:style>
  <w:style w:type="character" w:customStyle="1" w:styleId="FooterChar">
    <w:name w:val="Footer Char"/>
    <w:link w:val="Footer"/>
    <w:uiPriority w:val="99"/>
    <w:rsid w:val="005E1C7F"/>
    <w:rPr>
      <w:rFonts w:cs="Arial"/>
      <w:color w:val="808080"/>
      <w:sz w:val="18"/>
      <w:szCs w:val="18"/>
      <w:lang w:val="en-GB" w:eastAsia="en-US"/>
    </w:rPr>
  </w:style>
  <w:style w:type="character" w:customStyle="1" w:styleId="Heading1Char">
    <w:name w:val="Heading 1 Char"/>
    <w:link w:val="Heading1"/>
    <w:uiPriority w:val="9"/>
    <w:rsid w:val="00C84C81"/>
    <w:rPr>
      <w:rFonts w:cs="Arial"/>
      <w:bCs/>
      <w:noProof/>
      <w:kern w:val="32"/>
      <w:sz w:val="30"/>
      <w:szCs w:val="30"/>
      <w:lang w:eastAsia="en-US"/>
    </w:rPr>
  </w:style>
  <w:style w:type="character" w:customStyle="1" w:styleId="Heading2Char">
    <w:name w:val="Heading 2 Char"/>
    <w:link w:val="Heading2"/>
    <w:uiPriority w:val="9"/>
    <w:rsid w:val="00C84C81"/>
    <w:rPr>
      <w:rFonts w:cs="Arial"/>
      <w:b/>
      <w:bCs/>
      <w:iCs/>
      <w:color w:val="595959" w:themeColor="text1" w:themeTint="A6"/>
      <w:sz w:val="24"/>
      <w:szCs w:val="24"/>
      <w:lang w:eastAsia="en-US"/>
    </w:rPr>
  </w:style>
  <w:style w:type="character" w:customStyle="1" w:styleId="Heading3Char">
    <w:name w:val="Heading 3 Char"/>
    <w:link w:val="Heading3"/>
    <w:uiPriority w:val="9"/>
    <w:rsid w:val="00166878"/>
    <w:rPr>
      <w:rFonts w:cs="Arial"/>
      <w:color w:val="7F7F7F"/>
      <w:sz w:val="28"/>
      <w:szCs w:val="28"/>
      <w:lang w:eastAsia="en-US"/>
    </w:rPr>
  </w:style>
  <w:style w:type="character" w:customStyle="1" w:styleId="Heading4Char">
    <w:name w:val="Heading 4 Char"/>
    <w:link w:val="Heading4"/>
    <w:rsid w:val="00D576EF"/>
    <w:rPr>
      <w:rFonts w:ascii="Arial" w:hAnsi="Arial" w:cs="Arial"/>
      <w:b/>
      <w:sz w:val="22"/>
      <w:szCs w:val="22"/>
      <w:lang w:eastAsia="en-US"/>
    </w:rPr>
  </w:style>
  <w:style w:type="paragraph" w:styleId="ListBullet2">
    <w:name w:val="List Bullet 2"/>
    <w:basedOn w:val="ListBullet"/>
    <w:rsid w:val="00D576EF"/>
    <w:pPr>
      <w:numPr>
        <w:numId w:val="3"/>
      </w:numPr>
    </w:pPr>
  </w:style>
  <w:style w:type="paragraph" w:styleId="ListContinue">
    <w:name w:val="List Continue"/>
    <w:basedOn w:val="Normal"/>
    <w:rsid w:val="00D576EF"/>
    <w:pPr>
      <w:ind w:left="426"/>
      <w:contextualSpacing/>
    </w:pPr>
    <w:rPr>
      <w:rFonts w:cs="Arial"/>
      <w:lang w:val="en-US" w:eastAsia="en-US"/>
    </w:rPr>
  </w:style>
  <w:style w:type="paragraph" w:styleId="ListNumber">
    <w:name w:val="List Number"/>
    <w:basedOn w:val="Normal"/>
    <w:rsid w:val="00D576EF"/>
    <w:pPr>
      <w:numPr>
        <w:numId w:val="4"/>
      </w:numPr>
      <w:spacing w:after="60"/>
    </w:pPr>
    <w:rPr>
      <w:rFonts w:cs="Arial"/>
      <w:lang w:val="en-US" w:eastAsia="en-US"/>
    </w:rPr>
  </w:style>
  <w:style w:type="paragraph" w:customStyle="1" w:styleId="Imagecaption">
    <w:name w:val="Image caption"/>
    <w:qFormat/>
    <w:rsid w:val="00D576EF"/>
    <w:pPr>
      <w:spacing w:after="120"/>
    </w:pPr>
    <w:rPr>
      <w:rFonts w:cs="Arial"/>
      <w:i/>
      <w:color w:val="7F7F7F"/>
      <w:sz w:val="16"/>
      <w:szCs w:val="16"/>
      <w:lang w:val="en-US" w:eastAsia="en-US"/>
    </w:rPr>
  </w:style>
  <w:style w:type="character" w:styleId="Hyperlink">
    <w:name w:val="Hyperlink"/>
    <w:rsid w:val="00D84B71"/>
    <w:rPr>
      <w:color w:val="00877F"/>
      <w:u w:val="single"/>
    </w:rPr>
  </w:style>
  <w:style w:type="character" w:styleId="SubtleReference">
    <w:name w:val="Subtle Reference"/>
    <w:uiPriority w:val="31"/>
    <w:qFormat/>
    <w:locked/>
    <w:rsid w:val="00DD0F9A"/>
    <w:rPr>
      <w:smallCaps/>
      <w:color w:val="C0504D"/>
      <w:u w:val="single"/>
    </w:rPr>
  </w:style>
  <w:style w:type="character" w:styleId="IntenseReference">
    <w:name w:val="Intense Reference"/>
    <w:uiPriority w:val="32"/>
    <w:qFormat/>
    <w:locked/>
    <w:rsid w:val="00DD0F9A"/>
    <w:rPr>
      <w:b/>
      <w:bCs/>
      <w:smallCaps/>
      <w:color w:val="C0504D"/>
      <w:spacing w:val="5"/>
      <w:u w:val="single"/>
    </w:rPr>
  </w:style>
  <w:style w:type="paragraph" w:styleId="IntenseQuote">
    <w:name w:val="Intense Quote"/>
    <w:basedOn w:val="Normal"/>
    <w:next w:val="Normal"/>
    <w:link w:val="IntenseQuoteChar"/>
    <w:uiPriority w:val="30"/>
    <w:qFormat/>
    <w:locked/>
    <w:rsid w:val="00DD0F9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DD0F9A"/>
    <w:rPr>
      <w:b/>
      <w:bCs/>
      <w:i/>
      <w:iCs/>
      <w:color w:val="4F81BD"/>
      <w:sz w:val="21"/>
      <w:szCs w:val="21"/>
    </w:rPr>
  </w:style>
  <w:style w:type="paragraph" w:styleId="Quote">
    <w:name w:val="Quote"/>
    <w:basedOn w:val="Normal"/>
    <w:next w:val="Normal"/>
    <w:link w:val="QuoteChar"/>
    <w:uiPriority w:val="29"/>
    <w:qFormat/>
    <w:locked/>
    <w:rsid w:val="00DD0F9A"/>
    <w:rPr>
      <w:i/>
      <w:iCs/>
      <w:color w:val="000000"/>
    </w:rPr>
  </w:style>
  <w:style w:type="character" w:customStyle="1" w:styleId="QuoteChar">
    <w:name w:val="Quote Char"/>
    <w:link w:val="Quote"/>
    <w:uiPriority w:val="29"/>
    <w:rsid w:val="00DD0F9A"/>
    <w:rPr>
      <w:i/>
      <w:iCs/>
      <w:color w:val="000000"/>
      <w:sz w:val="21"/>
      <w:szCs w:val="21"/>
    </w:rPr>
  </w:style>
  <w:style w:type="character" w:customStyle="1" w:styleId="Legislation">
    <w:name w:val="Legislation"/>
    <w:rsid w:val="00DD0F9A"/>
    <w:rPr>
      <w:bCs/>
      <w:i/>
      <w:color w:val="auto"/>
    </w:rPr>
  </w:style>
  <w:style w:type="character" w:styleId="HTMLKeyboard">
    <w:name w:val="HTML Keyboard"/>
    <w:locked/>
    <w:rsid w:val="00DD0F9A"/>
    <w:rPr>
      <w:rFonts w:ascii="Courier New" w:hAnsi="Courier New" w:cs="Courier New"/>
      <w:sz w:val="20"/>
      <w:szCs w:val="20"/>
    </w:rPr>
  </w:style>
  <w:style w:type="character" w:styleId="LineNumber">
    <w:name w:val="line number"/>
    <w:aliases w:val="Legislation-reference"/>
    <w:basedOn w:val="DefaultParagraphFont"/>
    <w:locked/>
    <w:rsid w:val="00DD0F9A"/>
  </w:style>
  <w:style w:type="character" w:styleId="Strong">
    <w:name w:val="Strong"/>
    <w:locked/>
    <w:rsid w:val="006433A1"/>
    <w:rPr>
      <w:b/>
      <w:bCs/>
    </w:rPr>
  </w:style>
  <w:style w:type="paragraph" w:customStyle="1" w:styleId="Tagline">
    <w:name w:val="Tagline"/>
    <w:qFormat/>
    <w:rsid w:val="006433A1"/>
    <w:pPr>
      <w:spacing w:after="120"/>
    </w:pPr>
    <w:rPr>
      <w:rFonts w:cs="Arial"/>
      <w:b/>
      <w:color w:val="808080"/>
      <w:sz w:val="22"/>
      <w:szCs w:val="22"/>
      <w:lang w:val="en-GB" w:eastAsia="en-US"/>
    </w:rPr>
  </w:style>
  <w:style w:type="table" w:styleId="TableGrid">
    <w:name w:val="Table Grid"/>
    <w:basedOn w:val="TableNormal"/>
    <w:uiPriority w:val="59"/>
    <w:locked/>
    <w:rsid w:val="00843F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locked/>
    <w:rsid w:val="00680AB8"/>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680AB8"/>
    <w:rPr>
      <w:rFonts w:ascii="Tahoma" w:hAnsi="Tahoma" w:cs="Tahoma"/>
      <w:sz w:val="16"/>
      <w:szCs w:val="16"/>
    </w:rPr>
  </w:style>
  <w:style w:type="paragraph" w:styleId="ListParagraph">
    <w:name w:val="List Paragraph"/>
    <w:basedOn w:val="Normal"/>
    <w:uiPriority w:val="34"/>
    <w:qFormat/>
    <w:locked/>
    <w:rsid w:val="00E118BE"/>
    <w:pPr>
      <w:spacing w:after="0"/>
      <w:ind w:left="720"/>
      <w:contextualSpacing/>
    </w:pPr>
    <w:rPr>
      <w:rFonts w:ascii="Times New Roman" w:hAnsi="Times New Roman"/>
      <w:sz w:val="24"/>
      <w:szCs w:val="24"/>
    </w:rPr>
  </w:style>
  <w:style w:type="character" w:styleId="FollowedHyperlink">
    <w:name w:val="FollowedHyperlink"/>
    <w:basedOn w:val="DefaultParagraphFont"/>
    <w:uiPriority w:val="99"/>
    <w:unhideWhenUsed/>
    <w:locked/>
    <w:rsid w:val="00671013"/>
    <w:rPr>
      <w:color w:val="800080" w:themeColor="followedHyperlink"/>
      <w:u w:val="single"/>
    </w:rPr>
  </w:style>
  <w:style w:type="character" w:styleId="UnresolvedMention">
    <w:name w:val="Unresolved Mention"/>
    <w:basedOn w:val="DefaultParagraphFont"/>
    <w:uiPriority w:val="99"/>
    <w:semiHidden/>
    <w:unhideWhenUsed/>
    <w:rsid w:val="0084002D"/>
    <w:rPr>
      <w:color w:val="605E5C"/>
      <w:shd w:val="clear" w:color="auto" w:fill="E1DFDD"/>
    </w:rPr>
  </w:style>
  <w:style w:type="paragraph" w:customStyle="1" w:styleId="BasicParagraph">
    <w:name w:val="[Basic Paragraph]"/>
    <w:basedOn w:val="Normal"/>
    <w:rsid w:val="00E573BE"/>
    <w:pPr>
      <w:autoSpaceDE w:val="0"/>
      <w:autoSpaceDN w:val="0"/>
      <w:adjustRightInd w:val="0"/>
      <w:spacing w:after="240" w:line="288" w:lineRule="auto"/>
      <w:textAlignment w:val="center"/>
    </w:pPr>
    <w:rPr>
      <w:color w:val="000000"/>
      <w:sz w:val="22"/>
      <w:szCs w:val="24"/>
    </w:rPr>
  </w:style>
  <w:style w:type="paragraph" w:styleId="FootnoteText">
    <w:name w:val="footnote text"/>
    <w:basedOn w:val="Normal"/>
    <w:link w:val="FootnoteTextChar"/>
    <w:uiPriority w:val="99"/>
    <w:unhideWhenUsed/>
    <w:locked/>
    <w:rsid w:val="00E573BE"/>
    <w:pPr>
      <w:spacing w:after="200" w:line="276" w:lineRule="auto"/>
    </w:pPr>
    <w:rPr>
      <w:rFonts w:ascii="Calibri" w:hAnsi="Calibri"/>
      <w:lang w:val="en-AU" w:eastAsia="en-US"/>
    </w:rPr>
  </w:style>
  <w:style w:type="character" w:customStyle="1" w:styleId="FootnoteTextChar">
    <w:name w:val="Footnote Text Char"/>
    <w:basedOn w:val="DefaultParagraphFont"/>
    <w:link w:val="FootnoteText"/>
    <w:uiPriority w:val="99"/>
    <w:rsid w:val="00E573BE"/>
    <w:rPr>
      <w:rFonts w:ascii="Calibri" w:hAnsi="Calibri"/>
      <w:lang w:eastAsia="en-US"/>
    </w:rPr>
  </w:style>
  <w:style w:type="character" w:styleId="FootnoteReference">
    <w:name w:val="footnote reference"/>
    <w:basedOn w:val="DefaultParagraphFont"/>
    <w:uiPriority w:val="99"/>
    <w:unhideWhenUsed/>
    <w:locked/>
    <w:rsid w:val="00E573BE"/>
    <w:rPr>
      <w:rFonts w:cs="Times New Roman"/>
      <w:vertAlign w:val="superscript"/>
    </w:rPr>
  </w:style>
  <w:style w:type="character" w:styleId="CommentReference">
    <w:name w:val="annotation reference"/>
    <w:basedOn w:val="DefaultParagraphFont"/>
    <w:uiPriority w:val="99"/>
    <w:unhideWhenUsed/>
    <w:locked/>
    <w:rsid w:val="00E573BE"/>
    <w:rPr>
      <w:rFonts w:cs="Times New Roman"/>
      <w:sz w:val="16"/>
    </w:rPr>
  </w:style>
  <w:style w:type="paragraph" w:styleId="CommentText">
    <w:name w:val="annotation text"/>
    <w:basedOn w:val="Normal"/>
    <w:link w:val="CommentTextChar"/>
    <w:uiPriority w:val="99"/>
    <w:unhideWhenUsed/>
    <w:locked/>
    <w:rsid w:val="00E573BE"/>
    <w:pPr>
      <w:widowControl w:val="0"/>
      <w:spacing w:before="120"/>
    </w:pPr>
    <w:rPr>
      <w:rFonts w:cs="Arial"/>
      <w:lang w:val="en-US" w:eastAsia="en-US"/>
    </w:rPr>
  </w:style>
  <w:style w:type="character" w:customStyle="1" w:styleId="CommentTextChar">
    <w:name w:val="Comment Text Char"/>
    <w:basedOn w:val="DefaultParagraphFont"/>
    <w:link w:val="CommentText"/>
    <w:uiPriority w:val="99"/>
    <w:rsid w:val="00E573BE"/>
    <w:rPr>
      <w:rFonts w:cs="Arial"/>
      <w:lang w:val="en-US" w:eastAsia="en-US"/>
    </w:rPr>
  </w:style>
  <w:style w:type="paragraph" w:styleId="CommentSubject">
    <w:name w:val="annotation subject"/>
    <w:basedOn w:val="CommentText"/>
    <w:next w:val="CommentText"/>
    <w:link w:val="CommentSubjectChar"/>
    <w:uiPriority w:val="99"/>
    <w:unhideWhenUsed/>
    <w:locked/>
    <w:rsid w:val="00E573BE"/>
    <w:rPr>
      <w:b/>
      <w:bCs/>
    </w:rPr>
  </w:style>
  <w:style w:type="character" w:customStyle="1" w:styleId="CommentSubjectChar">
    <w:name w:val="Comment Subject Char"/>
    <w:basedOn w:val="CommentTextChar"/>
    <w:link w:val="CommentSubject"/>
    <w:uiPriority w:val="99"/>
    <w:rsid w:val="00E573BE"/>
    <w:rPr>
      <w:rFonts w:cs="Arial"/>
      <w:b/>
      <w:bCs/>
      <w:lang w:val="en-US" w:eastAsia="en-US"/>
    </w:rPr>
  </w:style>
  <w:style w:type="paragraph" w:styleId="TOC2">
    <w:name w:val="toc 2"/>
    <w:basedOn w:val="Normal"/>
    <w:next w:val="Normal"/>
    <w:autoRedefine/>
    <w:uiPriority w:val="39"/>
    <w:qFormat/>
    <w:locked/>
    <w:rsid w:val="00E573BE"/>
    <w:pPr>
      <w:spacing w:after="0"/>
      <w:ind w:left="220"/>
    </w:pPr>
    <w:rPr>
      <w:rFonts w:asciiTheme="minorHAnsi" w:hAnsiTheme="minorHAnsi" w:cs="Calibri"/>
      <w:smallCaps/>
      <w:lang w:val="en-AU"/>
    </w:rPr>
  </w:style>
  <w:style w:type="paragraph" w:styleId="TOC3">
    <w:name w:val="toc 3"/>
    <w:basedOn w:val="Normal"/>
    <w:next w:val="Normal"/>
    <w:autoRedefine/>
    <w:uiPriority w:val="39"/>
    <w:qFormat/>
    <w:locked/>
    <w:rsid w:val="00E573BE"/>
    <w:pPr>
      <w:spacing w:after="0"/>
      <w:ind w:left="440"/>
    </w:pPr>
    <w:rPr>
      <w:rFonts w:asciiTheme="minorHAnsi" w:hAnsiTheme="minorHAnsi" w:cs="Calibri"/>
      <w:i/>
      <w:iCs/>
      <w:lang w:val="en-AU"/>
    </w:rPr>
  </w:style>
  <w:style w:type="paragraph" w:customStyle="1" w:styleId="Default">
    <w:name w:val="Default"/>
    <w:rsid w:val="00605BFB"/>
    <w:pPr>
      <w:autoSpaceDE w:val="0"/>
      <w:autoSpaceDN w:val="0"/>
      <w:adjustRightInd w:val="0"/>
    </w:pPr>
    <w:rPr>
      <w:rFonts w:eastAsiaTheme="minorHAnsi" w:cs="Arial"/>
      <w:color w:val="000000"/>
      <w:sz w:val="24"/>
      <w:szCs w:val="24"/>
      <w:lang w:eastAsia="en-US"/>
    </w:rPr>
  </w:style>
  <w:style w:type="paragraph" w:styleId="Revision">
    <w:name w:val="Revision"/>
    <w:hidden/>
    <w:uiPriority w:val="99"/>
    <w:semiHidden/>
    <w:rsid w:val="00D7407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sdsatsip.qld.gov.au/resources/dsdsatsip/disability/service-providers/centre-excellence/authorising-restrictive-practice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nquiries_rp@dsdsatsip.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nnell\Desktop\doc-factsheet-childsafety-top%20-%20%20LH.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12EE0-6F15-4F65-9E6D-B54A8A48D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doc-factsheet-childsafety-top -  LH.dot</Template>
  <TotalTime>2</TotalTime>
  <Pages>3</Pages>
  <Words>1525</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DSDSATSIP Factsheet template</vt:lpstr>
    </vt:vector>
  </TitlesOfParts>
  <Manager/>
  <Company>Queensland Government</Company>
  <LinksUpToDate>false</LinksUpToDate>
  <CharactersWithSpaces>9706</CharactersWithSpaces>
  <SharedDoc>false</SharedDoc>
  <HyperlinkBase/>
  <HLinks>
    <vt:vector size="6" baseType="variant">
      <vt:variant>
        <vt:i4>1048600</vt:i4>
      </vt:variant>
      <vt:variant>
        <vt:i4>0</vt:i4>
      </vt:variant>
      <vt:variant>
        <vt:i4>0</vt:i4>
      </vt:variant>
      <vt:variant>
        <vt:i4>5</vt:i4>
      </vt:variant>
      <vt:variant>
        <vt:lpwstr>http://datsimaintranet/datsimaintranet/forms-templates/our-department/marketing-and-communication/template-guidelines.pdf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DSDSATSIP Factsheet template</dc:title>
  <dc:subject>Factsheet</dc:subject>
  <dc:creator>Queensland Government</dc:creator>
  <cp:keywords>DSDSATSIP; factsheet; aboriginal; torres strait islander; multicultural;</cp:keywords>
  <dc:description>Solid agenda factsheet template in A4 portrait</dc:description>
  <cp:lastModifiedBy>John Panoa</cp:lastModifiedBy>
  <cp:revision>3</cp:revision>
  <cp:lastPrinted>2009-04-20T04:42:00Z</cp:lastPrinted>
  <dcterms:created xsi:type="dcterms:W3CDTF">2022-11-08T02:23:00Z</dcterms:created>
  <dcterms:modified xsi:type="dcterms:W3CDTF">2022-11-08T04:03:00Z</dcterms:modified>
  <cp:category>Factsheet template</cp:category>
</cp:coreProperties>
</file>