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EB15" w14:textId="390A3679" w:rsidR="000121CA" w:rsidRPr="00C05406" w:rsidRDefault="000121CA" w:rsidP="000121CA">
      <w:pPr>
        <w:pStyle w:val="Title"/>
        <w:rPr>
          <w:color w:val="853C85"/>
          <w:lang w:val="en-US"/>
        </w:rPr>
      </w:pPr>
      <w:bookmarkStart w:id="0" w:name="_Hlk515371964"/>
      <w:bookmarkEnd w:id="0"/>
      <w:r w:rsidRPr="00C05406">
        <w:rPr>
          <w:noProof/>
          <w:color w:val="853C85"/>
          <w:lang w:val="en-US"/>
        </w:rPr>
        <w:drawing>
          <wp:anchor distT="0" distB="0" distL="114300" distR="114300" simplePos="0" relativeHeight="251658241" behindDoc="0" locked="0" layoutInCell="1" allowOverlap="1" wp14:anchorId="1E6D597D" wp14:editId="604FFD26">
            <wp:simplePos x="0" y="0"/>
            <wp:positionH relativeFrom="margin">
              <wp:align>right</wp:align>
            </wp:positionH>
            <wp:positionV relativeFrom="paragraph">
              <wp:posOffset>9525</wp:posOffset>
            </wp:positionV>
            <wp:extent cx="900000" cy="900000"/>
            <wp:effectExtent l="0" t="0" r="0" b="0"/>
            <wp:wrapSquare wrapText="bothSides"/>
            <wp:docPr id="8" name="Picture 8" descr="A white building and a hous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building and a house in a circle&#10;&#10;Description automatically generated"/>
                    <pic:cNvPicPr/>
                  </pic:nvPicPr>
                  <pic:blipFill>
                    <a:blip r:embed="rId8">
                      <a:duotone>
                        <a:schemeClr val="accent1">
                          <a:shade val="45000"/>
                          <a:satMod val="135000"/>
                        </a:schemeClr>
                        <a:prstClr val="white"/>
                      </a:duotone>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Pr="00C05406">
        <w:rPr>
          <w:color w:val="853C85"/>
          <w:lang w:val="en-US"/>
        </w:rPr>
        <w:t xml:space="preserve">Housing </w:t>
      </w:r>
      <w:r w:rsidR="00935AEE">
        <w:rPr>
          <w:color w:val="853C85"/>
          <w:lang w:val="en-US"/>
        </w:rPr>
        <w:t>and</w:t>
      </w:r>
      <w:r w:rsidRPr="00C05406">
        <w:rPr>
          <w:color w:val="853C85"/>
          <w:lang w:val="en-US"/>
        </w:rPr>
        <w:t xml:space="preserve"> older Queenslander</w:t>
      </w:r>
      <w:bookmarkStart w:id="1" w:name="_Hlk511208588"/>
      <w:bookmarkEnd w:id="1"/>
      <w:r w:rsidRPr="00C05406">
        <w:rPr>
          <w:color w:val="853C85"/>
          <w:lang w:val="en-US"/>
        </w:rPr>
        <w:t>s</w:t>
      </w:r>
    </w:p>
    <w:p w14:paraId="161C6EA8" w14:textId="77777777" w:rsidR="000121CA" w:rsidRPr="002047A4" w:rsidRDefault="000121CA" w:rsidP="000121CA">
      <w:pPr>
        <w:pStyle w:val="Subtitle"/>
        <w:rPr>
          <w:sz w:val="22"/>
          <w:szCs w:val="22"/>
        </w:rPr>
      </w:pPr>
      <w:r w:rsidRPr="002047A4">
        <w:rPr>
          <w:sz w:val="22"/>
          <w:szCs w:val="22"/>
        </w:rPr>
        <w:t>Progress towards an age-friendly Queensland where seniors can age in place, in housing that meets their needs, is dependent on understanding broader social factors impacting housing decisions of older Queenslanders as they age.</w:t>
      </w:r>
    </w:p>
    <w:p w14:paraId="5BCDD768" w14:textId="39E4845D" w:rsidR="000121CA" w:rsidRPr="002047A4" w:rsidRDefault="000121CA" w:rsidP="000121CA">
      <w:pPr>
        <w:pStyle w:val="NoSpacing"/>
      </w:pPr>
      <w:r w:rsidRPr="002047A4">
        <w:rPr>
          <w:noProof/>
          <w:lang w:eastAsia="en-AU"/>
        </w:rPr>
        <mc:AlternateContent>
          <mc:Choice Requires="wps">
            <w:drawing>
              <wp:anchor distT="45720" distB="45720" distL="114300" distR="114300" simplePos="0" relativeHeight="251658240" behindDoc="0" locked="0" layoutInCell="1" allowOverlap="1" wp14:anchorId="2674ED85" wp14:editId="2CD98D84">
                <wp:simplePos x="0" y="0"/>
                <wp:positionH relativeFrom="page">
                  <wp:posOffset>1057275</wp:posOffset>
                </wp:positionH>
                <wp:positionV relativeFrom="paragraph">
                  <wp:posOffset>777240</wp:posOffset>
                </wp:positionV>
                <wp:extent cx="5287010" cy="11239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123950"/>
                        </a:xfrm>
                        <a:prstGeom prst="round2DiagRect">
                          <a:avLst/>
                        </a:prstGeom>
                        <a:solidFill>
                          <a:schemeClr val="accent4"/>
                        </a:solidFill>
                        <a:ln w="9525">
                          <a:noFill/>
                          <a:miter lim="800000"/>
                          <a:headEnd/>
                          <a:tailEnd/>
                        </a:ln>
                      </wps:spPr>
                      <wps:txbx>
                        <w:txbxContent>
                          <w:p w14:paraId="6A9C58FB" w14:textId="77777777" w:rsidR="000121CA" w:rsidRDefault="000121CA" w:rsidP="000121CA">
                            <w:pPr>
                              <w:spacing w:after="0"/>
                              <w:rPr>
                                <w:b/>
                              </w:rPr>
                            </w:pPr>
                            <w:r>
                              <w:rPr>
                                <w:b/>
                              </w:rPr>
                              <w:t>Who do we mean by older Queenslanders?</w:t>
                            </w:r>
                          </w:p>
                          <w:p w14:paraId="0B0E8774" w14:textId="77777777" w:rsidR="000121CA" w:rsidRDefault="000121CA" w:rsidP="000121CA">
                            <w:pPr>
                              <w:spacing w:after="0"/>
                            </w:pPr>
                            <w:r>
                              <w:t>For this fact sheet, older Queenslanders (or seniors) refers to persons aged 65 years and over, unless specified otherwise in the text and charts.</w:t>
                            </w:r>
                          </w:p>
                          <w:p w14:paraId="476F20B1" w14:textId="77777777" w:rsidR="000121CA" w:rsidRPr="006D66D9" w:rsidRDefault="000121CA" w:rsidP="000121CA">
                            <w:pPr>
                              <w:spacing w:before="60" w:after="0"/>
                              <w:rPr>
                                <w:i/>
                                <w:sz w:val="18"/>
                                <w:szCs w:val="18"/>
                              </w:rPr>
                            </w:pPr>
                            <w:r w:rsidRPr="006D66D9">
                              <w:rPr>
                                <w:i/>
                                <w:sz w:val="18"/>
                                <w:szCs w:val="18"/>
                              </w:rPr>
                              <w:t xml:space="preserve">Refer to the glossary (page 10) for definitions of other terms used in the fact sheet and scope of the census data used in 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4ED85" id="Text Box 2" o:spid="_x0000_s1026" style="position:absolute;margin-left:83.25pt;margin-top:61.2pt;width:416.3pt;height:8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coordsize="5287010,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" adj="-11796480,,5400" path="m187329,l5287010,r,l5287010,936621v,103459,-83870,187329,-187329,187329l,1123950r,l,187329c,83870,83870,,187329,xe" fillcolor="#ffdd49 [3207]" stroked="f">
                <v:stroke joinstyle="miter"/>
                <v:formulas/>
                <v:path arrowok="t" o:connecttype="custom" o:connectlocs="187329,0;5287010,0;5287010,0;5287010,936621;5099681,1123950;0,1123950;0,1123950;0,187329;187329,0" o:connectangles="0,0,0,0,0,0,0,0,0" textboxrect="0,0,5287010,1123950"/>
                <v:textbox>
                  <w:txbxContent>
                    <w:p w14:paraId="6A9C58FB" w14:textId="77777777" w:rsidR="000121CA" w:rsidRDefault="000121CA" w:rsidP="000121CA">
                      <w:pPr>
                        <w:spacing w:after="0"/>
                        <w:rPr>
                          <w:b/>
                        </w:rPr>
                      </w:pPr>
                      <w:r>
                        <w:rPr>
                          <w:b/>
                        </w:rPr>
                        <w:t>Who do we mean by older Queenslanders?</w:t>
                      </w:r>
                    </w:p>
                    <w:p w14:paraId="0B0E8774" w14:textId="77777777" w:rsidR="000121CA" w:rsidRDefault="000121CA" w:rsidP="000121CA">
                      <w:pPr>
                        <w:spacing w:after="0"/>
                      </w:pPr>
                      <w:r>
                        <w:t>For this fact sheet, older Queenslanders (or seniors) refers to persons aged 65 years and over, unless specified otherwise in the text and charts.</w:t>
                      </w:r>
                    </w:p>
                    <w:p w14:paraId="476F20B1" w14:textId="77777777" w:rsidR="000121CA" w:rsidRPr="006D66D9" w:rsidRDefault="000121CA" w:rsidP="000121CA">
                      <w:pPr>
                        <w:spacing w:before="60" w:after="0"/>
                        <w:rPr>
                          <w:i/>
                          <w:sz w:val="18"/>
                          <w:szCs w:val="18"/>
                        </w:rPr>
                      </w:pPr>
                      <w:r w:rsidRPr="006D66D9">
                        <w:rPr>
                          <w:i/>
                          <w:sz w:val="18"/>
                          <w:szCs w:val="18"/>
                        </w:rPr>
                        <w:t xml:space="preserve">Refer to the glossary (page 10) for definitions of other terms used in the fact sheet and scope of the census data used in this report. </w:t>
                      </w:r>
                    </w:p>
                  </w:txbxContent>
                </v:textbox>
                <w10:wrap type="square" anchorx="page"/>
              </v:shape>
            </w:pict>
          </mc:Fallback>
        </mc:AlternateContent>
      </w:r>
      <w:r w:rsidRPr="002047A4">
        <w:t>This fact sheet reports on the housing situations of older Queenslanders by examining changes over time in dwelling and tenure type, living arrangements, homelessness, and mobility. Where possible, the data has been presented by sex to highlight disparities in the housing situations of older men and women.</w:t>
      </w:r>
    </w:p>
    <w:p w14:paraId="661E9192" w14:textId="77777777" w:rsidR="00E53453" w:rsidRDefault="00E53453" w:rsidP="00292858">
      <w:pPr>
        <w:spacing w:after="0" w:line="240" w:lineRule="auto"/>
      </w:pPr>
    </w:p>
    <w:p w14:paraId="12A1E8CE" w14:textId="79558452" w:rsidR="003A218A" w:rsidRDefault="00ED2279" w:rsidP="0086342C">
      <w:r>
        <w:t xml:space="preserve">At the time of the Census, 875,598 older </w:t>
      </w:r>
      <w:r w:rsidR="006C64C0">
        <w:t xml:space="preserve">people </w:t>
      </w:r>
      <w:r w:rsidR="005175CE">
        <w:t xml:space="preserve">counted as residents </w:t>
      </w:r>
      <w:r w:rsidR="00FF4D38">
        <w:t>of</w:t>
      </w:r>
      <w:r w:rsidR="006C64C0">
        <w:t xml:space="preserve"> Queensland. </w:t>
      </w:r>
      <w:r w:rsidR="008045C7">
        <w:t xml:space="preserve">Some </w:t>
      </w:r>
      <w:r w:rsidR="00FF1DF1">
        <w:t xml:space="preserve">of these </w:t>
      </w:r>
      <w:r w:rsidR="008045C7">
        <w:t xml:space="preserve">were travelling </w:t>
      </w:r>
      <w:r w:rsidR="00015490">
        <w:t xml:space="preserve">either in Queensland or elsewhere in Australia. Many older </w:t>
      </w:r>
      <w:r w:rsidR="00A30BF0">
        <w:t>Australians</w:t>
      </w:r>
      <w:r w:rsidR="00015490">
        <w:t xml:space="preserve"> were also visiting Queensland at the time of the Census.</w:t>
      </w:r>
      <w:r w:rsidR="00A30BF0">
        <w:t xml:space="preserve"> As a result, 902</w:t>
      </w:r>
      <w:r w:rsidR="00FF1DF1">
        <w:t>,894 older Australians were counted in Queensland during the Census.</w:t>
      </w:r>
      <w:r w:rsidR="00B63671">
        <w:t xml:space="preserve"> </w:t>
      </w:r>
      <w:r w:rsidR="00582BCB">
        <w:t>The Census</w:t>
      </w:r>
      <w:r w:rsidR="005D3A01">
        <w:t xml:space="preserve"> collects information about the dwelling people were in during the Census.</w:t>
      </w:r>
      <w:r w:rsidR="00582BCB">
        <w:t xml:space="preserve"> </w:t>
      </w:r>
      <w:r w:rsidR="00B63671">
        <w:t xml:space="preserve">To determine what type of housing circumstances older Queenslanders were living in, we can only look at </w:t>
      </w:r>
      <w:r w:rsidR="008D152B">
        <w:t xml:space="preserve">the information provided by </w:t>
      </w:r>
      <w:r w:rsidR="00582BCB">
        <w:t xml:space="preserve">those </w:t>
      </w:r>
      <w:r w:rsidR="00B63671">
        <w:t>who were at home during the Census</w:t>
      </w:r>
      <w:r w:rsidR="00DC3791">
        <w:t xml:space="preserve"> </w:t>
      </w:r>
      <w:r w:rsidR="00DC3791">
        <w:rPr>
          <w:rFonts w:cs="Arial"/>
        </w:rPr>
        <w:t>—</w:t>
      </w:r>
      <w:r w:rsidR="00DC3791">
        <w:t xml:space="preserve"> around 807,320 people</w:t>
      </w:r>
      <w:r w:rsidR="00B63671">
        <w:t>.</w:t>
      </w:r>
    </w:p>
    <w:p w14:paraId="02CD895A" w14:textId="19517C69" w:rsidR="000121CA" w:rsidRDefault="000121CA" w:rsidP="005A47AC">
      <w:pPr>
        <w:pStyle w:val="Heading1"/>
      </w:pPr>
      <w:r w:rsidRPr="005A47AC">
        <w:t>What</w:t>
      </w:r>
      <w:r w:rsidRPr="005831F6">
        <w:t xml:space="preserve"> type of housing do Older Queenslanders live in?</w:t>
      </w:r>
    </w:p>
    <w:bookmarkStart w:id="2" w:name="_Hlk512515931"/>
    <w:p w14:paraId="2523FF2F" w14:textId="62CF525F" w:rsidR="0086342C" w:rsidRPr="00875AD4" w:rsidRDefault="00285372" w:rsidP="0086342C">
      <w:pPr>
        <w:pStyle w:val="Subtitle"/>
        <w:rPr>
          <w:color w:val="339E8A" w:themeColor="accent3"/>
        </w:rPr>
      </w:pPr>
      <w:r w:rsidRPr="00E8503F">
        <w:rPr>
          <w:i/>
          <w:iCs/>
          <w:noProof/>
          <w:lang w:eastAsia="en-AU"/>
        </w:rPr>
        <mc:AlternateContent>
          <mc:Choice Requires="wps">
            <w:drawing>
              <wp:anchor distT="0" distB="0" distL="114300" distR="114300" simplePos="0" relativeHeight="251658248" behindDoc="0" locked="0" layoutInCell="1" allowOverlap="1" wp14:anchorId="3F704BAC" wp14:editId="45769513">
                <wp:simplePos x="0" y="0"/>
                <wp:positionH relativeFrom="margin">
                  <wp:posOffset>3291840</wp:posOffset>
                </wp:positionH>
                <wp:positionV relativeFrom="paragraph">
                  <wp:posOffset>406400</wp:posOffset>
                </wp:positionV>
                <wp:extent cx="2085975" cy="1276350"/>
                <wp:effectExtent l="0" t="0" r="28575" b="19050"/>
                <wp:wrapSquare wrapText="bothSides"/>
                <wp:docPr id="300" name="Rounded Rectangle 13"/>
                <wp:cNvGraphicFramePr/>
                <a:graphic xmlns:a="http://schemas.openxmlformats.org/drawingml/2006/main">
                  <a:graphicData uri="http://schemas.microsoft.com/office/word/2010/wordprocessingShape">
                    <wps:wsp>
                      <wps:cNvSpPr/>
                      <wps:spPr>
                        <a:xfrm>
                          <a:off x="0" y="0"/>
                          <a:ext cx="2085975" cy="1276350"/>
                        </a:xfrm>
                        <a:prstGeom prst="roundRect">
                          <a:avLst/>
                        </a:prstGeom>
                        <a:solidFill>
                          <a:schemeClr val="accent6">
                            <a:lumMod val="40000"/>
                            <a:lumOff val="60000"/>
                          </a:schemeClr>
                        </a:solidFill>
                        <a:ln>
                          <a:solidFill>
                            <a:schemeClr val="accent6">
                              <a:lumMod val="40000"/>
                              <a:lumOff val="60000"/>
                            </a:schemeClr>
                          </a:solidFill>
                        </a:ln>
                        <a:effectLst/>
                      </wps:spPr>
                      <wps:style>
                        <a:lnRef idx="1">
                          <a:schemeClr val="accent2"/>
                        </a:lnRef>
                        <a:fillRef idx="2">
                          <a:schemeClr val="accent2"/>
                        </a:fillRef>
                        <a:effectRef idx="1">
                          <a:schemeClr val="accent2"/>
                        </a:effectRef>
                        <a:fontRef idx="minor">
                          <a:schemeClr val="dk1"/>
                        </a:fontRef>
                      </wps:style>
                      <wps:txbx>
                        <w:txbxContent>
                          <w:p w14:paraId="3556ED03" w14:textId="77777777" w:rsidR="0086342C" w:rsidRPr="006B1871" w:rsidRDefault="0086342C" w:rsidP="0086342C">
                            <w:pPr>
                              <w:jc w:val="center"/>
                              <w:rPr>
                                <w:color w:val="404040" w:themeColor="text1" w:themeTint="BF"/>
                                <w:szCs w:val="22"/>
                              </w:rPr>
                            </w:pPr>
                            <w:r w:rsidRPr="006B1871">
                              <w:rPr>
                                <w:color w:val="404040" w:themeColor="text1" w:themeTint="BF"/>
                                <w:szCs w:val="22"/>
                              </w:rPr>
                              <w:t xml:space="preserve">Private dwellings include houses, units, flats, townhouses, </w:t>
                            </w:r>
                            <w:r>
                              <w:rPr>
                                <w:color w:val="404040" w:themeColor="text1" w:themeTint="BF"/>
                                <w:szCs w:val="22"/>
                              </w:rPr>
                              <w:t xml:space="preserve">homes in </w:t>
                            </w:r>
                            <w:r w:rsidRPr="006B1871">
                              <w:rPr>
                                <w:color w:val="404040" w:themeColor="text1" w:themeTint="BF"/>
                                <w:szCs w:val="22"/>
                              </w:rPr>
                              <w:t>self</w:t>
                            </w:r>
                            <w:r>
                              <w:rPr>
                                <w:color w:val="404040" w:themeColor="text1" w:themeTint="BF"/>
                                <w:szCs w:val="22"/>
                              </w:rPr>
                              <w:noBreakHyphen/>
                            </w:r>
                            <w:r w:rsidRPr="006B1871">
                              <w:rPr>
                                <w:color w:val="404040" w:themeColor="text1" w:themeTint="BF"/>
                                <w:szCs w:val="22"/>
                              </w:rPr>
                              <w:t>contained retirement villages and caravans</w:t>
                            </w:r>
                            <w:r>
                              <w:rPr>
                                <w:color w:val="404040" w:themeColor="text1" w:themeTint="BF"/>
                                <w:szCs w:val="22"/>
                              </w:rPr>
                              <w:t xml:space="preserve"> in caravan parks, for example</w:t>
                            </w:r>
                            <w:r w:rsidRPr="006B1871">
                              <w:rPr>
                                <w:color w:val="404040" w:themeColor="text1" w:themeTint="BF"/>
                                <w:szCs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4BAC" id="Rounded Rectangle 13" o:spid="_x0000_s1027" style="position:absolute;margin-left:259.2pt;margin-top:32pt;width:164.25pt;height:100.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" fillcolor="#c0e6e5 [1305]" strokecolor="#c0e6e5 [1305]">
                <v:textbox inset="1mm,1mm,1mm,1mm">
                  <w:txbxContent>
                    <w:p w14:paraId="3556ED03" w14:textId="77777777" w:rsidR="0086342C" w:rsidRPr="006B1871" w:rsidRDefault="0086342C" w:rsidP="0086342C">
                      <w:pPr>
                        <w:jc w:val="center"/>
                        <w:rPr>
                          <w:color w:val="404040" w:themeColor="text1" w:themeTint="BF"/>
                          <w:szCs w:val="22"/>
                        </w:rPr>
                      </w:pPr>
                      <w:r w:rsidRPr="006B1871">
                        <w:rPr>
                          <w:color w:val="404040" w:themeColor="text1" w:themeTint="BF"/>
                          <w:szCs w:val="22"/>
                        </w:rPr>
                        <w:t xml:space="preserve">Private dwellings include houses, units, flats, townhouses, </w:t>
                      </w:r>
                      <w:r>
                        <w:rPr>
                          <w:color w:val="404040" w:themeColor="text1" w:themeTint="BF"/>
                          <w:szCs w:val="22"/>
                        </w:rPr>
                        <w:t xml:space="preserve">homes in </w:t>
                      </w:r>
                      <w:r w:rsidRPr="006B1871">
                        <w:rPr>
                          <w:color w:val="404040" w:themeColor="text1" w:themeTint="BF"/>
                          <w:szCs w:val="22"/>
                        </w:rPr>
                        <w:t>self</w:t>
                      </w:r>
                      <w:r>
                        <w:rPr>
                          <w:color w:val="404040" w:themeColor="text1" w:themeTint="BF"/>
                          <w:szCs w:val="22"/>
                        </w:rPr>
                        <w:noBreakHyphen/>
                      </w:r>
                      <w:r w:rsidRPr="006B1871">
                        <w:rPr>
                          <w:color w:val="404040" w:themeColor="text1" w:themeTint="BF"/>
                          <w:szCs w:val="22"/>
                        </w:rPr>
                        <w:t>contained retirement villages and caravans</w:t>
                      </w:r>
                      <w:r>
                        <w:rPr>
                          <w:color w:val="404040" w:themeColor="text1" w:themeTint="BF"/>
                          <w:szCs w:val="22"/>
                        </w:rPr>
                        <w:t xml:space="preserve"> in caravan parks, for example</w:t>
                      </w:r>
                      <w:r w:rsidRPr="006B1871">
                        <w:rPr>
                          <w:color w:val="404040" w:themeColor="text1" w:themeTint="BF"/>
                          <w:szCs w:val="22"/>
                        </w:rPr>
                        <w:t>.</w:t>
                      </w:r>
                    </w:p>
                  </w:txbxContent>
                </v:textbox>
                <w10:wrap type="square" anchorx="margin"/>
              </v:roundrect>
            </w:pict>
          </mc:Fallback>
        </mc:AlternateContent>
      </w:r>
      <w:r w:rsidR="0086342C" w:rsidRPr="00875AD4">
        <w:rPr>
          <w:color w:val="339E8A" w:themeColor="accent3"/>
        </w:rPr>
        <w:t xml:space="preserve">Most older Queenslanders live in private </w:t>
      </w:r>
      <w:proofErr w:type="gramStart"/>
      <w:r w:rsidR="0086342C" w:rsidRPr="00875AD4">
        <w:rPr>
          <w:color w:val="339E8A" w:themeColor="accent3"/>
        </w:rPr>
        <w:t>dwellings</w:t>
      </w:r>
      <w:proofErr w:type="gramEnd"/>
    </w:p>
    <w:bookmarkEnd w:id="2"/>
    <w:p w14:paraId="71016871" w14:textId="5B47FF31" w:rsidR="0086342C" w:rsidRDefault="0086342C" w:rsidP="0086342C">
      <w:r w:rsidRPr="00E8503F">
        <w:t>According to the 2021 Census, more than 9 in 10 (</w:t>
      </w:r>
      <w:r>
        <w:t>94.</w:t>
      </w:r>
      <w:r w:rsidR="00A45AA8">
        <w:t>7</w:t>
      </w:r>
      <w:r w:rsidRPr="00572DD2">
        <w:t xml:space="preserve">%) or </w:t>
      </w:r>
      <w:r>
        <w:t>7</w:t>
      </w:r>
      <w:r w:rsidR="00042FFF">
        <w:t>64,8</w:t>
      </w:r>
      <w:r w:rsidR="00EA6350">
        <w:t>90</w:t>
      </w:r>
      <w:r w:rsidRPr="00572DD2">
        <w:t xml:space="preserve"> older Queenslanders</w:t>
      </w:r>
      <w:r>
        <w:t xml:space="preserve">, who were </w:t>
      </w:r>
      <w:r w:rsidR="00590E3E">
        <w:t xml:space="preserve">counted </w:t>
      </w:r>
      <w:r>
        <w:t>at home during the Census,</w:t>
      </w:r>
      <w:r w:rsidRPr="00572DD2">
        <w:t xml:space="preserve"> were living </w:t>
      </w:r>
      <w:r w:rsidRPr="002501EA">
        <w:t>in private dwellings</w:t>
      </w:r>
      <w:r w:rsidR="004D5EB9">
        <w:t xml:space="preserve"> (</w:t>
      </w:r>
      <w:r w:rsidR="001E5E13">
        <w:t>a</w:t>
      </w:r>
      <w:r w:rsidR="004A3051">
        <w:t>round 44</w:t>
      </w:r>
      <w:r>
        <w:t>,</w:t>
      </w:r>
      <w:r w:rsidR="004A3051">
        <w:t>6</w:t>
      </w:r>
      <w:r>
        <w:t xml:space="preserve">00 </w:t>
      </w:r>
      <w:r w:rsidR="007863AB">
        <w:t xml:space="preserve">older </w:t>
      </w:r>
      <w:r>
        <w:t>Queenslanders were not at home during the Census</w:t>
      </w:r>
      <w:r w:rsidR="001E5E13">
        <w:t>)</w:t>
      </w:r>
      <w:r>
        <w:t>.</w:t>
      </w:r>
    </w:p>
    <w:p w14:paraId="23D36270" w14:textId="0EA2FDF4" w:rsidR="0086342C" w:rsidRPr="0086342C" w:rsidRDefault="0086342C" w:rsidP="0086342C">
      <w:pPr>
        <w:rPr>
          <w:lang w:val="en-US"/>
        </w:rPr>
      </w:pPr>
      <w:r>
        <w:t>An estimated 42,43</w:t>
      </w:r>
      <w:r w:rsidR="00EA6350">
        <w:t xml:space="preserve">0 </w:t>
      </w:r>
      <w:r>
        <w:t>older Queenslanders were living at home, in non-private dwellings (5.</w:t>
      </w:r>
      <w:r w:rsidR="00327703">
        <w:t>3</w:t>
      </w:r>
      <w:r>
        <w:t>%). These included 37,30</w:t>
      </w:r>
      <w:r w:rsidR="00EA6350">
        <w:t>0</w:t>
      </w:r>
      <w:r>
        <w:t xml:space="preserve"> in non-self-contained aged care. </w:t>
      </w:r>
      <w:r w:rsidR="006F76F1">
        <w:t>A s</w:t>
      </w:r>
      <w:r w:rsidR="00295678">
        <w:t>mall number of</w:t>
      </w:r>
      <w:r w:rsidR="0003390D">
        <w:t xml:space="preserve"> people in non-private dwellings such as hotels, may be the owner or manager</w:t>
      </w:r>
      <w:r w:rsidR="0075545C">
        <w:t xml:space="preserve"> of the facility, however, as they are older Queenslanders at home, they have been incl</w:t>
      </w:r>
      <w:r w:rsidR="00C13E17">
        <w:t>uded in these data.</w:t>
      </w:r>
    </w:p>
    <w:p w14:paraId="78E81222" w14:textId="0347115C" w:rsidR="000121CA" w:rsidRPr="00E94814" w:rsidRDefault="000121CA" w:rsidP="00547D10">
      <w:pPr>
        <w:pStyle w:val="Caption"/>
        <w:tabs>
          <w:tab w:val="clear" w:pos="1418"/>
        </w:tabs>
        <w:rPr>
          <w:b w:val="0"/>
          <w:i/>
          <w:iCs/>
        </w:rPr>
      </w:pPr>
      <w:r w:rsidRPr="00E94814">
        <w:t xml:space="preserve">Figure </w:t>
      </w:r>
      <w:r w:rsidR="00536D0D">
        <w:fldChar w:fldCharType="begin"/>
      </w:r>
      <w:r w:rsidR="00536D0D">
        <w:instrText xml:space="preserve"> SEQ Figure \* ARABIC </w:instrText>
      </w:r>
      <w:r w:rsidR="00536D0D">
        <w:fldChar w:fldCharType="separate"/>
      </w:r>
      <w:r w:rsidR="00DD5F74">
        <w:rPr>
          <w:noProof/>
        </w:rPr>
        <w:t>1</w:t>
      </w:r>
      <w:r w:rsidR="00536D0D">
        <w:rPr>
          <w:noProof/>
        </w:rPr>
        <w:fldChar w:fldCharType="end"/>
      </w:r>
      <w:r w:rsidRPr="00E94814">
        <w:t>:</w:t>
      </w:r>
      <w:r w:rsidR="00547D10">
        <w:tab/>
      </w:r>
      <w:r w:rsidR="00FF0EC3">
        <w:t>O</w:t>
      </w:r>
      <w:r w:rsidRPr="00E94814">
        <w:t>lder Queenslanders</w:t>
      </w:r>
      <w:r w:rsidR="00E138D5">
        <w:t>, at home,</w:t>
      </w:r>
      <w:r w:rsidR="00FF0EC3">
        <w:t xml:space="preserve"> </w:t>
      </w:r>
      <w:r w:rsidRPr="00E94814">
        <w:t>by dwelling tenure (private) or dwelling type (non-private), Queensland, 20</w:t>
      </w:r>
      <w:r>
        <w:t>21</w:t>
      </w:r>
      <w:r w:rsidR="00D94F7A" w:rsidRPr="00D94F7A">
        <w:rPr>
          <w:vertAlign w:val="superscript"/>
        </w:rPr>
        <w:t>(a)</w:t>
      </w:r>
    </w:p>
    <w:p w14:paraId="7A0C9D9B" w14:textId="693B4B5D" w:rsidR="000121CA" w:rsidRDefault="00CD391B" w:rsidP="005E4AC6">
      <w:pPr>
        <w:spacing w:after="0" w:line="240" w:lineRule="auto"/>
        <w:rPr>
          <w:b/>
          <w:highlight w:val="yellow"/>
        </w:rPr>
      </w:pPr>
      <w:r w:rsidRPr="00536D0D">
        <w:rPr>
          <w:noProof/>
        </w:rPr>
        <w:lastRenderedPageBreak/>
        <w:drawing>
          <wp:inline distT="0" distB="0" distL="0" distR="0" wp14:anchorId="6A904856" wp14:editId="44852073">
            <wp:extent cx="5396230" cy="2985770"/>
            <wp:effectExtent l="0" t="0" r="0" b="5080"/>
            <wp:docPr id="1413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230" cy="2985770"/>
                    </a:xfrm>
                    <a:prstGeom prst="rect">
                      <a:avLst/>
                    </a:prstGeom>
                    <a:noFill/>
                    <a:ln>
                      <a:noFill/>
                    </a:ln>
                  </pic:spPr>
                </pic:pic>
              </a:graphicData>
            </a:graphic>
          </wp:inline>
        </w:drawing>
      </w:r>
    </w:p>
    <w:p w14:paraId="19AAB6F3" w14:textId="1A2C6AF6" w:rsidR="00D94F7A" w:rsidRPr="005E4AC6" w:rsidRDefault="00D94F7A" w:rsidP="00D94F7A">
      <w:pPr>
        <w:pStyle w:val="ListParagraph"/>
        <w:numPr>
          <w:ilvl w:val="0"/>
          <w:numId w:val="33"/>
        </w:numPr>
        <w:spacing w:line="240" w:lineRule="auto"/>
        <w:rPr>
          <w:bCs/>
          <w:sz w:val="16"/>
          <w:szCs w:val="18"/>
        </w:rPr>
      </w:pPr>
      <w:r w:rsidRPr="005E4AC6">
        <w:rPr>
          <w:bCs/>
          <w:sz w:val="16"/>
          <w:szCs w:val="18"/>
        </w:rPr>
        <w:t xml:space="preserve">Percentages shown here by tenure will not match those </w:t>
      </w:r>
      <w:r w:rsidR="005E4AC6" w:rsidRPr="005E4AC6">
        <w:rPr>
          <w:bCs/>
          <w:sz w:val="16"/>
          <w:szCs w:val="18"/>
        </w:rPr>
        <w:t>cited later in this report due to the denominator used</w:t>
      </w:r>
      <w:r w:rsidR="005E4AC6">
        <w:rPr>
          <w:bCs/>
          <w:sz w:val="16"/>
          <w:szCs w:val="18"/>
        </w:rPr>
        <w:t>.</w:t>
      </w:r>
    </w:p>
    <w:p w14:paraId="3B0C9EAE" w14:textId="089942F9" w:rsidR="000121CA" w:rsidRPr="00C737B9" w:rsidRDefault="000121CA" w:rsidP="00A01411">
      <w:r w:rsidRPr="002501EA">
        <w:t xml:space="preserve">As people age, </w:t>
      </w:r>
      <w:r w:rsidRPr="00410FC4">
        <w:t>they are more likely to move into non-private dwellings, reflecting an increased need for medical care, including specialised care, and general assistance with daily living.</w:t>
      </w:r>
      <w:r w:rsidR="00A2715C">
        <w:t xml:space="preserve"> Men are more likely to continue living in private dwellings as they age, than women </w:t>
      </w:r>
      <w:r w:rsidR="00A2715C" w:rsidRPr="00410FC4">
        <w:t>(</w:t>
      </w:r>
      <w:r w:rsidR="00A2715C" w:rsidRPr="00410FC4">
        <w:rPr>
          <w:i/>
          <w:iCs/>
        </w:rPr>
        <w:fldChar w:fldCharType="begin"/>
      </w:r>
      <w:r w:rsidR="00A2715C" w:rsidRPr="00410FC4">
        <w:instrText xml:space="preserve"> REF _Ref521072660 \h  \* MERGEFORMAT </w:instrText>
      </w:r>
      <w:r w:rsidR="00A2715C" w:rsidRPr="00410FC4">
        <w:rPr>
          <w:i/>
          <w:iCs/>
        </w:rPr>
      </w:r>
      <w:r w:rsidR="00A2715C" w:rsidRPr="00410FC4">
        <w:rPr>
          <w:i/>
          <w:iCs/>
        </w:rPr>
        <w:fldChar w:fldCharType="separate"/>
      </w:r>
      <w:r w:rsidR="007C6258" w:rsidRPr="00A01411">
        <w:t xml:space="preserve">Figure </w:t>
      </w:r>
      <w:r w:rsidR="007C6258">
        <w:t>2</w:t>
      </w:r>
      <w:r w:rsidR="00A2715C" w:rsidRPr="00410FC4">
        <w:rPr>
          <w:i/>
          <w:iCs/>
        </w:rPr>
        <w:fldChar w:fldCharType="end"/>
      </w:r>
      <w:r w:rsidR="00A2715C" w:rsidRPr="00410FC4">
        <w:t>)</w:t>
      </w:r>
      <w:r w:rsidR="00A2715C">
        <w:t>.</w:t>
      </w:r>
    </w:p>
    <w:p w14:paraId="6E30590B" w14:textId="77B25E20" w:rsidR="000121CA" w:rsidRPr="00A01411" w:rsidRDefault="000121CA" w:rsidP="00A01411">
      <w:pPr>
        <w:pStyle w:val="Caption"/>
        <w:tabs>
          <w:tab w:val="clear" w:pos="1418"/>
        </w:tabs>
      </w:pPr>
      <w:bookmarkStart w:id="3" w:name="_Ref521072660"/>
      <w:r w:rsidRPr="00A01411">
        <w:t xml:space="preserve">Figure </w:t>
      </w:r>
      <w:r w:rsidR="00536D0D">
        <w:fldChar w:fldCharType="begin"/>
      </w:r>
      <w:r w:rsidR="00536D0D">
        <w:instrText xml:space="preserve"> SEQ Figure \* ARABIC </w:instrText>
      </w:r>
      <w:r w:rsidR="00536D0D">
        <w:fldChar w:fldCharType="separate"/>
      </w:r>
      <w:r w:rsidR="00DD5F74">
        <w:rPr>
          <w:noProof/>
        </w:rPr>
        <w:t>2</w:t>
      </w:r>
      <w:r w:rsidR="00536D0D">
        <w:rPr>
          <w:noProof/>
        </w:rPr>
        <w:fldChar w:fldCharType="end"/>
      </w:r>
      <w:bookmarkEnd w:id="3"/>
      <w:r w:rsidRPr="00A01411">
        <w:t>:</w:t>
      </w:r>
      <w:r w:rsidR="00A01411">
        <w:tab/>
      </w:r>
      <w:r w:rsidRPr="00A01411">
        <w:t xml:space="preserve">Proportion of older Queenslanders staying in private dwellings by age group and sex, </w:t>
      </w:r>
      <w:proofErr w:type="gramStart"/>
      <w:r w:rsidRPr="00A01411">
        <w:t>2021</w:t>
      </w:r>
      <w:proofErr w:type="gramEnd"/>
    </w:p>
    <w:p w14:paraId="4B255DF2" w14:textId="10AA49EA" w:rsidR="000121CA" w:rsidRPr="00E94814" w:rsidRDefault="00911EB3" w:rsidP="00911EB3">
      <w:pPr>
        <w:spacing w:line="240" w:lineRule="auto"/>
        <w:rPr>
          <w:highlight w:val="yellow"/>
        </w:rPr>
      </w:pPr>
      <w:r w:rsidRPr="00CA5900">
        <w:rPr>
          <w:noProof/>
        </w:rPr>
        <w:drawing>
          <wp:inline distT="0" distB="0" distL="0" distR="0" wp14:anchorId="41ECD28B" wp14:editId="3BA20314">
            <wp:extent cx="4219575" cy="3569057"/>
            <wp:effectExtent l="0" t="0" r="0" b="0"/>
            <wp:docPr id="212501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1101" cy="3570348"/>
                    </a:xfrm>
                    <a:prstGeom prst="rect">
                      <a:avLst/>
                    </a:prstGeom>
                    <a:noFill/>
                    <a:ln>
                      <a:noFill/>
                    </a:ln>
                  </pic:spPr>
                </pic:pic>
              </a:graphicData>
            </a:graphic>
          </wp:inline>
        </w:drawing>
      </w:r>
    </w:p>
    <w:p w14:paraId="4D73B7D6" w14:textId="1E3D7602" w:rsidR="001C3031" w:rsidRDefault="001C3031" w:rsidP="001C3031">
      <w:r w:rsidRPr="006951BC">
        <w:t>Due to higher female life expectancy,</w:t>
      </w:r>
      <w:r w:rsidR="006509F6">
        <w:t xml:space="preserve"> there </w:t>
      </w:r>
      <w:r w:rsidR="00DD3885">
        <w:t>a</w:t>
      </w:r>
      <w:r w:rsidR="006509F6">
        <w:t xml:space="preserve">re more women than men in every 5-year age cohort </w:t>
      </w:r>
      <w:r w:rsidR="007A1D4D">
        <w:t xml:space="preserve">among older Queenslanders. One of the consequences of higher life </w:t>
      </w:r>
      <w:r w:rsidR="008D7F0C">
        <w:t>expectancy</w:t>
      </w:r>
      <w:r w:rsidR="006612F9">
        <w:t xml:space="preserve"> among women</w:t>
      </w:r>
      <w:r w:rsidR="007A1D4D">
        <w:t xml:space="preserve"> is out-living </w:t>
      </w:r>
      <w:r w:rsidR="008D7F0C">
        <w:t xml:space="preserve">a </w:t>
      </w:r>
      <w:r w:rsidR="006612F9">
        <w:t xml:space="preserve">male </w:t>
      </w:r>
      <w:r w:rsidR="008D7F0C">
        <w:t>partner —</w:t>
      </w:r>
      <w:r w:rsidR="00FF71F6">
        <w:t xml:space="preserve"> </w:t>
      </w:r>
      <w:r w:rsidRPr="006951BC">
        <w:t xml:space="preserve">more Queensland women aged 85 </w:t>
      </w:r>
      <w:r w:rsidRPr="002C6497">
        <w:t>years and older were widowed compared with men (71.2% and 31.0% respectively). The Productivity Commission</w:t>
      </w:r>
      <w:r w:rsidR="00D37377">
        <w:t xml:space="preserve"> (2015) </w:t>
      </w:r>
      <w:r w:rsidRPr="002C6497">
        <w:t>identified the desire to remain with a partner as a deciding factor in continuing to live in private dwellings</w:t>
      </w:r>
      <w:r w:rsidR="003A4ABC">
        <w:t>, as such, t</w:t>
      </w:r>
      <w:r w:rsidR="00FF71F6">
        <w:t xml:space="preserve">he prospect of ageing alone may influence older people’s living </w:t>
      </w:r>
      <w:r w:rsidR="00EB34AC">
        <w:t>choices as their age increases, and partnering circumstances change.</w:t>
      </w:r>
    </w:p>
    <w:p w14:paraId="3F69B128" w14:textId="77FC183D" w:rsidR="00175B44" w:rsidRDefault="00175B44" w:rsidP="00175B44">
      <w:pPr>
        <w:spacing w:before="240"/>
      </w:pPr>
      <w:r w:rsidRPr="00B65427">
        <w:lastRenderedPageBreak/>
        <w:t xml:space="preserve">The Commonwealth Home Support </w:t>
      </w:r>
      <w:r w:rsidRPr="00EE2380">
        <w:t xml:space="preserve">Programme (CHSP) helps older Queenslanders stay independent and in their own homes for longer. This program assisted </w:t>
      </w:r>
      <w:r w:rsidR="00BB2149">
        <w:t>184</w:t>
      </w:r>
      <w:r w:rsidR="008A5401">
        <w:t>,882</w:t>
      </w:r>
      <w:r>
        <w:t xml:space="preserve"> older </w:t>
      </w:r>
      <w:r w:rsidRPr="00EE2380">
        <w:t>Queenslanders in 2022</w:t>
      </w:r>
      <w:r>
        <w:t>–</w:t>
      </w:r>
      <w:r w:rsidRPr="00EE2380">
        <w:t>23</w:t>
      </w:r>
      <w:r>
        <w:t xml:space="preserve">, including </w:t>
      </w:r>
      <w:r w:rsidR="0010761E">
        <w:t>6,</w:t>
      </w:r>
      <w:r w:rsidR="00022003">
        <w:t>712</w:t>
      </w:r>
      <w:r>
        <w:t xml:space="preserve"> First Nations Queenslanders.</w:t>
      </w:r>
      <w:r w:rsidRPr="00EE2380">
        <w:t xml:space="preserve"> </w:t>
      </w:r>
      <w:r>
        <w:t xml:space="preserve">In addition, just over </w:t>
      </w:r>
      <w:r w:rsidR="00095A20">
        <w:t>67,000</w:t>
      </w:r>
      <w:r>
        <w:t xml:space="preserve"> </w:t>
      </w:r>
      <w:r w:rsidR="008120E4">
        <w:t xml:space="preserve">older </w:t>
      </w:r>
      <w:r>
        <w:t xml:space="preserve">Queensland clients </w:t>
      </w:r>
      <w:r w:rsidR="000F572D">
        <w:t>received</w:t>
      </w:r>
      <w:r>
        <w:t xml:space="preserve"> home care packages to support </w:t>
      </w:r>
      <w:r w:rsidR="005B388C">
        <w:t xml:space="preserve">the delivery of aged </w:t>
      </w:r>
      <w:r>
        <w:t>care services in their home</w:t>
      </w:r>
      <w:r w:rsidR="00A901B5">
        <w:t xml:space="preserve"> (</w:t>
      </w:r>
      <w:r w:rsidR="00A901B5">
        <w:fldChar w:fldCharType="begin"/>
      </w:r>
      <w:r w:rsidR="00A901B5">
        <w:instrText xml:space="preserve"> REF _Ref161666254 \h </w:instrText>
      </w:r>
      <w:r w:rsidR="00A901B5">
        <w:fldChar w:fldCharType="separate"/>
      </w:r>
      <w:r w:rsidR="007C6258" w:rsidRPr="00A01411">
        <w:t xml:space="preserve">Figure </w:t>
      </w:r>
      <w:r w:rsidR="007C6258">
        <w:rPr>
          <w:noProof/>
        </w:rPr>
        <w:t>3</w:t>
      </w:r>
      <w:r w:rsidR="00A901B5">
        <w:fldChar w:fldCharType="end"/>
      </w:r>
      <w:r w:rsidR="00A901B5">
        <w:t>)</w:t>
      </w:r>
      <w:r>
        <w:t>.</w:t>
      </w:r>
      <w:r w:rsidR="007D3758">
        <w:t xml:space="preserve"> The number o</w:t>
      </w:r>
      <w:r w:rsidR="003927D5">
        <w:t>f</w:t>
      </w:r>
      <w:r w:rsidR="007D3758">
        <w:t xml:space="preserve"> people receiving residential care increase</w:t>
      </w:r>
      <w:r w:rsidR="003927D5">
        <w:t>d</w:t>
      </w:r>
      <w:r w:rsidR="007D3758">
        <w:t xml:space="preserve"> with </w:t>
      </w:r>
      <w:r w:rsidR="003927D5">
        <w:t xml:space="preserve">increasing </w:t>
      </w:r>
      <w:r w:rsidR="007D3758">
        <w:t>age</w:t>
      </w:r>
      <w:r w:rsidR="007D55A1">
        <w:t>, while the number of people rece</w:t>
      </w:r>
      <w:r w:rsidR="003C6D36">
        <w:t>iving CHSP decline</w:t>
      </w:r>
      <w:r w:rsidR="003927D5">
        <w:t>d</w:t>
      </w:r>
      <w:r w:rsidR="003C6D36">
        <w:t xml:space="preserve"> after </w:t>
      </w:r>
      <w:r w:rsidR="003927D5">
        <w:t xml:space="preserve">age </w:t>
      </w:r>
      <w:r w:rsidR="003C6D36">
        <w:t>75</w:t>
      </w:r>
      <w:r w:rsidR="003C6D36">
        <w:softHyphen/>
      </w:r>
      <w:r w:rsidR="003C6D36">
        <w:rPr>
          <w:rFonts w:cs="Arial"/>
        </w:rPr>
        <w:t>‒</w:t>
      </w:r>
      <w:r w:rsidR="003C6D36">
        <w:t>79 years</w:t>
      </w:r>
      <w:r w:rsidR="003927D5">
        <w:t>.</w:t>
      </w:r>
    </w:p>
    <w:p w14:paraId="7D09386E" w14:textId="1F971C95" w:rsidR="00CA5900" w:rsidRPr="00A01411" w:rsidRDefault="00CA5900" w:rsidP="00CA5900">
      <w:pPr>
        <w:pStyle w:val="Caption"/>
        <w:tabs>
          <w:tab w:val="clear" w:pos="1418"/>
        </w:tabs>
      </w:pPr>
      <w:bookmarkStart w:id="4" w:name="_Ref161666254"/>
      <w:r w:rsidRPr="00A01411">
        <w:t xml:space="preserve">Figure </w:t>
      </w:r>
      <w:r w:rsidR="00536D0D">
        <w:fldChar w:fldCharType="begin"/>
      </w:r>
      <w:r w:rsidR="00536D0D">
        <w:instrText xml:space="preserve"> SEQ Figure \* ARABIC </w:instrText>
      </w:r>
      <w:r w:rsidR="00536D0D">
        <w:fldChar w:fldCharType="separate"/>
      </w:r>
      <w:r w:rsidR="00DD5F74">
        <w:rPr>
          <w:noProof/>
        </w:rPr>
        <w:t>3</w:t>
      </w:r>
      <w:r w:rsidR="00536D0D">
        <w:rPr>
          <w:noProof/>
        </w:rPr>
        <w:fldChar w:fldCharType="end"/>
      </w:r>
      <w:bookmarkEnd w:id="4"/>
      <w:r w:rsidRPr="00A01411">
        <w:t>:</w:t>
      </w:r>
      <w:r>
        <w:tab/>
      </w:r>
      <w:r w:rsidR="00DE7775">
        <w:t>People receiving</w:t>
      </w:r>
      <w:r w:rsidR="005268F8">
        <w:t xml:space="preserve"> selected aged care services</w:t>
      </w:r>
      <w:r w:rsidRPr="00A01411">
        <w:t xml:space="preserve">, </w:t>
      </w:r>
      <w:r w:rsidR="00DE7775">
        <w:t>Queensland</w:t>
      </w:r>
      <w:r w:rsidR="00AA7D4C">
        <w:t xml:space="preserve">, </w:t>
      </w:r>
      <w:r w:rsidR="00AA7D4C">
        <w:br/>
      </w:r>
      <w:r w:rsidRPr="00A01411">
        <w:t>202</w:t>
      </w:r>
      <w:r w:rsidR="005268F8">
        <w:t>2–</w:t>
      </w:r>
      <w:proofErr w:type="gramStart"/>
      <w:r w:rsidR="005268F8">
        <w:t>23</w:t>
      </w:r>
      <w:proofErr w:type="gramEnd"/>
    </w:p>
    <w:p w14:paraId="64376309" w14:textId="00AEB81E" w:rsidR="00A804C0" w:rsidRDefault="00452308" w:rsidP="00A901B5">
      <w:pPr>
        <w:spacing w:line="240" w:lineRule="auto"/>
        <w:rPr>
          <w:highlight w:val="yellow"/>
        </w:rPr>
      </w:pPr>
      <w:r w:rsidRPr="00CA5900">
        <w:rPr>
          <w:noProof/>
        </w:rPr>
        <w:drawing>
          <wp:inline distT="0" distB="0" distL="0" distR="0" wp14:anchorId="0F979507" wp14:editId="7557D647">
            <wp:extent cx="4402584" cy="3096000"/>
            <wp:effectExtent l="0" t="0" r="0" b="9525"/>
            <wp:docPr id="20425821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2584" cy="3096000"/>
                    </a:xfrm>
                    <a:prstGeom prst="rect">
                      <a:avLst/>
                    </a:prstGeom>
                    <a:noFill/>
                    <a:ln>
                      <a:noFill/>
                    </a:ln>
                  </pic:spPr>
                </pic:pic>
              </a:graphicData>
            </a:graphic>
          </wp:inline>
        </w:drawing>
      </w:r>
    </w:p>
    <w:p w14:paraId="0A4B9B2E" w14:textId="77777777" w:rsidR="00F7350A" w:rsidRPr="00D608AC" w:rsidRDefault="00F7350A" w:rsidP="00F7350A">
      <w:r w:rsidRPr="00D608AC">
        <w:t>Compared with 2011, a slightly higher proportion of older Queenslanders were living in private dwellings (93.8% in 2011 compared with 94.7% in 2021). However, for those aged 85 years and older, the proportion living in private dwellings had increased since 2011 (76.3% in 2021 compared with 73.3% in 2011), reflecting improved health at older ages in addition to greater levels of support to age in place. This increased propensity to live at home meant that there were an extra 2,7</w:t>
      </w:r>
      <w:r>
        <w:t>00</w:t>
      </w:r>
      <w:r w:rsidRPr="00D608AC">
        <w:t xml:space="preserve"> Queenslanders aged 85 years or older living in private dwellings in 2021 compared with the number expected if 2011 levels had remained unchanged.</w:t>
      </w:r>
    </w:p>
    <w:p w14:paraId="6F617ED5" w14:textId="77777777" w:rsidR="00F7350A" w:rsidRPr="00E94814" w:rsidRDefault="00F7350A" w:rsidP="00A901B5">
      <w:pPr>
        <w:spacing w:line="240" w:lineRule="auto"/>
        <w:rPr>
          <w:highlight w:val="yellow"/>
        </w:rPr>
      </w:pPr>
    </w:p>
    <w:p w14:paraId="01FB32F4" w14:textId="4D645642" w:rsidR="000522D7" w:rsidRPr="000522D7" w:rsidRDefault="00534394" w:rsidP="000522D7">
      <w:pPr>
        <w:pStyle w:val="Heading4"/>
        <w:numPr>
          <w:ilvl w:val="0"/>
          <w:numId w:val="0"/>
        </w:numPr>
        <w:rPr>
          <w:b/>
          <w:bCs/>
          <w:color w:val="339E8A" w:themeColor="accent3"/>
          <w:sz w:val="44"/>
          <w:szCs w:val="44"/>
        </w:rPr>
      </w:pPr>
      <w:r>
        <w:rPr>
          <w:b/>
          <w:bCs/>
          <w:color w:val="339E8A" w:themeColor="accent3"/>
          <w:sz w:val="44"/>
          <w:szCs w:val="44"/>
        </w:rPr>
        <w:t>O</w:t>
      </w:r>
      <w:r w:rsidR="000522D7" w:rsidRPr="000522D7">
        <w:rPr>
          <w:b/>
          <w:bCs/>
          <w:color w:val="339E8A" w:themeColor="accent3"/>
          <w:sz w:val="44"/>
          <w:szCs w:val="44"/>
        </w:rPr>
        <w:t>lder Queenslanders</w:t>
      </w:r>
      <w:r w:rsidR="00855330">
        <w:rPr>
          <w:b/>
          <w:bCs/>
          <w:color w:val="339E8A" w:themeColor="accent3"/>
          <w:sz w:val="44"/>
          <w:szCs w:val="44"/>
        </w:rPr>
        <w:t>,</w:t>
      </w:r>
      <w:r w:rsidR="000522D7" w:rsidRPr="000522D7">
        <w:rPr>
          <w:b/>
          <w:bCs/>
          <w:color w:val="339E8A" w:themeColor="accent3"/>
          <w:sz w:val="44"/>
          <w:szCs w:val="44"/>
        </w:rPr>
        <w:t xml:space="preserve"> a</w:t>
      </w:r>
      <w:r w:rsidR="000F572D" w:rsidRPr="000522D7">
        <w:rPr>
          <w:b/>
          <w:bCs/>
          <w:color w:val="339E8A" w:themeColor="accent3"/>
          <w:sz w:val="44"/>
          <w:szCs w:val="44"/>
        </w:rPr>
        <w:t>t home</w:t>
      </w:r>
      <w:r w:rsidR="00E04B8B">
        <w:rPr>
          <w:b/>
          <w:bCs/>
          <w:color w:val="339E8A" w:themeColor="accent3"/>
          <w:sz w:val="44"/>
          <w:szCs w:val="44"/>
        </w:rPr>
        <w:t xml:space="preserve"> </w:t>
      </w:r>
      <w:r w:rsidR="00E14A67" w:rsidRPr="000522D7">
        <w:rPr>
          <w:b/>
          <w:bCs/>
          <w:color w:val="339E8A" w:themeColor="accent3"/>
          <w:sz w:val="44"/>
          <w:szCs w:val="44"/>
        </w:rPr>
        <w:t xml:space="preserve">during the </w:t>
      </w:r>
      <w:r w:rsidR="00E14A67">
        <w:rPr>
          <w:b/>
          <w:bCs/>
          <w:color w:val="339E8A" w:themeColor="accent3"/>
          <w:sz w:val="44"/>
          <w:szCs w:val="44"/>
        </w:rPr>
        <w:t xml:space="preserve">2021 </w:t>
      </w:r>
      <w:r w:rsidR="00E14A67" w:rsidRPr="000522D7">
        <w:rPr>
          <w:b/>
          <w:bCs/>
          <w:color w:val="339E8A" w:themeColor="accent3"/>
          <w:sz w:val="44"/>
          <w:szCs w:val="44"/>
        </w:rPr>
        <w:t>Census</w:t>
      </w:r>
      <w:r w:rsidR="00E14A67">
        <w:rPr>
          <w:b/>
          <w:bCs/>
          <w:color w:val="339E8A" w:themeColor="accent3"/>
          <w:sz w:val="44"/>
          <w:szCs w:val="44"/>
        </w:rPr>
        <w:t xml:space="preserve">, </w:t>
      </w:r>
      <w:r w:rsidR="00E04B8B">
        <w:rPr>
          <w:b/>
          <w:bCs/>
          <w:color w:val="339E8A" w:themeColor="accent3"/>
          <w:sz w:val="44"/>
          <w:szCs w:val="44"/>
        </w:rPr>
        <w:t xml:space="preserve">in a private </w:t>
      </w:r>
      <w:r w:rsidR="00E14A67">
        <w:rPr>
          <w:b/>
          <w:bCs/>
          <w:color w:val="339E8A" w:themeColor="accent3"/>
          <w:sz w:val="44"/>
          <w:szCs w:val="44"/>
        </w:rPr>
        <w:t>dwelling</w:t>
      </w:r>
    </w:p>
    <w:p w14:paraId="4379ECF6" w14:textId="0FE291AC" w:rsidR="000121CA" w:rsidRPr="006951BC" w:rsidRDefault="000121CA" w:rsidP="000E16DA">
      <w:pPr>
        <w:pStyle w:val="Heading4"/>
        <w:numPr>
          <w:ilvl w:val="0"/>
          <w:numId w:val="0"/>
        </w:numPr>
        <w:ind w:left="864" w:hanging="864"/>
      </w:pPr>
      <w:r w:rsidRPr="006951BC">
        <w:t>Dwelling location</w:t>
      </w:r>
      <w:r w:rsidR="00C07E96">
        <w:t xml:space="preserve"> </w:t>
      </w:r>
    </w:p>
    <w:p w14:paraId="37846F9C" w14:textId="7C881CC6" w:rsidR="000121CA" w:rsidRPr="006951BC" w:rsidRDefault="000522D7" w:rsidP="000121CA">
      <w:pPr>
        <w:spacing w:after="120"/>
      </w:pPr>
      <w:r>
        <w:t>Most</w:t>
      </w:r>
      <w:r w:rsidR="00E04B8B">
        <w:t xml:space="preserve"> </w:t>
      </w:r>
      <w:r w:rsidR="002A1815">
        <w:t>older</w:t>
      </w:r>
      <w:r w:rsidR="00E04B8B">
        <w:t xml:space="preserve"> people</w:t>
      </w:r>
      <w:r w:rsidR="000121CA" w:rsidRPr="006951BC">
        <w:t xml:space="preserve"> (</w:t>
      </w:r>
      <w:r w:rsidR="000121CA">
        <w:t>91.3</w:t>
      </w:r>
      <w:r w:rsidR="000121CA" w:rsidRPr="006951BC">
        <w:t>% or</w:t>
      </w:r>
      <w:r w:rsidR="000121CA">
        <w:t xml:space="preserve"> 698,600</w:t>
      </w:r>
      <w:r w:rsidR="000121CA" w:rsidRPr="006951BC">
        <w:t xml:space="preserve">) </w:t>
      </w:r>
      <w:r w:rsidR="00EF6BC5">
        <w:t xml:space="preserve">were </w:t>
      </w:r>
      <w:r w:rsidR="00E04B8B">
        <w:t>living</w:t>
      </w:r>
      <w:r w:rsidR="000121CA" w:rsidRPr="006951BC">
        <w:t xml:space="preserve"> in a typical residential environment in 2021. Of the remainder:</w:t>
      </w:r>
    </w:p>
    <w:p w14:paraId="6EBA9022" w14:textId="36BAB654" w:rsidR="000121CA" w:rsidRPr="00A711F8" w:rsidRDefault="000121CA" w:rsidP="00101A7E">
      <w:pPr>
        <w:pStyle w:val="ListParagraph"/>
        <w:numPr>
          <w:ilvl w:val="0"/>
          <w:numId w:val="29"/>
        </w:numPr>
        <w:spacing w:line="240" w:lineRule="auto"/>
        <w:ind w:left="426" w:hanging="357"/>
      </w:pPr>
      <w:r>
        <w:t>57,9</w:t>
      </w:r>
      <w:r w:rsidR="00651801">
        <w:t>5</w:t>
      </w:r>
      <w:r>
        <w:t>0</w:t>
      </w:r>
      <w:r w:rsidRPr="00A711F8">
        <w:t xml:space="preserve"> people (</w:t>
      </w:r>
      <w:r>
        <w:t>7.6</w:t>
      </w:r>
      <w:r w:rsidRPr="00A711F8">
        <w:t xml:space="preserve">%) were living in dwellings located in retirement </w:t>
      </w:r>
      <w:proofErr w:type="gramStart"/>
      <w:r w:rsidRPr="00A711F8">
        <w:t>villages</w:t>
      </w:r>
      <w:proofErr w:type="gramEnd"/>
    </w:p>
    <w:p w14:paraId="063847BD" w14:textId="5A0DECCB" w:rsidR="000121CA" w:rsidRPr="00A711F8" w:rsidRDefault="000121CA" w:rsidP="00101A7E">
      <w:pPr>
        <w:pStyle w:val="ListParagraph"/>
        <w:numPr>
          <w:ilvl w:val="0"/>
          <w:numId w:val="29"/>
        </w:numPr>
        <w:spacing w:line="240" w:lineRule="auto"/>
        <w:ind w:left="426" w:hanging="357"/>
      </w:pPr>
      <w:r>
        <w:t>6,3</w:t>
      </w:r>
      <w:r w:rsidR="00651801">
        <w:t>1</w:t>
      </w:r>
      <w:r>
        <w:t>0</w:t>
      </w:r>
      <w:r w:rsidRPr="00A711F8">
        <w:t xml:space="preserve"> (</w:t>
      </w:r>
      <w:r>
        <w:t>0.8</w:t>
      </w:r>
      <w:r w:rsidRPr="00A711F8">
        <w:t xml:space="preserve">%) </w:t>
      </w:r>
      <w:r w:rsidR="00B308ED">
        <w:t xml:space="preserve">were </w:t>
      </w:r>
      <w:r w:rsidRPr="00A711F8">
        <w:t>in caravan/camping grounds</w:t>
      </w:r>
    </w:p>
    <w:p w14:paraId="3824D9FA" w14:textId="3848C8B7" w:rsidR="000121CA" w:rsidRPr="00A711F8" w:rsidRDefault="000121CA" w:rsidP="00101A7E">
      <w:pPr>
        <w:pStyle w:val="ListParagraph"/>
        <w:numPr>
          <w:ilvl w:val="0"/>
          <w:numId w:val="29"/>
        </w:numPr>
        <w:spacing w:line="240" w:lineRule="auto"/>
        <w:ind w:left="426" w:hanging="357"/>
      </w:pPr>
      <w:r>
        <w:t>1,</w:t>
      </w:r>
      <w:r w:rsidR="00651801">
        <w:t>56</w:t>
      </w:r>
      <w:r>
        <w:t>0</w:t>
      </w:r>
      <w:r w:rsidRPr="00A711F8">
        <w:t xml:space="preserve"> (0.2%) </w:t>
      </w:r>
      <w:r w:rsidR="00B308ED">
        <w:t xml:space="preserve">were </w:t>
      </w:r>
      <w:r w:rsidRPr="00A711F8">
        <w:t xml:space="preserve">in manufactured home estates </w:t>
      </w:r>
    </w:p>
    <w:p w14:paraId="78CB2E20" w14:textId="62963A55" w:rsidR="000121CA" w:rsidRPr="00A711F8" w:rsidRDefault="00651801" w:rsidP="00101A7E">
      <w:pPr>
        <w:pStyle w:val="ListParagraph"/>
        <w:numPr>
          <w:ilvl w:val="0"/>
          <w:numId w:val="29"/>
        </w:numPr>
        <w:spacing w:line="240" w:lineRule="auto"/>
        <w:ind w:left="426" w:hanging="357"/>
      </w:pPr>
      <w:r>
        <w:t>48</w:t>
      </w:r>
      <w:r w:rsidR="000121CA" w:rsidRPr="00A711F8">
        <w:t xml:space="preserve">0 (0.1%) </w:t>
      </w:r>
      <w:r w:rsidR="00B308ED">
        <w:t xml:space="preserve">were </w:t>
      </w:r>
      <w:r w:rsidR="000121CA" w:rsidRPr="00A711F8">
        <w:t>in marinas.</w:t>
      </w:r>
    </w:p>
    <w:p w14:paraId="25B56774" w14:textId="0F8EF2AA" w:rsidR="000121CA" w:rsidRPr="00DA11C3" w:rsidRDefault="000121CA" w:rsidP="000E16DA">
      <w:pPr>
        <w:pStyle w:val="Heading4"/>
        <w:numPr>
          <w:ilvl w:val="0"/>
          <w:numId w:val="0"/>
        </w:numPr>
        <w:ind w:left="864" w:hanging="864"/>
      </w:pPr>
      <w:r w:rsidRPr="00DA11C3">
        <w:lastRenderedPageBreak/>
        <w:t>Dwelling structure</w:t>
      </w:r>
      <w:r w:rsidR="00A2384F">
        <w:t xml:space="preserve"> </w:t>
      </w:r>
    </w:p>
    <w:p w14:paraId="43EEDCF7" w14:textId="407AE3B3" w:rsidR="00AA70B8" w:rsidRDefault="00E04B8B" w:rsidP="000121CA">
      <w:r>
        <w:t xml:space="preserve">Most </w:t>
      </w:r>
      <w:r w:rsidR="008619DE">
        <w:t>older</w:t>
      </w:r>
      <w:r>
        <w:t xml:space="preserve"> people</w:t>
      </w:r>
      <w:r w:rsidR="000121CA" w:rsidRPr="00DA11C3">
        <w:t xml:space="preserve"> (</w:t>
      </w:r>
      <w:r w:rsidR="000121CA">
        <w:t>78.0</w:t>
      </w:r>
      <w:r w:rsidR="000121CA" w:rsidRPr="00DA11C3">
        <w:t xml:space="preserve">% or </w:t>
      </w:r>
      <w:r w:rsidR="000121CA">
        <w:t>594</w:t>
      </w:r>
      <w:r w:rsidR="000121CA" w:rsidRPr="00DA11C3">
        <w:t>,</w:t>
      </w:r>
      <w:r w:rsidR="000121CA">
        <w:t>7</w:t>
      </w:r>
      <w:r w:rsidR="00D132D1">
        <w:t>2</w:t>
      </w:r>
      <w:r w:rsidR="000121CA" w:rsidRPr="00DA11C3">
        <w:t>0 people) were living in separate houses in 2021</w:t>
      </w:r>
      <w:r w:rsidR="00310312">
        <w:t>. A</w:t>
      </w:r>
      <w:r w:rsidR="000121CA" w:rsidRPr="00BD0796">
        <w:t xml:space="preserve"> further </w:t>
      </w:r>
      <w:r w:rsidR="0079079B">
        <w:t>1</w:t>
      </w:r>
      <w:r w:rsidR="000121CA" w:rsidRPr="00BD0796">
        <w:t xml:space="preserve"> in </w:t>
      </w:r>
      <w:r w:rsidR="0079079B">
        <w:t>5</w:t>
      </w:r>
      <w:r w:rsidR="000121CA" w:rsidRPr="00BD0796">
        <w:t xml:space="preserve"> (21.</w:t>
      </w:r>
      <w:r w:rsidR="000121CA">
        <w:t>1</w:t>
      </w:r>
      <w:r w:rsidR="000121CA" w:rsidRPr="00BD0796">
        <w:t>% or 160,</w:t>
      </w:r>
      <w:r w:rsidR="000121CA">
        <w:t>800</w:t>
      </w:r>
      <w:r w:rsidR="000121CA" w:rsidRPr="00BD0796">
        <w:t xml:space="preserve">) lived in flats, </w:t>
      </w:r>
      <w:r w:rsidR="000121CA" w:rsidRPr="003806AE">
        <w:t xml:space="preserve">apartments, </w:t>
      </w:r>
      <w:proofErr w:type="gramStart"/>
      <w:r w:rsidR="000121CA" w:rsidRPr="003806AE">
        <w:t>townhouses</w:t>
      </w:r>
      <w:proofErr w:type="gramEnd"/>
      <w:r w:rsidR="000121CA" w:rsidRPr="003806AE">
        <w:t xml:space="preserve"> or other semi-detached buildings. </w:t>
      </w:r>
    </w:p>
    <w:p w14:paraId="3B4EA149" w14:textId="50BC3476" w:rsidR="000121CA" w:rsidRPr="00093B1D" w:rsidRDefault="0079079B" w:rsidP="000121CA">
      <w:pPr>
        <w:rPr>
          <w:highlight w:val="yellow"/>
        </w:rPr>
      </w:pPr>
      <w:r>
        <w:t>Around</w:t>
      </w:r>
      <w:r w:rsidR="000121CA" w:rsidRPr="003806AE">
        <w:t xml:space="preserve"> 7,1</w:t>
      </w:r>
      <w:r w:rsidR="00584508">
        <w:t>4</w:t>
      </w:r>
      <w:r w:rsidR="000121CA" w:rsidRPr="003806AE">
        <w:t xml:space="preserve">0 older Queenslanders </w:t>
      </w:r>
      <w:r>
        <w:t xml:space="preserve">were </w:t>
      </w:r>
      <w:r w:rsidR="000121CA" w:rsidRPr="003806AE">
        <w:t>living in caravans (4,</w:t>
      </w:r>
      <w:r w:rsidR="009F2541">
        <w:t>56</w:t>
      </w:r>
      <w:r w:rsidR="000121CA" w:rsidRPr="003806AE">
        <w:t>0</w:t>
      </w:r>
      <w:r w:rsidR="00281FEC">
        <w:t xml:space="preserve"> people</w:t>
      </w:r>
      <w:r w:rsidR="000121CA" w:rsidRPr="003806AE">
        <w:t xml:space="preserve">), cabins or </w:t>
      </w:r>
      <w:r w:rsidR="000121CA" w:rsidRPr="00B622A4">
        <w:t>houseboats (2,2</w:t>
      </w:r>
      <w:r w:rsidR="009F2541" w:rsidRPr="00B622A4">
        <w:t>4</w:t>
      </w:r>
      <w:r w:rsidR="000121CA" w:rsidRPr="00B622A4">
        <w:t>0), or an improvised dwelling, including tents and sleepers out (3</w:t>
      </w:r>
      <w:r w:rsidR="009F2541" w:rsidRPr="00B622A4">
        <w:t>4</w:t>
      </w:r>
      <w:r w:rsidR="000121CA" w:rsidRPr="00B622A4">
        <w:t xml:space="preserve">0) (see page </w:t>
      </w:r>
      <w:r w:rsidR="009C7BD0" w:rsidRPr="00B622A4">
        <w:t>9</w:t>
      </w:r>
      <w:r w:rsidR="000121CA" w:rsidRPr="00B622A4">
        <w:t xml:space="preserve"> for</w:t>
      </w:r>
      <w:r w:rsidR="000121CA" w:rsidRPr="003806AE">
        <w:t xml:space="preserve"> information on older Queenslanders experiencing homelessness).</w:t>
      </w:r>
    </w:p>
    <w:p w14:paraId="528E46AF" w14:textId="6D97C6CA" w:rsidR="000121CA" w:rsidRPr="00C733A5" w:rsidRDefault="000121CA" w:rsidP="00872CEE">
      <w:pPr>
        <w:pStyle w:val="Heading1"/>
      </w:pPr>
      <w:r w:rsidRPr="00C733A5">
        <w:t xml:space="preserve">Older Queenslanders </w:t>
      </w:r>
      <w:r w:rsidR="00310312">
        <w:t xml:space="preserve">are </w:t>
      </w:r>
      <w:r w:rsidR="0023243D">
        <w:t xml:space="preserve">likely to have spare </w:t>
      </w:r>
      <w:proofErr w:type="gramStart"/>
      <w:r w:rsidR="0023243D">
        <w:t>bedrooms</w:t>
      </w:r>
      <w:proofErr w:type="gramEnd"/>
    </w:p>
    <w:p w14:paraId="373A8742" w14:textId="0EB4A032" w:rsidR="000121CA" w:rsidRPr="00E65ED2" w:rsidRDefault="000121CA" w:rsidP="000121CA">
      <w:r w:rsidRPr="00325770">
        <w:t>Older people want to ‘age in place’ whether it is in their family home or in their local community</w:t>
      </w:r>
      <w:r w:rsidR="00325770" w:rsidRPr="00325770">
        <w:t xml:space="preserve"> (Productivity Commission, 2015)</w:t>
      </w:r>
      <w:r w:rsidRPr="00325770">
        <w:t xml:space="preserve">. </w:t>
      </w:r>
      <w:r w:rsidRPr="001B171A">
        <w:t xml:space="preserve">For many older Queenslanders, this </w:t>
      </w:r>
      <w:r w:rsidRPr="00E65ED2">
        <w:t xml:space="preserve">may mean living in a house larger than what they might require. </w:t>
      </w:r>
      <w:r w:rsidR="000C6F05" w:rsidRPr="00E65ED2">
        <w:t xml:space="preserve">In 2021, </w:t>
      </w:r>
      <w:r w:rsidR="004A7914">
        <w:t>around 63.1% of</w:t>
      </w:r>
      <w:r w:rsidR="00CA2F36" w:rsidRPr="00E65ED2">
        <w:t xml:space="preserve"> o</w:t>
      </w:r>
      <w:r w:rsidRPr="00E65ED2">
        <w:t>lder Queenslanders</w:t>
      </w:r>
      <w:r w:rsidR="000C6F05" w:rsidRPr="00E65ED2">
        <w:t xml:space="preserve"> were</w:t>
      </w:r>
      <w:r w:rsidRPr="00E65ED2">
        <w:t xml:space="preserve"> liv</w:t>
      </w:r>
      <w:r w:rsidR="000C6F05" w:rsidRPr="00E65ED2">
        <w:t>ing</w:t>
      </w:r>
      <w:r w:rsidRPr="00E65ED2">
        <w:t xml:space="preserve"> in dwellings with</w:t>
      </w:r>
      <w:r w:rsidR="00325770">
        <w:t xml:space="preserve"> at least</w:t>
      </w:r>
      <w:r w:rsidRPr="00E65ED2">
        <w:t xml:space="preserve"> </w:t>
      </w:r>
      <w:r w:rsidR="00C2723F" w:rsidRPr="00E65ED2">
        <w:t>2 spare</w:t>
      </w:r>
      <w:r w:rsidRPr="00E65ED2">
        <w:t xml:space="preserve"> bedrooms</w:t>
      </w:r>
      <w:r w:rsidR="00032E4E" w:rsidRPr="00E65ED2">
        <w:t xml:space="preserve">. </w:t>
      </w:r>
      <w:r w:rsidR="00784BDD">
        <w:t xml:space="preserve">In comparison, </w:t>
      </w:r>
      <w:r w:rsidR="00325770">
        <w:t xml:space="preserve">only </w:t>
      </w:r>
      <w:r w:rsidR="00CB4DEB">
        <w:t xml:space="preserve">36.3% of </w:t>
      </w:r>
      <w:r w:rsidRPr="00E65ED2">
        <w:t xml:space="preserve">those aged under 65 years were living in dwellings with </w:t>
      </w:r>
      <w:r w:rsidR="00CB4DEB">
        <w:t>2 or more spare bedrooms</w:t>
      </w:r>
      <w:r w:rsidRPr="00E65ED2">
        <w:t xml:space="preserve"> (</w:t>
      </w:r>
      <w:r w:rsidRPr="00E65ED2">
        <w:fldChar w:fldCharType="begin"/>
      </w:r>
      <w:r w:rsidRPr="00E65ED2">
        <w:instrText xml:space="preserve"> REF _Ref521072730 \h  \* MERGEFORMAT </w:instrText>
      </w:r>
      <w:r w:rsidRPr="00E65ED2">
        <w:fldChar w:fldCharType="separate"/>
      </w:r>
      <w:r w:rsidR="007C6258" w:rsidRPr="00E65ED2">
        <w:t xml:space="preserve">Figure </w:t>
      </w:r>
      <w:r w:rsidR="007C6258" w:rsidRPr="007C6258">
        <w:rPr>
          <w:iCs/>
          <w:noProof/>
        </w:rPr>
        <w:t>4</w:t>
      </w:r>
      <w:r w:rsidRPr="00E65ED2">
        <w:fldChar w:fldCharType="end"/>
      </w:r>
      <w:r w:rsidRPr="00E65ED2">
        <w:t>).</w:t>
      </w:r>
      <w:r w:rsidR="006F7899">
        <w:t xml:space="preserve"> </w:t>
      </w:r>
      <w:r w:rsidR="001D1458">
        <w:t xml:space="preserve">The remainder </w:t>
      </w:r>
      <w:r w:rsidR="009F1601">
        <w:t xml:space="preserve">of </w:t>
      </w:r>
      <w:r w:rsidR="00241FCC">
        <w:t>those</w:t>
      </w:r>
      <w:r w:rsidR="009F1601">
        <w:t xml:space="preserve"> under 65</w:t>
      </w:r>
      <w:r w:rsidR="00241FCC">
        <w:t xml:space="preserve"> year</w:t>
      </w:r>
      <w:r w:rsidR="009F1601">
        <w:t>s</w:t>
      </w:r>
      <w:r w:rsidR="00241FCC">
        <w:t xml:space="preserve"> of age</w:t>
      </w:r>
      <w:r w:rsidR="009F1601">
        <w:t xml:space="preserve"> </w:t>
      </w:r>
      <w:r w:rsidR="001D1458">
        <w:t xml:space="preserve">were living in houses that had fewer spare bedrooms or required additional bedrooms to house the </w:t>
      </w:r>
      <w:r w:rsidR="009F1601">
        <w:t>residents appropriately.</w:t>
      </w:r>
    </w:p>
    <w:p w14:paraId="52B01121" w14:textId="29D9A3A9" w:rsidR="00E65ED2" w:rsidRPr="00E65ED2" w:rsidRDefault="00E65ED2" w:rsidP="00E65ED2">
      <w:pPr>
        <w:pStyle w:val="Caption"/>
        <w:rPr>
          <w:b w:val="0"/>
          <w:i/>
          <w:iCs/>
        </w:rPr>
      </w:pPr>
      <w:bookmarkStart w:id="5" w:name="_Ref521072730"/>
      <w:r w:rsidRPr="00E65ED2">
        <w:t xml:space="preserve">Figure </w:t>
      </w:r>
      <w:r w:rsidR="00536D0D">
        <w:fldChar w:fldCharType="begin"/>
      </w:r>
      <w:r w:rsidR="00536D0D">
        <w:instrText xml:space="preserve"> SEQ Figure \* ARABIC </w:instrText>
      </w:r>
      <w:r w:rsidR="00536D0D">
        <w:fldChar w:fldCharType="separate"/>
      </w:r>
      <w:r w:rsidR="00DD5F74">
        <w:rPr>
          <w:noProof/>
        </w:rPr>
        <w:t>4</w:t>
      </w:r>
      <w:r w:rsidR="00536D0D">
        <w:rPr>
          <w:noProof/>
        </w:rPr>
        <w:fldChar w:fldCharType="end"/>
      </w:r>
      <w:bookmarkEnd w:id="5"/>
      <w:r w:rsidRPr="00E65ED2">
        <w:t>:</w:t>
      </w:r>
      <w:r>
        <w:tab/>
      </w:r>
      <w:r w:rsidRPr="00E65ED2">
        <w:t xml:space="preserve">Proportion of </w:t>
      </w:r>
      <w:r>
        <w:t>people in private</w:t>
      </w:r>
      <w:r w:rsidRPr="00E65ED2">
        <w:t xml:space="preserve"> dwellings with </w:t>
      </w:r>
      <w:r>
        <w:t>2</w:t>
      </w:r>
      <w:r w:rsidRPr="00E65ED2">
        <w:t xml:space="preserve"> or more spare </w:t>
      </w:r>
      <w:proofErr w:type="gramStart"/>
      <w:r w:rsidRPr="00E65ED2">
        <w:t>bedrooms</w:t>
      </w:r>
      <w:proofErr w:type="gramEnd"/>
      <w:r w:rsidRPr="00E65ED2">
        <w:t xml:space="preserve"> </w:t>
      </w:r>
    </w:p>
    <w:p w14:paraId="1A864353" w14:textId="3ED02E60" w:rsidR="002E056E" w:rsidRDefault="00DF4E97" w:rsidP="00EE6E34">
      <w:pPr>
        <w:spacing w:line="240" w:lineRule="auto"/>
      </w:pPr>
      <w:r>
        <w:rPr>
          <w:noProof/>
        </w:rPr>
        <mc:AlternateContent>
          <mc:Choice Requires="wps">
            <w:drawing>
              <wp:anchor distT="0" distB="0" distL="114300" distR="114300" simplePos="0" relativeHeight="251658249" behindDoc="0" locked="0" layoutInCell="1" allowOverlap="1" wp14:anchorId="78005DEE" wp14:editId="348E9077">
                <wp:simplePos x="0" y="0"/>
                <wp:positionH relativeFrom="column">
                  <wp:posOffset>1786890</wp:posOffset>
                </wp:positionH>
                <wp:positionV relativeFrom="paragraph">
                  <wp:posOffset>404494</wp:posOffset>
                </wp:positionV>
                <wp:extent cx="1606163" cy="1039495"/>
                <wp:effectExtent l="0" t="0" r="0" b="8255"/>
                <wp:wrapNone/>
                <wp:docPr id="272252359" name="Text Box 3"/>
                <wp:cNvGraphicFramePr/>
                <a:graphic xmlns:a="http://schemas.openxmlformats.org/drawingml/2006/main">
                  <a:graphicData uri="http://schemas.microsoft.com/office/word/2010/wordprocessingShape">
                    <wps:wsp>
                      <wps:cNvSpPr txBox="1"/>
                      <wps:spPr>
                        <a:xfrm>
                          <a:off x="0" y="0"/>
                          <a:ext cx="1606163" cy="1039495"/>
                        </a:xfrm>
                        <a:prstGeom prst="rect">
                          <a:avLst/>
                        </a:prstGeom>
                        <a:solidFill>
                          <a:schemeClr val="lt1"/>
                        </a:solidFill>
                        <a:ln w="6350">
                          <a:noFill/>
                        </a:ln>
                      </wps:spPr>
                      <wps:txbx>
                        <w:txbxContent>
                          <w:p w14:paraId="127E2F7A" w14:textId="154C8C80" w:rsidR="00DF4E97" w:rsidRPr="00E65ED2" w:rsidRDefault="00E65ED2" w:rsidP="00E65ED2">
                            <w:pPr>
                              <w:jc w:val="center"/>
                              <w:rPr>
                                <w:b/>
                                <w:bCs/>
                                <w:color w:val="3B3838" w:themeColor="background2" w:themeShade="40"/>
                              </w:rPr>
                            </w:pPr>
                            <w:r w:rsidRPr="00E65ED2">
                              <w:rPr>
                                <w:b/>
                                <w:bCs/>
                                <w:color w:val="3B3838" w:themeColor="background2" w:themeShade="40"/>
                              </w:rPr>
                              <w:t>63.1% of o</w:t>
                            </w:r>
                            <w:r w:rsidR="00DF4E97" w:rsidRPr="00E65ED2">
                              <w:rPr>
                                <w:b/>
                                <w:bCs/>
                                <w:color w:val="3B3838" w:themeColor="background2" w:themeShade="40"/>
                              </w:rPr>
                              <w:t>lder Queenslanders live</w:t>
                            </w:r>
                            <w:r w:rsidRPr="00E65ED2">
                              <w:rPr>
                                <w:b/>
                                <w:bCs/>
                                <w:color w:val="3B3838" w:themeColor="background2" w:themeShade="40"/>
                              </w:rPr>
                              <w:t>d</w:t>
                            </w:r>
                            <w:r w:rsidR="00DF4E97" w:rsidRPr="00E65ED2">
                              <w:rPr>
                                <w:b/>
                                <w:bCs/>
                                <w:color w:val="3B3838" w:themeColor="background2" w:themeShade="40"/>
                              </w:rPr>
                              <w:t xml:space="preserve"> in houses with 2 or more spare </w:t>
                            </w:r>
                            <w:proofErr w:type="gramStart"/>
                            <w:r w:rsidR="00312229">
                              <w:rPr>
                                <w:b/>
                                <w:bCs/>
                                <w:color w:val="3B3838" w:themeColor="background2" w:themeShade="40"/>
                              </w:rPr>
                              <w:t>bed</w:t>
                            </w:r>
                            <w:r w:rsidR="00DF4E97" w:rsidRPr="00E65ED2">
                              <w:rPr>
                                <w:b/>
                                <w:bCs/>
                                <w:color w:val="3B3838" w:themeColor="background2" w:themeShade="40"/>
                              </w:rPr>
                              <w:t>rooms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05DEE" id="_x0000_t202" coordsize="21600,21600" o:spt="202" path="m,l,21600r21600,l21600,xe">
                <v:stroke joinstyle="miter"/>
                <v:path gradientshapeok="t" o:connecttype="rect"/>
              </v:shapetype>
              <v:shape id="Text Box 3" o:spid="_x0000_s1028" type="#_x0000_t202" style="position:absolute;margin-left:140.7pt;margin-top:31.85pt;width:126.45pt;height:81.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" fillcolor="white [3201]" stroked="f" strokeweight=".5pt">
                <v:textbox>
                  <w:txbxContent>
                    <w:p w14:paraId="127E2F7A" w14:textId="154C8C80" w:rsidR="00DF4E97" w:rsidRPr="00E65ED2" w:rsidRDefault="00E65ED2" w:rsidP="00E65ED2">
                      <w:pPr>
                        <w:jc w:val="center"/>
                        <w:rPr>
                          <w:b/>
                          <w:bCs/>
                          <w:color w:val="3B3838" w:themeColor="background2" w:themeShade="40"/>
                        </w:rPr>
                      </w:pPr>
                      <w:r w:rsidRPr="00E65ED2">
                        <w:rPr>
                          <w:b/>
                          <w:bCs/>
                          <w:color w:val="3B3838" w:themeColor="background2" w:themeShade="40"/>
                        </w:rPr>
                        <w:t>63.1% of o</w:t>
                      </w:r>
                      <w:r w:rsidR="00DF4E97" w:rsidRPr="00E65ED2">
                        <w:rPr>
                          <w:b/>
                          <w:bCs/>
                          <w:color w:val="3B3838" w:themeColor="background2" w:themeShade="40"/>
                        </w:rPr>
                        <w:t>lder Queenslanders live</w:t>
                      </w:r>
                      <w:r w:rsidRPr="00E65ED2">
                        <w:rPr>
                          <w:b/>
                          <w:bCs/>
                          <w:color w:val="3B3838" w:themeColor="background2" w:themeShade="40"/>
                        </w:rPr>
                        <w:t>d</w:t>
                      </w:r>
                      <w:r w:rsidR="00DF4E97" w:rsidRPr="00E65ED2">
                        <w:rPr>
                          <w:b/>
                          <w:bCs/>
                          <w:color w:val="3B3838" w:themeColor="background2" w:themeShade="40"/>
                        </w:rPr>
                        <w:t xml:space="preserve"> in houses with 2 or more spare </w:t>
                      </w:r>
                      <w:r w:rsidR="00312229">
                        <w:rPr>
                          <w:b/>
                          <w:bCs/>
                          <w:color w:val="3B3838" w:themeColor="background2" w:themeShade="40"/>
                        </w:rPr>
                        <w:t>bed</w:t>
                      </w:r>
                      <w:r w:rsidR="00DF4E97" w:rsidRPr="00E65ED2">
                        <w:rPr>
                          <w:b/>
                          <w:bCs/>
                          <w:color w:val="3B3838" w:themeColor="background2" w:themeShade="40"/>
                        </w:rPr>
                        <w:t>rooms</w:t>
                      </w:r>
                    </w:p>
                  </w:txbxContent>
                </v:textbox>
              </v:shape>
            </w:pict>
          </mc:Fallback>
        </mc:AlternateContent>
      </w:r>
      <w:r w:rsidR="00024D85" w:rsidRPr="00024D85">
        <w:rPr>
          <w:noProof/>
        </w:rPr>
        <w:drawing>
          <wp:inline distT="0" distB="0" distL="0" distR="0" wp14:anchorId="00AFE6FA" wp14:editId="0DA8C23A">
            <wp:extent cx="5183311" cy="1440000"/>
            <wp:effectExtent l="0" t="0" r="0" b="0"/>
            <wp:docPr id="1209695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855" r="13482" b="37709"/>
                    <a:stretch/>
                  </pic:blipFill>
                  <pic:spPr bwMode="auto">
                    <a:xfrm>
                      <a:off x="0" y="0"/>
                      <a:ext cx="5183311"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2253F7A3" w14:textId="04DE71D9" w:rsidR="00BC6708" w:rsidRDefault="000121CA" w:rsidP="000121CA">
      <w:r w:rsidRPr="001D4FBC">
        <w:t xml:space="preserve">Older Queenslanders who had not moved in the last five years were more likely to live in a dwelling with three or more bedrooms </w:t>
      </w:r>
      <w:r w:rsidR="001F5BC6">
        <w:t xml:space="preserve">— </w:t>
      </w:r>
      <w:r w:rsidRPr="001D4FBC">
        <w:t>80.1% compared with 67.7% of those who ha</w:t>
      </w:r>
      <w:r w:rsidR="001428AA">
        <w:t>d</w:t>
      </w:r>
      <w:r w:rsidRPr="001D4FBC">
        <w:t xml:space="preserve"> moved in the last five years. </w:t>
      </w:r>
      <w:r w:rsidR="005F0011">
        <w:t>Additionally, 16.0% of</w:t>
      </w:r>
      <w:r w:rsidR="00364C63">
        <w:t xml:space="preserve"> those who hadn’t moved</w:t>
      </w:r>
      <w:r w:rsidR="004110E0">
        <w:t xml:space="preserve"> </w:t>
      </w:r>
      <w:r w:rsidR="005F0011">
        <w:t xml:space="preserve">in the last five years </w:t>
      </w:r>
      <w:r w:rsidR="004110E0">
        <w:t xml:space="preserve">were living in </w:t>
      </w:r>
      <w:proofErr w:type="gramStart"/>
      <w:r w:rsidR="004110E0">
        <w:t>two</w:t>
      </w:r>
      <w:r w:rsidR="00364C63">
        <w:t xml:space="preserve"> bedroom</w:t>
      </w:r>
      <w:proofErr w:type="gramEnd"/>
      <w:r w:rsidR="00364C63">
        <w:t xml:space="preserve"> dwellings in 2021,</w:t>
      </w:r>
      <w:r w:rsidR="004110E0">
        <w:t xml:space="preserve"> compared with 25.2% of peo</w:t>
      </w:r>
      <w:r w:rsidR="00BC6708">
        <w:t>ple who had moved.</w:t>
      </w:r>
    </w:p>
    <w:p w14:paraId="40946290" w14:textId="0A4FE463" w:rsidR="000A4C0A" w:rsidRDefault="000121CA" w:rsidP="000121CA">
      <w:r w:rsidRPr="001D4FBC">
        <w:t>The Productivity Commission</w:t>
      </w:r>
      <w:r w:rsidR="00A51129">
        <w:t xml:space="preserve"> (2015)</w:t>
      </w:r>
      <w:r w:rsidRPr="001D4FBC">
        <w:t xml:space="preserve"> identified that</w:t>
      </w:r>
      <w:r w:rsidR="00584FD8">
        <w:t>,</w:t>
      </w:r>
      <w:r w:rsidRPr="001D4FBC">
        <w:t xml:space="preserve"> in addition to desire to age in place</w:t>
      </w:r>
      <w:r w:rsidR="002659F4">
        <w:t>,</w:t>
      </w:r>
      <w:r w:rsidRPr="001D4FBC">
        <w:t xml:space="preserve"> </w:t>
      </w:r>
      <w:r w:rsidRPr="00FB1B27">
        <w:t xml:space="preserve">financial factors may also result in some older Queenslanders remaining in </w:t>
      </w:r>
      <w:r w:rsidR="006A0B0B">
        <w:t>place</w:t>
      </w:r>
      <w:r w:rsidRPr="00FB1B27">
        <w:t xml:space="preserve">. </w:t>
      </w:r>
      <w:r w:rsidR="00584FD8">
        <w:t xml:space="preserve">For example, </w:t>
      </w:r>
      <w:r w:rsidR="006A0B0B">
        <w:t xml:space="preserve">people may fear that </w:t>
      </w:r>
      <w:r w:rsidR="00584FD8">
        <w:t>by</w:t>
      </w:r>
      <w:r w:rsidRPr="00FB1B27">
        <w:t xml:space="preserve"> selling their home, their pension eligibility </w:t>
      </w:r>
      <w:r w:rsidR="006A0B0B">
        <w:t>will</w:t>
      </w:r>
      <w:r w:rsidRPr="00FB1B27">
        <w:t xml:space="preserve"> be affected</w:t>
      </w:r>
      <w:r w:rsidR="00F857D3">
        <w:t>,</w:t>
      </w:r>
      <w:r w:rsidRPr="00FB1B27">
        <w:t xml:space="preserve"> or the transaction costs presented by stamp duties may </w:t>
      </w:r>
      <w:proofErr w:type="gramStart"/>
      <w:r w:rsidRPr="00FB1B27">
        <w:t>be</w:t>
      </w:r>
      <w:r w:rsidR="00AB5A6E">
        <w:t xml:space="preserve"> considered to be</w:t>
      </w:r>
      <w:proofErr w:type="gramEnd"/>
      <w:r w:rsidRPr="00FB1B27">
        <w:t xml:space="preserve"> too high</w:t>
      </w:r>
      <w:r w:rsidR="00F857D3">
        <w:t>, or there may be a lack of affordable housing options in their area</w:t>
      </w:r>
      <w:r w:rsidRPr="00FB1B27">
        <w:t>.</w:t>
      </w:r>
      <w:r w:rsidR="00F857D3">
        <w:t xml:space="preserve"> However, as James et al</w:t>
      </w:r>
      <w:r w:rsidR="00885314">
        <w:t xml:space="preserve"> (</w:t>
      </w:r>
      <w:r w:rsidR="00F857D3">
        <w:t>2019) notes</w:t>
      </w:r>
      <w:r w:rsidR="000A4C0A">
        <w:t>,</w:t>
      </w:r>
      <w:r w:rsidR="00885314">
        <w:t xml:space="preserve"> </w:t>
      </w:r>
      <w:r w:rsidR="00885314" w:rsidRPr="00885314">
        <w:t xml:space="preserve">residential moves in retirement may not necessarily include a reduction in the number of </w:t>
      </w:r>
      <w:proofErr w:type="gramStart"/>
      <w:r w:rsidR="00885314" w:rsidRPr="00885314">
        <w:t>bedrooms</w:t>
      </w:r>
      <w:r w:rsidR="00885314">
        <w:t>, but</w:t>
      </w:r>
      <w:proofErr w:type="gramEnd"/>
      <w:r w:rsidR="00885314">
        <w:t xml:space="preserve"> </w:t>
      </w:r>
      <w:r w:rsidR="000A4C0A" w:rsidRPr="000A4C0A">
        <w:t>may be for</w:t>
      </w:r>
      <w:r w:rsidR="00EB0803">
        <w:t xml:space="preserve"> meeting o</w:t>
      </w:r>
      <w:r w:rsidR="00362055">
        <w:t>t</w:t>
      </w:r>
      <w:r w:rsidR="00EB0803">
        <w:t>her</w:t>
      </w:r>
      <w:r w:rsidR="000A4C0A" w:rsidRPr="000A4C0A">
        <w:t xml:space="preserve"> purpose</w:t>
      </w:r>
      <w:r w:rsidR="00362055">
        <w:t>s such as easier home maintenance</w:t>
      </w:r>
      <w:r w:rsidR="000A4C0A" w:rsidRPr="000A4C0A">
        <w:t xml:space="preserve"> or </w:t>
      </w:r>
      <w:r w:rsidR="00362055">
        <w:t xml:space="preserve">the </w:t>
      </w:r>
      <w:r w:rsidR="000A4C0A" w:rsidRPr="000A4C0A">
        <w:t>appropriateness of the home</w:t>
      </w:r>
      <w:r w:rsidR="00EF00D3">
        <w:t>, including meeting mobility needs.</w:t>
      </w:r>
    </w:p>
    <w:p w14:paraId="1B11FBAA" w14:textId="7BF08A96" w:rsidR="000121CA" w:rsidRPr="00E253F7" w:rsidRDefault="000121CA" w:rsidP="00872CEE">
      <w:pPr>
        <w:pStyle w:val="Heading1"/>
      </w:pPr>
      <w:r w:rsidRPr="00E253F7">
        <w:t>Older men are less likely to be alone</w:t>
      </w:r>
      <w:r w:rsidR="007B46B3">
        <w:t xml:space="preserve">, at </w:t>
      </w:r>
      <w:proofErr w:type="gramStart"/>
      <w:r w:rsidR="007B46B3">
        <w:t>home</w:t>
      </w:r>
      <w:proofErr w:type="gramEnd"/>
    </w:p>
    <w:p w14:paraId="1BF07650" w14:textId="6C5F5A6D" w:rsidR="000121CA" w:rsidRPr="00E94814" w:rsidRDefault="000121CA" w:rsidP="000121CA">
      <w:pPr>
        <w:spacing w:before="120" w:after="120"/>
        <w:rPr>
          <w:highlight w:val="yellow"/>
        </w:rPr>
      </w:pPr>
      <w:r w:rsidRPr="00FB1B27">
        <w:t xml:space="preserve">In 2021, </w:t>
      </w:r>
      <w:r w:rsidR="00C5228A">
        <w:t xml:space="preserve">around </w:t>
      </w:r>
      <w:r w:rsidRPr="00FB1B27">
        <w:t>19</w:t>
      </w:r>
      <w:r>
        <w:t>2,100</w:t>
      </w:r>
      <w:r w:rsidRPr="00FB1B27">
        <w:t xml:space="preserve"> (25.</w:t>
      </w:r>
      <w:r>
        <w:t>1</w:t>
      </w:r>
      <w:r w:rsidRPr="00FB1B27">
        <w:t xml:space="preserve">%) older Queenslanders </w:t>
      </w:r>
      <w:r w:rsidRPr="007D63C4">
        <w:t>were living alone</w:t>
      </w:r>
      <w:r w:rsidR="00406B5C">
        <w:t xml:space="preserve"> (</w:t>
      </w:r>
      <w:r w:rsidR="00406B5C" w:rsidRPr="00FB1B27">
        <w:t xml:space="preserve">in private </w:t>
      </w:r>
      <w:r w:rsidR="00406B5C" w:rsidRPr="007D63C4">
        <w:t>dwellings</w:t>
      </w:r>
      <w:r w:rsidR="00406B5C">
        <w:t>)</w:t>
      </w:r>
      <w:r w:rsidRPr="007D63C4">
        <w:t>. A higher proportion of older women (</w:t>
      </w:r>
      <w:r>
        <w:t>30</w:t>
      </w:r>
      <w:r w:rsidRPr="00D80D6C">
        <w:t>.9% or 12</w:t>
      </w:r>
      <w:r>
        <w:t>4</w:t>
      </w:r>
      <w:r w:rsidRPr="00D80D6C">
        <w:t>,</w:t>
      </w:r>
      <w:r>
        <w:t>1</w:t>
      </w:r>
      <w:r w:rsidR="005758C1">
        <w:t>1</w:t>
      </w:r>
      <w:r>
        <w:t>0</w:t>
      </w:r>
      <w:r w:rsidRPr="00D80D6C">
        <w:t>) than men (</w:t>
      </w:r>
      <w:r>
        <w:t>18.7</w:t>
      </w:r>
      <w:r w:rsidRPr="00D80D6C">
        <w:t xml:space="preserve">% or </w:t>
      </w:r>
      <w:r w:rsidR="005758C1">
        <w:t>67,990</w:t>
      </w:r>
      <w:r w:rsidRPr="00D80D6C">
        <w:t>) lived alone</w:t>
      </w:r>
      <w:r w:rsidR="004B6EE2">
        <w:t>,</w:t>
      </w:r>
      <w:r w:rsidRPr="00D80D6C">
        <w:t xml:space="preserve"> with the gap increasing with age (</w:t>
      </w:r>
      <w:r w:rsidRPr="00D80D6C">
        <w:fldChar w:fldCharType="begin"/>
      </w:r>
      <w:r w:rsidRPr="00D80D6C">
        <w:instrText xml:space="preserve"> REF _Ref521072837 \h  \* MERGEFORMAT </w:instrText>
      </w:r>
      <w:r w:rsidRPr="00D80D6C">
        <w:fldChar w:fldCharType="separate"/>
      </w:r>
      <w:r w:rsidR="007C6258" w:rsidRPr="007C6258">
        <w:rPr>
          <w:iCs/>
        </w:rPr>
        <w:t>Figure 5</w:t>
      </w:r>
      <w:r w:rsidRPr="00D80D6C">
        <w:fldChar w:fldCharType="end"/>
      </w:r>
      <w:r w:rsidRPr="00D80D6C">
        <w:t xml:space="preserve">). While older men aged 85 years and older were more likely than women in the same age group to be </w:t>
      </w:r>
      <w:r w:rsidR="00707523">
        <w:t>living</w:t>
      </w:r>
      <w:r w:rsidRPr="00D80D6C">
        <w:t xml:space="preserve"> in a private dwelling (</w:t>
      </w:r>
      <w:r w:rsidRPr="00D80D6C">
        <w:fldChar w:fldCharType="begin"/>
      </w:r>
      <w:r w:rsidRPr="00D80D6C">
        <w:instrText xml:space="preserve"> REF _Ref521072660 \h  \* MERGEFORMAT </w:instrText>
      </w:r>
      <w:r w:rsidRPr="00D80D6C">
        <w:fldChar w:fldCharType="separate"/>
      </w:r>
      <w:r w:rsidR="007C6258" w:rsidRPr="007C6258">
        <w:rPr>
          <w:iCs/>
        </w:rPr>
        <w:t xml:space="preserve">Figure </w:t>
      </w:r>
      <w:r w:rsidR="007C6258" w:rsidRPr="007C6258">
        <w:rPr>
          <w:iCs/>
          <w:noProof/>
        </w:rPr>
        <w:t>2</w:t>
      </w:r>
      <w:r w:rsidRPr="00D80D6C">
        <w:fldChar w:fldCharType="end"/>
      </w:r>
      <w:r w:rsidRPr="00D80D6C">
        <w:t xml:space="preserve">), overwhelmingly, these men </w:t>
      </w:r>
      <w:r w:rsidR="00707523">
        <w:t>lived</w:t>
      </w:r>
      <w:r w:rsidRPr="00D80D6C">
        <w:t xml:space="preserve"> with a partner.</w:t>
      </w:r>
    </w:p>
    <w:p w14:paraId="65370B0B" w14:textId="706FCC63" w:rsidR="000121CA" w:rsidRPr="008E57C9" w:rsidRDefault="000121CA" w:rsidP="009A7EB4">
      <w:pPr>
        <w:pStyle w:val="Caption"/>
        <w:tabs>
          <w:tab w:val="clear" w:pos="1418"/>
        </w:tabs>
        <w:ind w:left="1134" w:hanging="1134"/>
        <w:rPr>
          <w:b w:val="0"/>
          <w:i/>
          <w:iCs/>
        </w:rPr>
      </w:pPr>
      <w:bookmarkStart w:id="6" w:name="_Ref521072837"/>
      <w:r w:rsidRPr="008E57C9">
        <w:t xml:space="preserve">Figure </w:t>
      </w:r>
      <w:r w:rsidR="00536D0D">
        <w:fldChar w:fldCharType="begin"/>
      </w:r>
      <w:r w:rsidR="00536D0D">
        <w:instrText xml:space="preserve"> SEQ Figure \* ARABIC </w:instrText>
      </w:r>
      <w:r w:rsidR="00536D0D">
        <w:fldChar w:fldCharType="separate"/>
      </w:r>
      <w:r w:rsidR="00DD5F74">
        <w:rPr>
          <w:noProof/>
        </w:rPr>
        <w:t>5</w:t>
      </w:r>
      <w:r w:rsidR="00536D0D">
        <w:rPr>
          <w:noProof/>
        </w:rPr>
        <w:fldChar w:fldCharType="end"/>
      </w:r>
      <w:bookmarkEnd w:id="6"/>
      <w:r w:rsidRPr="008E57C9">
        <w:t>:</w:t>
      </w:r>
      <w:r w:rsidR="009A7EB4">
        <w:tab/>
      </w:r>
      <w:r w:rsidRPr="008E57C9">
        <w:t xml:space="preserve">Proportion of older Queenslanders living alone in private dwellings by age group and sex, </w:t>
      </w:r>
      <w:proofErr w:type="gramStart"/>
      <w:r w:rsidRPr="008E57C9">
        <w:t>202</w:t>
      </w:r>
      <w:r>
        <w:t>1</w:t>
      </w:r>
      <w:proofErr w:type="gramEnd"/>
    </w:p>
    <w:p w14:paraId="6C336944" w14:textId="57D99513" w:rsidR="000121CA" w:rsidRDefault="000121CA" w:rsidP="000121CA">
      <w:pPr>
        <w:spacing w:after="0" w:line="240" w:lineRule="auto"/>
        <w:rPr>
          <w:sz w:val="16"/>
          <w:szCs w:val="16"/>
          <w:highlight w:val="yellow"/>
        </w:rPr>
      </w:pPr>
    </w:p>
    <w:p w14:paraId="0B5A4AAB" w14:textId="5138E0C7" w:rsidR="000121CA" w:rsidRDefault="00D735C6" w:rsidP="000121CA">
      <w:pPr>
        <w:spacing w:after="0" w:line="240" w:lineRule="auto"/>
        <w:rPr>
          <w:sz w:val="16"/>
          <w:szCs w:val="16"/>
          <w:highlight w:val="yellow"/>
        </w:rPr>
      </w:pPr>
      <w:r w:rsidRPr="008E57C9">
        <w:rPr>
          <w:b/>
          <w:i/>
          <w:iCs/>
          <w:noProof/>
          <w:lang w:eastAsia="en-AU"/>
        </w:rPr>
        <w:lastRenderedPageBreak/>
        <mc:AlternateContent>
          <mc:Choice Requires="wps">
            <w:drawing>
              <wp:anchor distT="0" distB="0" distL="114300" distR="114300" simplePos="0" relativeHeight="251658250" behindDoc="0" locked="0" layoutInCell="1" allowOverlap="1" wp14:anchorId="7E2DE481" wp14:editId="7F939831">
                <wp:simplePos x="0" y="0"/>
                <wp:positionH relativeFrom="margin">
                  <wp:align>left</wp:align>
                </wp:positionH>
                <wp:positionV relativeFrom="paragraph">
                  <wp:posOffset>221</wp:posOffset>
                </wp:positionV>
                <wp:extent cx="4552950" cy="607060"/>
                <wp:effectExtent l="0" t="0" r="0" b="2540"/>
                <wp:wrapNone/>
                <wp:docPr id="12" name="TextBox 6"/>
                <wp:cNvGraphicFramePr/>
                <a:graphic xmlns:a="http://schemas.openxmlformats.org/drawingml/2006/main">
                  <a:graphicData uri="http://schemas.microsoft.com/office/word/2010/wordprocessingShape">
                    <wps:wsp>
                      <wps:cNvSpPr txBox="1"/>
                      <wps:spPr>
                        <a:xfrm>
                          <a:off x="0" y="0"/>
                          <a:ext cx="4552950" cy="6070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FB7230" w14:textId="77777777" w:rsidR="000121CA" w:rsidRDefault="000121CA" w:rsidP="000121CA">
                            <w:pPr>
                              <w:pStyle w:val="NormalWeb"/>
                              <w:spacing w:before="0" w:beforeAutospacing="0" w:after="0" w:afterAutospacing="0"/>
                              <w:rPr>
                                <w:rFonts w:ascii="Arial" w:hAnsi="Arial" w:cs="Arial"/>
                                <w:b/>
                                <w:bCs/>
                                <w:color w:val="4B717E"/>
                                <w:sz w:val="22"/>
                                <w:szCs w:val="22"/>
                              </w:rPr>
                            </w:pPr>
                            <w:r w:rsidRPr="00347194">
                              <w:rPr>
                                <w:rFonts w:ascii="Arial" w:hAnsi="Arial" w:cs="Arial"/>
                                <w:b/>
                                <w:bCs/>
                                <w:color w:val="4B717E"/>
                                <w:sz w:val="22"/>
                                <w:szCs w:val="22"/>
                              </w:rPr>
                              <w:t xml:space="preserve">Over half of women aged 85 years and older </w:t>
                            </w:r>
                            <w:r>
                              <w:rPr>
                                <w:rFonts w:ascii="Arial" w:hAnsi="Arial" w:cs="Arial"/>
                                <w:b/>
                                <w:bCs/>
                                <w:color w:val="4B717E"/>
                                <w:sz w:val="22"/>
                                <w:szCs w:val="22"/>
                              </w:rPr>
                              <w:t xml:space="preserve">at home </w:t>
                            </w:r>
                          </w:p>
                          <w:p w14:paraId="455857D4" w14:textId="77777777" w:rsidR="000121CA" w:rsidRDefault="000121CA" w:rsidP="000121CA">
                            <w:pPr>
                              <w:pStyle w:val="NormalWeb"/>
                              <w:spacing w:before="0" w:beforeAutospacing="0" w:after="0" w:afterAutospacing="0"/>
                              <w:rPr>
                                <w:rFonts w:ascii="Arial" w:hAnsi="Arial" w:cs="Arial"/>
                                <w:b/>
                                <w:bCs/>
                                <w:color w:val="4B717E"/>
                                <w:sz w:val="22"/>
                                <w:szCs w:val="22"/>
                              </w:rPr>
                            </w:pPr>
                            <w:r>
                              <w:rPr>
                                <w:rFonts w:ascii="Arial" w:hAnsi="Arial" w:cs="Arial"/>
                                <w:b/>
                                <w:bCs/>
                                <w:color w:val="4B717E"/>
                                <w:sz w:val="22"/>
                                <w:szCs w:val="22"/>
                              </w:rPr>
                              <w:t>on census night</w:t>
                            </w:r>
                            <w:r w:rsidRPr="00347194">
                              <w:rPr>
                                <w:rFonts w:ascii="Arial" w:hAnsi="Arial" w:cs="Arial"/>
                                <w:b/>
                                <w:bCs/>
                                <w:color w:val="4B717E"/>
                                <w:sz w:val="22"/>
                                <w:szCs w:val="22"/>
                              </w:rPr>
                              <w:t xml:space="preserve"> were</w:t>
                            </w:r>
                            <w:r>
                              <w:rPr>
                                <w:rFonts w:ascii="Arial" w:hAnsi="Arial" w:cs="Arial"/>
                                <w:b/>
                                <w:bCs/>
                                <w:color w:val="4B717E"/>
                                <w:sz w:val="22"/>
                                <w:szCs w:val="22"/>
                              </w:rPr>
                              <w:t xml:space="preserve"> living</w:t>
                            </w:r>
                            <w:r w:rsidRPr="00347194">
                              <w:rPr>
                                <w:rFonts w:ascii="Arial" w:hAnsi="Arial" w:cs="Arial"/>
                                <w:b/>
                                <w:bCs/>
                                <w:color w:val="4B717E"/>
                                <w:sz w:val="22"/>
                                <w:szCs w:val="22"/>
                              </w:rPr>
                              <w:t xml:space="preserve"> alone compared with less </w:t>
                            </w:r>
                          </w:p>
                          <w:p w14:paraId="692E494A" w14:textId="77777777" w:rsidR="000121CA" w:rsidRPr="00347194" w:rsidRDefault="000121CA" w:rsidP="000121CA">
                            <w:pPr>
                              <w:pStyle w:val="NormalWeb"/>
                              <w:spacing w:before="0" w:beforeAutospacing="0" w:after="0" w:afterAutospacing="0"/>
                              <w:rPr>
                                <w:sz w:val="22"/>
                                <w:szCs w:val="22"/>
                              </w:rPr>
                            </w:pPr>
                            <w:r w:rsidRPr="00347194">
                              <w:rPr>
                                <w:rFonts w:ascii="Arial" w:hAnsi="Arial" w:cs="Arial"/>
                                <w:b/>
                                <w:bCs/>
                                <w:color w:val="4B717E"/>
                                <w:sz w:val="22"/>
                                <w:szCs w:val="22"/>
                              </w:rPr>
                              <w:t>than one third of men</w:t>
                            </w:r>
                          </w:p>
                        </w:txbxContent>
                      </wps:txbx>
                      <wps:bodyPr vertOverflow="clip" horzOverflow="clip" wrap="square" rtlCol="0" anchor="t">
                        <a:noAutofit/>
                      </wps:bodyPr>
                    </wps:wsp>
                  </a:graphicData>
                </a:graphic>
              </wp:anchor>
            </w:drawing>
          </mc:Choice>
          <mc:Fallback>
            <w:pict>
              <v:shape w14:anchorId="7E2DE481" id="TextBox 6" o:spid="_x0000_s1029" type="#_x0000_t202" style="position:absolute;margin-left:0;margin-top:0;width:358.5pt;height:47.8pt;z-index:25165825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" filled="f" stroked="f">
                <v:textbox>
                  <w:txbxContent>
                    <w:p w14:paraId="2CFB7230" w14:textId="77777777" w:rsidR="000121CA" w:rsidRDefault="000121CA" w:rsidP="000121CA">
                      <w:pPr>
                        <w:pStyle w:val="NormalWeb"/>
                        <w:spacing w:before="0" w:beforeAutospacing="0" w:after="0" w:afterAutospacing="0"/>
                        <w:rPr>
                          <w:rFonts w:ascii="Arial" w:hAnsi="Arial" w:cs="Arial"/>
                          <w:b/>
                          <w:bCs/>
                          <w:color w:val="4B717E"/>
                          <w:sz w:val="22"/>
                          <w:szCs w:val="22"/>
                        </w:rPr>
                      </w:pPr>
                      <w:r w:rsidRPr="00347194">
                        <w:rPr>
                          <w:rFonts w:ascii="Arial" w:hAnsi="Arial" w:cs="Arial"/>
                          <w:b/>
                          <w:bCs/>
                          <w:color w:val="4B717E"/>
                          <w:sz w:val="22"/>
                          <w:szCs w:val="22"/>
                        </w:rPr>
                        <w:t xml:space="preserve">Over half of women aged 85 years and older </w:t>
                      </w:r>
                      <w:r>
                        <w:rPr>
                          <w:rFonts w:ascii="Arial" w:hAnsi="Arial" w:cs="Arial"/>
                          <w:b/>
                          <w:bCs/>
                          <w:color w:val="4B717E"/>
                          <w:sz w:val="22"/>
                          <w:szCs w:val="22"/>
                        </w:rPr>
                        <w:t xml:space="preserve">at home </w:t>
                      </w:r>
                    </w:p>
                    <w:p w14:paraId="455857D4" w14:textId="77777777" w:rsidR="000121CA" w:rsidRDefault="000121CA" w:rsidP="000121CA">
                      <w:pPr>
                        <w:pStyle w:val="NormalWeb"/>
                        <w:spacing w:before="0" w:beforeAutospacing="0" w:after="0" w:afterAutospacing="0"/>
                        <w:rPr>
                          <w:rFonts w:ascii="Arial" w:hAnsi="Arial" w:cs="Arial"/>
                          <w:b/>
                          <w:bCs/>
                          <w:color w:val="4B717E"/>
                          <w:sz w:val="22"/>
                          <w:szCs w:val="22"/>
                        </w:rPr>
                      </w:pPr>
                      <w:r>
                        <w:rPr>
                          <w:rFonts w:ascii="Arial" w:hAnsi="Arial" w:cs="Arial"/>
                          <w:b/>
                          <w:bCs/>
                          <w:color w:val="4B717E"/>
                          <w:sz w:val="22"/>
                          <w:szCs w:val="22"/>
                        </w:rPr>
                        <w:t>on census night</w:t>
                      </w:r>
                      <w:r w:rsidRPr="00347194">
                        <w:rPr>
                          <w:rFonts w:ascii="Arial" w:hAnsi="Arial" w:cs="Arial"/>
                          <w:b/>
                          <w:bCs/>
                          <w:color w:val="4B717E"/>
                          <w:sz w:val="22"/>
                          <w:szCs w:val="22"/>
                        </w:rPr>
                        <w:t xml:space="preserve"> were</w:t>
                      </w:r>
                      <w:r>
                        <w:rPr>
                          <w:rFonts w:ascii="Arial" w:hAnsi="Arial" w:cs="Arial"/>
                          <w:b/>
                          <w:bCs/>
                          <w:color w:val="4B717E"/>
                          <w:sz w:val="22"/>
                          <w:szCs w:val="22"/>
                        </w:rPr>
                        <w:t xml:space="preserve"> living</w:t>
                      </w:r>
                      <w:r w:rsidRPr="00347194">
                        <w:rPr>
                          <w:rFonts w:ascii="Arial" w:hAnsi="Arial" w:cs="Arial"/>
                          <w:b/>
                          <w:bCs/>
                          <w:color w:val="4B717E"/>
                          <w:sz w:val="22"/>
                          <w:szCs w:val="22"/>
                        </w:rPr>
                        <w:t xml:space="preserve"> alone compared with less </w:t>
                      </w:r>
                    </w:p>
                    <w:p w14:paraId="692E494A" w14:textId="77777777" w:rsidR="000121CA" w:rsidRPr="00347194" w:rsidRDefault="000121CA" w:rsidP="000121CA">
                      <w:pPr>
                        <w:pStyle w:val="NormalWeb"/>
                        <w:spacing w:before="0" w:beforeAutospacing="0" w:after="0" w:afterAutospacing="0"/>
                        <w:rPr>
                          <w:sz w:val="22"/>
                          <w:szCs w:val="22"/>
                        </w:rPr>
                      </w:pPr>
                      <w:r w:rsidRPr="00347194">
                        <w:rPr>
                          <w:rFonts w:ascii="Arial" w:hAnsi="Arial" w:cs="Arial"/>
                          <w:b/>
                          <w:bCs/>
                          <w:color w:val="4B717E"/>
                          <w:sz w:val="22"/>
                          <w:szCs w:val="22"/>
                        </w:rPr>
                        <w:t>than one third of men</w:t>
                      </w:r>
                    </w:p>
                  </w:txbxContent>
                </v:textbox>
                <w10:wrap anchorx="margin"/>
              </v:shape>
            </w:pict>
          </mc:Fallback>
        </mc:AlternateContent>
      </w:r>
      <w:r w:rsidR="001F3DF3" w:rsidRPr="001F3DF3">
        <w:rPr>
          <w:noProof/>
        </w:rPr>
        <w:drawing>
          <wp:inline distT="0" distB="0" distL="0" distR="0" wp14:anchorId="6FC8C835" wp14:editId="04C1A9E2">
            <wp:extent cx="4440890" cy="2700000"/>
            <wp:effectExtent l="0" t="0" r="0" b="5715"/>
            <wp:docPr id="797288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0890" cy="2700000"/>
                    </a:xfrm>
                    <a:prstGeom prst="rect">
                      <a:avLst/>
                    </a:prstGeom>
                    <a:noFill/>
                    <a:ln>
                      <a:noFill/>
                    </a:ln>
                  </pic:spPr>
                </pic:pic>
              </a:graphicData>
            </a:graphic>
          </wp:inline>
        </w:drawing>
      </w:r>
    </w:p>
    <w:p w14:paraId="21EF4A6E" w14:textId="77777777" w:rsidR="000121CA" w:rsidRDefault="000121CA" w:rsidP="000121CA">
      <w:pPr>
        <w:spacing w:after="0" w:line="240" w:lineRule="auto"/>
        <w:rPr>
          <w:sz w:val="16"/>
          <w:szCs w:val="16"/>
          <w:highlight w:val="yellow"/>
        </w:rPr>
      </w:pPr>
    </w:p>
    <w:p w14:paraId="04AEC5E3" w14:textId="77777777" w:rsidR="000121CA" w:rsidRPr="00FA1F71" w:rsidRDefault="000121CA" w:rsidP="00872CEE">
      <w:pPr>
        <w:pStyle w:val="Heading1"/>
      </w:pPr>
      <w:r w:rsidRPr="00FA1F71">
        <w:t xml:space="preserve">More older Queenslanders have a </w:t>
      </w:r>
      <w:proofErr w:type="gramStart"/>
      <w:r w:rsidRPr="00FA1F71">
        <w:t>mortgage</w:t>
      </w:r>
      <w:proofErr w:type="gramEnd"/>
    </w:p>
    <w:p w14:paraId="3FEA5022" w14:textId="559DA297" w:rsidR="000121CA" w:rsidRPr="00E94814" w:rsidRDefault="000121CA" w:rsidP="000121CA">
      <w:pPr>
        <w:rPr>
          <w:highlight w:val="yellow"/>
        </w:rPr>
      </w:pPr>
      <w:r w:rsidRPr="003C2D1B">
        <w:t>In 2021, there were 750,</w:t>
      </w:r>
      <w:r w:rsidR="00554D59">
        <w:t>68</w:t>
      </w:r>
      <w:r>
        <w:t>0</w:t>
      </w:r>
      <w:r w:rsidRPr="003C2D1B">
        <w:t xml:space="preserve"> older people </w:t>
      </w:r>
      <w:r w:rsidR="00BB0646">
        <w:t xml:space="preserve">counted </w:t>
      </w:r>
      <w:r w:rsidRPr="003C2D1B">
        <w:t xml:space="preserve">at home in Queensland on </w:t>
      </w:r>
      <w:r w:rsidR="00334078">
        <w:t>C</w:t>
      </w:r>
      <w:r w:rsidRPr="003C2D1B">
        <w:t xml:space="preserve">ensus night and </w:t>
      </w:r>
      <w:r w:rsidRPr="00537867">
        <w:t xml:space="preserve">living </w:t>
      </w:r>
      <w:r w:rsidRPr="00275981">
        <w:t>in a private dwelling for which tenure type was reported. Of these, approximately 4 in 5 (81.</w:t>
      </w:r>
      <w:r>
        <w:t>6</w:t>
      </w:r>
      <w:r w:rsidRPr="00275981">
        <w:t xml:space="preserve">%) were either living in a dwelling owned outright (68.5%) or mortgaged (13.1%). The proportion of </w:t>
      </w:r>
      <w:r w:rsidR="004825AC">
        <w:t>older</w:t>
      </w:r>
      <w:r w:rsidRPr="00275981">
        <w:t xml:space="preserve"> Queenslanders counted in dwellings with a mortgage decreased with age (</w:t>
      </w:r>
      <w:r w:rsidRPr="00275981">
        <w:fldChar w:fldCharType="begin"/>
      </w:r>
      <w:r w:rsidRPr="00275981">
        <w:instrText xml:space="preserve"> REF _Ref521072920 \h  \* MERGEFORMAT </w:instrText>
      </w:r>
      <w:r w:rsidRPr="00275981">
        <w:fldChar w:fldCharType="separate"/>
      </w:r>
      <w:r w:rsidR="007C6258" w:rsidRPr="007C6258">
        <w:rPr>
          <w:iCs/>
        </w:rPr>
        <w:t>Figure 6</w:t>
      </w:r>
      <w:r w:rsidRPr="00275981">
        <w:fldChar w:fldCharType="end"/>
      </w:r>
      <w:r w:rsidRPr="00275981">
        <w:t xml:space="preserve">). </w:t>
      </w:r>
    </w:p>
    <w:p w14:paraId="129DB362" w14:textId="71F1AE94" w:rsidR="000121CA" w:rsidRPr="002A4C2F" w:rsidRDefault="000121CA" w:rsidP="000121CA">
      <w:pPr>
        <w:rPr>
          <w:b/>
        </w:rPr>
      </w:pPr>
      <w:r w:rsidRPr="002A4C2F">
        <w:t>Many factors have led to the higher proportion of active mortgages among older Queenslanders, including households planning to finalise mortgages later due to planning to be in the workforce longer, households taking advantage of home loan redraw facilities and the increase in property prices since 2000.</w:t>
      </w:r>
    </w:p>
    <w:p w14:paraId="77D87499" w14:textId="43767EFA" w:rsidR="000121CA" w:rsidRPr="003C6E5A" w:rsidRDefault="000121CA" w:rsidP="000121CA">
      <w:pPr>
        <w:pStyle w:val="Caption"/>
        <w:rPr>
          <w:b w:val="0"/>
          <w:i/>
          <w:iCs/>
        </w:rPr>
      </w:pPr>
      <w:bookmarkStart w:id="7" w:name="_Ref521072920"/>
      <w:r w:rsidRPr="003C6E5A">
        <w:t xml:space="preserve">Figure </w:t>
      </w:r>
      <w:r w:rsidR="00536D0D">
        <w:fldChar w:fldCharType="begin"/>
      </w:r>
      <w:r w:rsidR="00536D0D">
        <w:instrText xml:space="preserve"> SEQ Figure \* ARABIC </w:instrText>
      </w:r>
      <w:r w:rsidR="00536D0D">
        <w:fldChar w:fldCharType="separate"/>
      </w:r>
      <w:r w:rsidR="00DD5F74">
        <w:rPr>
          <w:noProof/>
        </w:rPr>
        <w:t>6</w:t>
      </w:r>
      <w:r w:rsidR="00536D0D">
        <w:rPr>
          <w:noProof/>
        </w:rPr>
        <w:fldChar w:fldCharType="end"/>
      </w:r>
      <w:bookmarkEnd w:id="7"/>
      <w:r w:rsidRPr="003C6E5A">
        <w:t>:</w:t>
      </w:r>
      <w:r w:rsidR="00EB567A" w:rsidRPr="003C6E5A">
        <w:tab/>
      </w:r>
      <w:r w:rsidR="00963B85">
        <w:t>Tenure</w:t>
      </w:r>
      <w:r w:rsidRPr="003C6E5A">
        <w:t xml:space="preserve"> by </w:t>
      </w:r>
      <w:r w:rsidR="004825AC">
        <w:t xml:space="preserve">selected </w:t>
      </w:r>
      <w:r w:rsidRPr="003C6E5A">
        <w:t>age group</w:t>
      </w:r>
      <w:r w:rsidR="005051F1">
        <w:t>s</w:t>
      </w:r>
      <w:r w:rsidRPr="003C6E5A">
        <w:t xml:space="preserve">, </w:t>
      </w:r>
      <w:proofErr w:type="gramStart"/>
      <w:r w:rsidRPr="003C6E5A">
        <w:t>2021</w:t>
      </w:r>
      <w:proofErr w:type="gramEnd"/>
    </w:p>
    <w:p w14:paraId="6CD56E50" w14:textId="64CBDBCB" w:rsidR="000121CA" w:rsidRDefault="003C7918" w:rsidP="00521D97">
      <w:pPr>
        <w:spacing w:line="240" w:lineRule="auto"/>
        <w:rPr>
          <w:highlight w:val="yellow"/>
        </w:rPr>
      </w:pPr>
      <w:r w:rsidRPr="003C7918">
        <w:rPr>
          <w:noProof/>
        </w:rPr>
        <w:drawing>
          <wp:inline distT="0" distB="0" distL="0" distR="0" wp14:anchorId="79422804" wp14:editId="7D1A6A0B">
            <wp:extent cx="4541909" cy="2700000"/>
            <wp:effectExtent l="0" t="0" r="0" b="5715"/>
            <wp:docPr id="13820248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1909" cy="2700000"/>
                    </a:xfrm>
                    <a:prstGeom prst="rect">
                      <a:avLst/>
                    </a:prstGeom>
                    <a:noFill/>
                    <a:ln>
                      <a:noFill/>
                    </a:ln>
                  </pic:spPr>
                </pic:pic>
              </a:graphicData>
            </a:graphic>
          </wp:inline>
        </w:drawing>
      </w:r>
    </w:p>
    <w:p w14:paraId="45FE03C6" w14:textId="3A09ACEA" w:rsidR="000121CA" w:rsidRPr="000A5629" w:rsidRDefault="000121CA" w:rsidP="000121CA">
      <w:r w:rsidRPr="000A5629">
        <w:t xml:space="preserve">Over time there </w:t>
      </w:r>
      <w:r w:rsidR="006357B5" w:rsidRPr="000A5629">
        <w:t>has been</w:t>
      </w:r>
      <w:r w:rsidRPr="000A5629">
        <w:t xml:space="preserve"> a decrease in the proportion of older Queenslanders in dwellings </w:t>
      </w:r>
      <w:r w:rsidR="00F005F2">
        <w:t>that</w:t>
      </w:r>
      <w:r w:rsidRPr="000A5629">
        <w:t xml:space="preserve"> were owned outright, from 74.8% in 2006 to 68.5% in 2021</w:t>
      </w:r>
      <w:r w:rsidR="00CC2226">
        <w:t xml:space="preserve"> </w:t>
      </w:r>
      <w:r w:rsidR="00CC2226" w:rsidRPr="00031CB7">
        <w:t>(</w:t>
      </w:r>
      <w:r w:rsidR="00CC2226" w:rsidRPr="00031CB7">
        <w:fldChar w:fldCharType="begin"/>
      </w:r>
      <w:r w:rsidR="00CC2226" w:rsidRPr="00031CB7">
        <w:instrText xml:space="preserve"> REF _Ref521072954 \h  \* MERGEFORMAT </w:instrText>
      </w:r>
      <w:r w:rsidR="00CC2226" w:rsidRPr="00031CB7">
        <w:fldChar w:fldCharType="separate"/>
      </w:r>
      <w:r w:rsidR="007C6258" w:rsidRPr="00031CB7">
        <w:t xml:space="preserve">Figure </w:t>
      </w:r>
      <w:r w:rsidR="007C6258">
        <w:t>7</w:t>
      </w:r>
      <w:r w:rsidR="00CC2226" w:rsidRPr="00031CB7">
        <w:fldChar w:fldCharType="end"/>
      </w:r>
      <w:r w:rsidR="00CC2226" w:rsidRPr="00031CB7">
        <w:t>).</w:t>
      </w:r>
      <w:r w:rsidRPr="000A5629">
        <w:t xml:space="preserve"> Conversely there was an increase in the number of </w:t>
      </w:r>
      <w:r w:rsidR="002A0AC2">
        <w:t xml:space="preserve">people in </w:t>
      </w:r>
      <w:r w:rsidRPr="000A5629">
        <w:t xml:space="preserve">dwellings owned </w:t>
      </w:r>
      <w:r w:rsidR="00544AE3">
        <w:t>with</w:t>
      </w:r>
      <w:r w:rsidRPr="000A5629">
        <w:t xml:space="preserve"> a mortgage, representing 13.1% in 2021, up from 7.7% in 2006.</w:t>
      </w:r>
    </w:p>
    <w:p w14:paraId="3CE395E0" w14:textId="78A86C5B" w:rsidR="000121CA" w:rsidRPr="006D7D0A" w:rsidRDefault="000121CA" w:rsidP="000121CA">
      <w:r w:rsidRPr="006D7D0A">
        <w:t xml:space="preserve">Older males </w:t>
      </w:r>
      <w:r w:rsidR="004969CF" w:rsidRPr="006D7D0A">
        <w:t>experienced the</w:t>
      </w:r>
      <w:r w:rsidRPr="006D7D0A">
        <w:t xml:space="preserve"> largest change. In 2021, 13.8% of older men were living in a </w:t>
      </w:r>
      <w:r w:rsidR="00656B55">
        <w:t>dwelling</w:t>
      </w:r>
      <w:r w:rsidRPr="006D7D0A">
        <w:t xml:space="preserve"> </w:t>
      </w:r>
      <w:r w:rsidR="00141A1D">
        <w:t>that was</w:t>
      </w:r>
      <w:r w:rsidRPr="006D7D0A">
        <w:t xml:space="preserve"> mortgage</w:t>
      </w:r>
      <w:r w:rsidR="00141A1D">
        <w:t>d</w:t>
      </w:r>
      <w:r w:rsidRPr="006D7D0A">
        <w:t>, compared with 8.1% in 2006. A smaller but similar increase was also evident in the proportion of older female Queenslanders living in a dwelling with a mortgage.</w:t>
      </w:r>
    </w:p>
    <w:p w14:paraId="089BC615" w14:textId="11958242" w:rsidR="000121CA" w:rsidRPr="00031CB7" w:rsidRDefault="000121CA" w:rsidP="00626B5C">
      <w:pPr>
        <w:pStyle w:val="Caption"/>
        <w:tabs>
          <w:tab w:val="clear" w:pos="1418"/>
        </w:tabs>
        <w:ind w:left="1134" w:hanging="1134"/>
      </w:pPr>
      <w:bookmarkStart w:id="8" w:name="_Ref521072954"/>
      <w:r w:rsidRPr="00031CB7">
        <w:lastRenderedPageBreak/>
        <w:t xml:space="preserve">Figure </w:t>
      </w:r>
      <w:r w:rsidR="00536D0D">
        <w:fldChar w:fldCharType="begin"/>
      </w:r>
      <w:r w:rsidR="00536D0D">
        <w:instrText xml:space="preserve"> SEQ Figure \* ARABIC </w:instrText>
      </w:r>
      <w:r w:rsidR="00536D0D">
        <w:fldChar w:fldCharType="separate"/>
      </w:r>
      <w:r w:rsidR="00DD5F74">
        <w:rPr>
          <w:noProof/>
        </w:rPr>
        <w:t>7</w:t>
      </w:r>
      <w:r w:rsidR="00536D0D">
        <w:rPr>
          <w:noProof/>
        </w:rPr>
        <w:fldChar w:fldCharType="end"/>
      </w:r>
      <w:bookmarkEnd w:id="8"/>
      <w:r w:rsidRPr="00031CB7">
        <w:t>:</w:t>
      </w:r>
      <w:r w:rsidR="00626B5C" w:rsidRPr="00031CB7">
        <w:tab/>
      </w:r>
      <w:r w:rsidRPr="00031CB7">
        <w:t xml:space="preserve">Proportion of </w:t>
      </w:r>
      <w:r w:rsidR="00141A1D">
        <w:t xml:space="preserve">selected </w:t>
      </w:r>
      <w:r w:rsidRPr="00031CB7">
        <w:t xml:space="preserve">Queenslanders living in private dwellings owned with a mortgage by age </w:t>
      </w:r>
      <w:proofErr w:type="gramStart"/>
      <w:r w:rsidRPr="00031CB7">
        <w:t>group</w:t>
      </w:r>
      <w:proofErr w:type="gramEnd"/>
    </w:p>
    <w:p w14:paraId="5B0AD424" w14:textId="273B0D5E" w:rsidR="000121CA" w:rsidRDefault="00626B5C" w:rsidP="006357B5">
      <w:pPr>
        <w:spacing w:line="240" w:lineRule="auto"/>
        <w:rPr>
          <w:highlight w:val="yellow"/>
        </w:rPr>
      </w:pPr>
      <w:r w:rsidRPr="00E94814">
        <w:rPr>
          <w:b/>
          <w:i/>
          <w:iCs/>
          <w:noProof/>
          <w:highlight w:val="yellow"/>
          <w:lang w:eastAsia="en-AU"/>
        </w:rPr>
        <mc:AlternateContent>
          <mc:Choice Requires="wps">
            <w:drawing>
              <wp:anchor distT="0" distB="0" distL="114300" distR="114300" simplePos="0" relativeHeight="251658243" behindDoc="0" locked="0" layoutInCell="1" allowOverlap="1" wp14:anchorId="0DF63101" wp14:editId="215FE313">
                <wp:simplePos x="0" y="0"/>
                <wp:positionH relativeFrom="margin">
                  <wp:posOffset>72804</wp:posOffset>
                </wp:positionH>
                <wp:positionV relativeFrom="paragraph">
                  <wp:posOffset>6626</wp:posOffset>
                </wp:positionV>
                <wp:extent cx="3768918" cy="485775"/>
                <wp:effectExtent l="0" t="0" r="0" b="0"/>
                <wp:wrapNone/>
                <wp:docPr id="21" name="TextBox 20">
                  <a:extLst xmlns:a="http://schemas.openxmlformats.org/drawingml/2006/main">
                    <a:ext uri="{FF2B5EF4-FFF2-40B4-BE49-F238E27FC236}">
                      <a16:creationId xmlns:a16="http://schemas.microsoft.com/office/drawing/2014/main" id="{3F275D2D-5F7B-4337-AA9C-D4B69CB9230E}"/>
                    </a:ext>
                  </a:extLst>
                </wp:docPr>
                <wp:cNvGraphicFramePr/>
                <a:graphic xmlns:a="http://schemas.openxmlformats.org/drawingml/2006/main">
                  <a:graphicData uri="http://schemas.microsoft.com/office/word/2010/wordprocessingShape">
                    <wps:wsp>
                      <wps:cNvSpPr txBox="1"/>
                      <wps:spPr>
                        <a:xfrm>
                          <a:off x="0" y="0"/>
                          <a:ext cx="3768918" cy="485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67B06F" w14:textId="3244E8AE" w:rsidR="000121CA" w:rsidRPr="006B1871" w:rsidRDefault="000121CA" w:rsidP="000121CA">
                            <w:pPr>
                              <w:pStyle w:val="NormalWeb"/>
                              <w:spacing w:before="0" w:beforeAutospacing="0" w:after="0" w:afterAutospacing="0"/>
                              <w:rPr>
                                <w:sz w:val="22"/>
                                <w:szCs w:val="22"/>
                              </w:rPr>
                            </w:pPr>
                            <w:r w:rsidRPr="006B1871">
                              <w:rPr>
                                <w:rFonts w:ascii="Arial" w:hAnsi="Arial" w:cs="Arial"/>
                                <w:b/>
                                <w:bCs/>
                                <w:color w:val="4B717E"/>
                                <w:sz w:val="22"/>
                                <w:szCs w:val="22"/>
                              </w:rPr>
                              <w:t xml:space="preserve">More people approaching and beyond retirement age </w:t>
                            </w:r>
                            <w:r w:rsidR="00B6021D">
                              <w:rPr>
                                <w:rFonts w:ascii="Arial" w:hAnsi="Arial" w:cs="Arial"/>
                                <w:b/>
                                <w:bCs/>
                                <w:color w:val="4B717E"/>
                                <w:sz w:val="22"/>
                                <w:szCs w:val="22"/>
                              </w:rPr>
                              <w:t>are living in dwellings with</w:t>
                            </w:r>
                            <w:r w:rsidRPr="006B1871">
                              <w:rPr>
                                <w:rFonts w:ascii="Arial" w:hAnsi="Arial" w:cs="Arial"/>
                                <w:b/>
                                <w:bCs/>
                                <w:color w:val="4B717E"/>
                                <w:sz w:val="22"/>
                                <w:szCs w:val="22"/>
                              </w:rPr>
                              <w:t xml:space="preserve"> active </w:t>
                            </w:r>
                            <w:proofErr w:type="gramStart"/>
                            <w:r w:rsidRPr="006B1871">
                              <w:rPr>
                                <w:rFonts w:ascii="Arial" w:hAnsi="Arial" w:cs="Arial"/>
                                <w:b/>
                                <w:bCs/>
                                <w:color w:val="4B717E"/>
                                <w:sz w:val="22"/>
                                <w:szCs w:val="22"/>
                              </w:rPr>
                              <w:t>mortgages</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F63101" id="TextBox 20" o:spid="_x0000_s1030" type="#_x0000_t202" style="position:absolute;margin-left:5.75pt;margin-top:.5pt;width:296.75pt;height:3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" filled="f" stroked="f">
                <v:textbox>
                  <w:txbxContent>
                    <w:p w14:paraId="7467B06F" w14:textId="3244E8AE" w:rsidR="000121CA" w:rsidRPr="006B1871" w:rsidRDefault="000121CA" w:rsidP="000121CA">
                      <w:pPr>
                        <w:pStyle w:val="NormalWeb"/>
                        <w:spacing w:before="0" w:beforeAutospacing="0" w:after="0" w:afterAutospacing="0"/>
                        <w:rPr>
                          <w:sz w:val="22"/>
                          <w:szCs w:val="22"/>
                        </w:rPr>
                      </w:pPr>
                      <w:r w:rsidRPr="006B1871">
                        <w:rPr>
                          <w:rFonts w:ascii="Arial" w:hAnsi="Arial" w:cs="Arial"/>
                          <w:b/>
                          <w:bCs/>
                          <w:color w:val="4B717E"/>
                          <w:sz w:val="22"/>
                          <w:szCs w:val="22"/>
                        </w:rPr>
                        <w:t xml:space="preserve">More people approaching and beyond retirement age </w:t>
                      </w:r>
                      <w:r w:rsidR="00B6021D">
                        <w:rPr>
                          <w:rFonts w:ascii="Arial" w:hAnsi="Arial" w:cs="Arial"/>
                          <w:b/>
                          <w:bCs/>
                          <w:color w:val="4B717E"/>
                          <w:sz w:val="22"/>
                          <w:szCs w:val="22"/>
                        </w:rPr>
                        <w:t>are living in dwellings with</w:t>
                      </w:r>
                      <w:r w:rsidRPr="006B1871">
                        <w:rPr>
                          <w:rFonts w:ascii="Arial" w:hAnsi="Arial" w:cs="Arial"/>
                          <w:b/>
                          <w:bCs/>
                          <w:color w:val="4B717E"/>
                          <w:sz w:val="22"/>
                          <w:szCs w:val="22"/>
                        </w:rPr>
                        <w:t xml:space="preserve"> active mortgages</w:t>
                      </w:r>
                    </w:p>
                  </w:txbxContent>
                </v:textbox>
                <w10:wrap anchorx="margin"/>
              </v:shape>
            </w:pict>
          </mc:Fallback>
        </mc:AlternateContent>
      </w:r>
      <w:r w:rsidR="006357B5" w:rsidRPr="006357B5">
        <w:rPr>
          <w:noProof/>
        </w:rPr>
        <w:drawing>
          <wp:inline distT="0" distB="0" distL="0" distR="0" wp14:anchorId="7789A6AA" wp14:editId="77AE8959">
            <wp:extent cx="5180409" cy="2628000"/>
            <wp:effectExtent l="0" t="0" r="1270" b="1270"/>
            <wp:docPr id="4715007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0409" cy="2628000"/>
                    </a:xfrm>
                    <a:prstGeom prst="rect">
                      <a:avLst/>
                    </a:prstGeom>
                    <a:noFill/>
                    <a:ln>
                      <a:noFill/>
                    </a:ln>
                  </pic:spPr>
                </pic:pic>
              </a:graphicData>
            </a:graphic>
          </wp:inline>
        </w:drawing>
      </w:r>
      <w:r w:rsidRPr="00626B5C">
        <w:rPr>
          <w:highlight w:val="yellow"/>
        </w:rPr>
        <w:t xml:space="preserve"> </w:t>
      </w:r>
    </w:p>
    <w:p w14:paraId="4CF5F567" w14:textId="5F92936E" w:rsidR="00CC2226" w:rsidRDefault="00CC2226" w:rsidP="00CC2226">
      <w:r w:rsidRPr="00031CB7">
        <w:t>For those approaching retirement age (age</w:t>
      </w:r>
      <w:r w:rsidR="00410105">
        <w:t>d</w:t>
      </w:r>
      <w:r w:rsidRPr="00031CB7">
        <w:t xml:space="preserve"> 60–64</w:t>
      </w:r>
      <w:r w:rsidR="002B3249">
        <w:t xml:space="preserve"> years</w:t>
      </w:r>
      <w:r w:rsidRPr="00031CB7">
        <w:t xml:space="preserve">), the proportion of people counted in dwellings owned </w:t>
      </w:r>
      <w:r w:rsidR="002C015A">
        <w:t>with</w:t>
      </w:r>
      <w:r w:rsidRPr="00031CB7">
        <w:t xml:space="preserve"> a mortgage has increased from 20.0% in 2006 to 31.5% in 2021</w:t>
      </w:r>
      <w:r>
        <w:t>.</w:t>
      </w:r>
    </w:p>
    <w:p w14:paraId="1C0B60CC" w14:textId="39A09B19" w:rsidR="000121CA" w:rsidRPr="00F43F66" w:rsidRDefault="000121CA" w:rsidP="000121CA">
      <w:pPr>
        <w:spacing w:after="0" w:line="240" w:lineRule="auto"/>
        <w:rPr>
          <w:rStyle w:val="Heading1Char"/>
        </w:rPr>
      </w:pPr>
      <w:r w:rsidRPr="00F43F66">
        <w:rPr>
          <w:rStyle w:val="Heading1Char"/>
        </w:rPr>
        <w:t>Older Queenslanders are</w:t>
      </w:r>
      <w:r w:rsidR="0026024A">
        <w:rPr>
          <w:rStyle w:val="Heading1Char"/>
        </w:rPr>
        <w:t xml:space="preserve"> still</w:t>
      </w:r>
      <w:r w:rsidRPr="00F43F66">
        <w:rPr>
          <w:rStyle w:val="Heading1Char"/>
        </w:rPr>
        <w:t xml:space="preserve"> </w:t>
      </w:r>
      <w:proofErr w:type="gramStart"/>
      <w:r w:rsidRPr="00F43F66">
        <w:rPr>
          <w:rStyle w:val="Heading1Char"/>
        </w:rPr>
        <w:t>renting</w:t>
      </w:r>
      <w:proofErr w:type="gramEnd"/>
    </w:p>
    <w:p w14:paraId="7B8D3F95" w14:textId="1599F480" w:rsidR="000121CA" w:rsidRPr="00F43F66" w:rsidRDefault="000121CA" w:rsidP="000121CA">
      <w:r w:rsidRPr="00F43F66">
        <w:t>In 2021, 15.0% (112,</w:t>
      </w:r>
      <w:r w:rsidR="00EB77A2">
        <w:t>29</w:t>
      </w:r>
      <w:r w:rsidRPr="00F43F66">
        <w:t xml:space="preserve">0) of older Queenslanders were renting, </w:t>
      </w:r>
      <w:r w:rsidR="00F83737">
        <w:t xml:space="preserve">up slightly from </w:t>
      </w:r>
      <w:r w:rsidR="00F83737" w:rsidRPr="00F43F66">
        <w:t xml:space="preserve">14.1% </w:t>
      </w:r>
      <w:r w:rsidR="00F86529">
        <w:t>(</w:t>
      </w:r>
      <w:r w:rsidR="00F83737" w:rsidRPr="00F43F66">
        <w:t>or 55,2</w:t>
      </w:r>
      <w:r w:rsidR="00F83737">
        <w:t>4</w:t>
      </w:r>
      <w:r w:rsidR="00F83737" w:rsidRPr="00F43F66">
        <w:t>0)</w:t>
      </w:r>
      <w:r w:rsidRPr="00F43F66">
        <w:t xml:space="preserve"> </w:t>
      </w:r>
      <w:r w:rsidR="00F83737">
        <w:t>in</w:t>
      </w:r>
      <w:r w:rsidRPr="00F43F66">
        <w:t xml:space="preserve"> 2006</w:t>
      </w:r>
      <w:r w:rsidRPr="00F43F66">
        <w:rPr>
          <w:rStyle w:val="EndnoteReference"/>
        </w:rPr>
        <w:endnoteReference w:id="2"/>
      </w:r>
      <w:r w:rsidRPr="00F43F66">
        <w:t xml:space="preserve">. </w:t>
      </w:r>
      <w:r w:rsidR="00BB4403">
        <w:t xml:space="preserve">An additional </w:t>
      </w:r>
      <w:r w:rsidR="00BF7663">
        <w:t xml:space="preserve">6,330 older Queenslanders were </w:t>
      </w:r>
      <w:r w:rsidR="00513363">
        <w:t xml:space="preserve">living </w:t>
      </w:r>
      <w:r w:rsidR="00787089">
        <w:t>in rent free dwellings in 2021.</w:t>
      </w:r>
    </w:p>
    <w:p w14:paraId="74CD3049" w14:textId="6EBF608A" w:rsidR="000121CA" w:rsidRPr="00681EDB" w:rsidRDefault="000121CA" w:rsidP="000121CA">
      <w:r w:rsidRPr="00681EDB">
        <w:t>Older people living in rental housing are vulnerable to a range of factors such as rising rents, and insecure tenure</w:t>
      </w:r>
      <w:r w:rsidR="00F6740C">
        <w:t>,</w:t>
      </w:r>
      <w:r w:rsidRPr="00681EDB">
        <w:t xml:space="preserve"> which can lead to housing affordability stress</w:t>
      </w:r>
      <w:r>
        <w:fldChar w:fldCharType="begin"/>
      </w:r>
      <w:r>
        <w:instrText xml:space="preserve"> NOTEREF _Ref514751012 \h  \* MERGEFORMAT </w:instrText>
      </w:r>
      <w:r>
        <w:fldChar w:fldCharType="separate"/>
      </w:r>
      <w:r w:rsidR="008E540A" w:rsidRPr="008E540A">
        <w:t xml:space="preserve"> (Jame</w:t>
      </w:r>
      <w:r w:rsidR="008E540A">
        <w:t>s</w:t>
      </w:r>
      <w:r w:rsidR="008E540A" w:rsidRPr="008E540A">
        <w:t xml:space="preserve"> et al, 2019</w:t>
      </w:r>
      <w:r w:rsidR="00E524FF">
        <w:t>)</w:t>
      </w:r>
      <w:r>
        <w:fldChar w:fldCharType="end"/>
      </w:r>
      <w:r w:rsidRPr="00681EDB">
        <w:t xml:space="preserve">. </w:t>
      </w:r>
      <w:r w:rsidR="00F86529">
        <w:t>Due to</w:t>
      </w:r>
      <w:r w:rsidRPr="00681EDB">
        <w:t xml:space="preserve"> higher stressors in the private rental market, older </w:t>
      </w:r>
      <w:r w:rsidR="00F86529">
        <w:t>people may be</w:t>
      </w:r>
      <w:r w:rsidRPr="00681EDB">
        <w:t xml:space="preserve"> more reliant on public housing compared with younger renting households.</w:t>
      </w:r>
      <w:r w:rsidR="00811620">
        <w:t xml:space="preserve"> Around 1 in 5 older Queensland</w:t>
      </w:r>
      <w:r w:rsidR="00507577">
        <w:t>ers in rented dwellings</w:t>
      </w:r>
      <w:r w:rsidR="00811620">
        <w:t xml:space="preserve"> were in some form of social housing in 2021 (</w:t>
      </w:r>
      <w:r w:rsidR="00811620" w:rsidRPr="00681EDB">
        <w:fldChar w:fldCharType="begin"/>
      </w:r>
      <w:r w:rsidR="00811620" w:rsidRPr="00681EDB">
        <w:instrText xml:space="preserve"> REF _Ref521073029 \h  \* MERGEFORMAT </w:instrText>
      </w:r>
      <w:r w:rsidR="00811620" w:rsidRPr="00681EDB">
        <w:fldChar w:fldCharType="separate"/>
      </w:r>
      <w:r w:rsidR="00811620" w:rsidRPr="007C6258">
        <w:rPr>
          <w:iCs/>
        </w:rPr>
        <w:t>Figure 8</w:t>
      </w:r>
      <w:r w:rsidR="00811620" w:rsidRPr="00681EDB">
        <w:fldChar w:fldCharType="end"/>
      </w:r>
      <w:r w:rsidR="00811620">
        <w:t>).</w:t>
      </w:r>
      <w:r w:rsidR="00741FA6">
        <w:t xml:space="preserve"> This compares with fewer than 1 in 20 </w:t>
      </w:r>
      <w:r w:rsidR="004421E7">
        <w:t>people aged 25 to 34 years</w:t>
      </w:r>
      <w:r w:rsidR="00E130F2">
        <w:t>, with the proportion slowly increasing with age.</w:t>
      </w:r>
    </w:p>
    <w:p w14:paraId="7EC255C7" w14:textId="0F899D7F" w:rsidR="000121CA" w:rsidRPr="00681EDB" w:rsidRDefault="000121CA" w:rsidP="000121CA">
      <w:pPr>
        <w:pStyle w:val="Caption"/>
        <w:rPr>
          <w:b w:val="0"/>
          <w:i/>
          <w:iCs/>
        </w:rPr>
      </w:pPr>
      <w:bookmarkStart w:id="9" w:name="_Ref521073029"/>
      <w:r w:rsidRPr="00681EDB">
        <w:t xml:space="preserve">Figure </w:t>
      </w:r>
      <w:r w:rsidR="00536D0D">
        <w:fldChar w:fldCharType="begin"/>
      </w:r>
      <w:r w:rsidR="00536D0D">
        <w:instrText xml:space="preserve"> SEQ Figure \* ARABIC </w:instrText>
      </w:r>
      <w:r w:rsidR="00536D0D">
        <w:fldChar w:fldCharType="separate"/>
      </w:r>
      <w:r w:rsidR="00DD5F74">
        <w:rPr>
          <w:noProof/>
        </w:rPr>
        <w:t>8</w:t>
      </w:r>
      <w:r w:rsidR="00536D0D">
        <w:rPr>
          <w:noProof/>
        </w:rPr>
        <w:fldChar w:fldCharType="end"/>
      </w:r>
      <w:bookmarkEnd w:id="9"/>
      <w:r w:rsidRPr="00681EDB">
        <w:t>:</w:t>
      </w:r>
      <w:r w:rsidR="00681EDB">
        <w:tab/>
      </w:r>
      <w:r w:rsidRPr="00681EDB">
        <w:t xml:space="preserve">Proportion of older Queenslanders renting by landlord type, </w:t>
      </w:r>
      <w:proofErr w:type="gramStart"/>
      <w:r w:rsidRPr="00681EDB">
        <w:t>2021</w:t>
      </w:r>
      <w:proofErr w:type="gramEnd"/>
      <w:r w:rsidRPr="00681EDB">
        <w:t xml:space="preserve"> </w:t>
      </w:r>
    </w:p>
    <w:p w14:paraId="2FFD0160" w14:textId="0DA2BA3F" w:rsidR="00F563F3" w:rsidRDefault="00F204F3" w:rsidP="00DD13C3">
      <w:pPr>
        <w:spacing w:after="0" w:line="240" w:lineRule="auto"/>
        <w:rPr>
          <w:highlight w:val="yellow"/>
        </w:rPr>
      </w:pPr>
      <w:r w:rsidRPr="00F204F3">
        <w:rPr>
          <w:noProof/>
        </w:rPr>
        <w:drawing>
          <wp:inline distT="0" distB="0" distL="0" distR="0" wp14:anchorId="163B68C7" wp14:editId="1C7FF2CF">
            <wp:extent cx="5396230" cy="2706370"/>
            <wp:effectExtent l="0" t="0" r="0" b="0"/>
            <wp:docPr id="25923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230" cy="2706370"/>
                    </a:xfrm>
                    <a:prstGeom prst="rect">
                      <a:avLst/>
                    </a:prstGeom>
                    <a:noFill/>
                    <a:ln>
                      <a:noFill/>
                    </a:ln>
                  </pic:spPr>
                </pic:pic>
              </a:graphicData>
            </a:graphic>
          </wp:inline>
        </w:drawing>
      </w:r>
    </w:p>
    <w:p w14:paraId="6AF12D46" w14:textId="2E56F052" w:rsidR="00473FA0" w:rsidRPr="00A73B1B" w:rsidRDefault="00473FA0" w:rsidP="00A73B1B">
      <w:pPr>
        <w:pStyle w:val="Heading4"/>
        <w:numPr>
          <w:ilvl w:val="0"/>
          <w:numId w:val="0"/>
        </w:numPr>
        <w:rPr>
          <w:b/>
          <w:color w:val="339E8A" w:themeColor="accent3"/>
          <w:sz w:val="44"/>
          <w:szCs w:val="44"/>
        </w:rPr>
      </w:pPr>
      <w:r w:rsidRPr="00A73B1B">
        <w:rPr>
          <w:b/>
          <w:color w:val="339E8A" w:themeColor="accent3"/>
          <w:sz w:val="44"/>
          <w:szCs w:val="44"/>
        </w:rPr>
        <w:lastRenderedPageBreak/>
        <w:t>Older Queenslanders</w:t>
      </w:r>
      <w:r w:rsidR="00534394">
        <w:rPr>
          <w:b/>
          <w:color w:val="339E8A" w:themeColor="accent3"/>
          <w:sz w:val="44"/>
          <w:szCs w:val="44"/>
        </w:rPr>
        <w:t>,</w:t>
      </w:r>
      <w:r w:rsidR="00A73B1B" w:rsidRPr="00A73B1B">
        <w:rPr>
          <w:b/>
          <w:color w:val="339E8A" w:themeColor="accent3"/>
          <w:sz w:val="44"/>
          <w:szCs w:val="44"/>
        </w:rPr>
        <w:t xml:space="preserve"> a</w:t>
      </w:r>
      <w:r w:rsidRPr="00A73B1B">
        <w:rPr>
          <w:b/>
          <w:color w:val="339E8A" w:themeColor="accent3"/>
          <w:sz w:val="44"/>
          <w:szCs w:val="44"/>
        </w:rPr>
        <w:t xml:space="preserve">t home </w:t>
      </w:r>
      <w:r w:rsidR="00A73B1B" w:rsidRPr="00A73B1B">
        <w:rPr>
          <w:b/>
          <w:color w:val="339E8A" w:themeColor="accent3"/>
          <w:sz w:val="44"/>
          <w:szCs w:val="44"/>
        </w:rPr>
        <w:t>during the Census</w:t>
      </w:r>
      <w:r w:rsidR="00534394">
        <w:rPr>
          <w:b/>
          <w:color w:val="339E8A" w:themeColor="accent3"/>
          <w:sz w:val="44"/>
          <w:szCs w:val="44"/>
        </w:rPr>
        <w:t>,</w:t>
      </w:r>
      <w:r w:rsidR="00A73B1B" w:rsidRPr="00A73B1B">
        <w:rPr>
          <w:b/>
          <w:color w:val="339E8A" w:themeColor="accent3"/>
          <w:sz w:val="44"/>
          <w:szCs w:val="44"/>
        </w:rPr>
        <w:t xml:space="preserve"> in a non-private dwelling</w:t>
      </w:r>
    </w:p>
    <w:p w14:paraId="40BC8F09" w14:textId="4B40CB8A" w:rsidR="000121CA" w:rsidRPr="00B410FC" w:rsidRDefault="0064468F" w:rsidP="001064A1">
      <w:pPr>
        <w:spacing w:after="0" w:line="240" w:lineRule="auto"/>
        <w:ind w:left="709"/>
        <w:rPr>
          <w:rStyle w:val="Heading1Char"/>
        </w:rPr>
      </w:pPr>
      <w:r w:rsidRPr="000D38F4">
        <w:rPr>
          <w:rFonts w:eastAsia="Arial" w:cs="Arial"/>
          <w:b/>
          <w:bCs/>
          <w:noProof/>
          <w:color w:val="000000"/>
          <w:szCs w:val="20"/>
          <w:lang w:eastAsia="en-AU"/>
        </w:rPr>
        <mc:AlternateContent>
          <mc:Choice Requires="wps">
            <w:drawing>
              <wp:anchor distT="0" distB="0" distL="114300" distR="114300" simplePos="0" relativeHeight="251658251" behindDoc="0" locked="0" layoutInCell="1" allowOverlap="1" wp14:anchorId="4497755B" wp14:editId="52424374">
                <wp:simplePos x="0" y="0"/>
                <wp:positionH relativeFrom="margin">
                  <wp:posOffset>3905250</wp:posOffset>
                </wp:positionH>
                <wp:positionV relativeFrom="paragraph">
                  <wp:posOffset>496570</wp:posOffset>
                </wp:positionV>
                <wp:extent cx="1876425" cy="1979295"/>
                <wp:effectExtent l="0" t="0" r="28575" b="20955"/>
                <wp:wrapSquare wrapText="bothSides"/>
                <wp:docPr id="3" name="Rounded Rectangle 13"/>
                <wp:cNvGraphicFramePr/>
                <a:graphic xmlns:a="http://schemas.openxmlformats.org/drawingml/2006/main">
                  <a:graphicData uri="http://schemas.microsoft.com/office/word/2010/wordprocessingShape">
                    <wps:wsp>
                      <wps:cNvSpPr/>
                      <wps:spPr>
                        <a:xfrm>
                          <a:off x="0" y="0"/>
                          <a:ext cx="1876425" cy="1979295"/>
                        </a:xfrm>
                        <a:prstGeom prst="roundRect">
                          <a:avLst/>
                        </a:prstGeom>
                        <a:solidFill>
                          <a:schemeClr val="accent6">
                            <a:lumMod val="40000"/>
                            <a:lumOff val="60000"/>
                          </a:schemeClr>
                        </a:solidFill>
                        <a:ln>
                          <a:solidFill>
                            <a:schemeClr val="accent6">
                              <a:lumMod val="40000"/>
                              <a:lumOff val="60000"/>
                            </a:schemeClr>
                          </a:solidFill>
                        </a:ln>
                        <a:effectLst/>
                      </wps:spPr>
                      <wps:style>
                        <a:lnRef idx="1">
                          <a:schemeClr val="accent2"/>
                        </a:lnRef>
                        <a:fillRef idx="2">
                          <a:schemeClr val="accent2"/>
                        </a:fillRef>
                        <a:effectRef idx="1">
                          <a:schemeClr val="accent2"/>
                        </a:effectRef>
                        <a:fontRef idx="minor">
                          <a:schemeClr val="dk1"/>
                        </a:fontRef>
                      </wps:style>
                      <wps:txbx>
                        <w:txbxContent>
                          <w:p w14:paraId="44C38C05" w14:textId="77777777" w:rsidR="0064468F" w:rsidRPr="006B1871" w:rsidRDefault="0064468F" w:rsidP="0064468F">
                            <w:pPr>
                              <w:spacing w:before="120"/>
                              <w:jc w:val="center"/>
                              <w:rPr>
                                <w:color w:val="404040" w:themeColor="text1" w:themeTint="BF"/>
                                <w:szCs w:val="22"/>
                              </w:rPr>
                            </w:pPr>
                            <w:r w:rsidRPr="006B1871">
                              <w:rPr>
                                <w:color w:val="404040" w:themeColor="text1" w:themeTint="BF"/>
                                <w:szCs w:val="22"/>
                              </w:rPr>
                              <w:t>Non-private dwellings include those that provide a communal type of accommodation</w:t>
                            </w:r>
                            <w:r>
                              <w:rPr>
                                <w:color w:val="404040" w:themeColor="text1" w:themeTint="BF"/>
                                <w:szCs w:val="22"/>
                              </w:rPr>
                              <w:t xml:space="preserve">, such as </w:t>
                            </w:r>
                            <w:r w:rsidRPr="006B1871">
                              <w:rPr>
                                <w:color w:val="404040" w:themeColor="text1" w:themeTint="BF"/>
                                <w:szCs w:val="22"/>
                              </w:rPr>
                              <w:t>hotels, motels, bed and breakfasts, hospitals, nursing homes, and accommodation for the retired or aged.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7755B" id="_x0000_s1031" style="position:absolute;left:0;text-align:left;margin-left:307.5pt;margin-top:39.1pt;width:147.75pt;height:155.8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" fillcolor="#c0e6e5 [1305]" strokecolor="#c0e6e5 [1305]">
                <v:textbox inset="1mm,1mm,1mm,1mm">
                  <w:txbxContent>
                    <w:p w14:paraId="44C38C05" w14:textId="77777777" w:rsidR="0064468F" w:rsidRPr="006B1871" w:rsidRDefault="0064468F" w:rsidP="0064468F">
                      <w:pPr>
                        <w:spacing w:before="120"/>
                        <w:jc w:val="center"/>
                        <w:rPr>
                          <w:color w:val="404040" w:themeColor="text1" w:themeTint="BF"/>
                          <w:szCs w:val="22"/>
                        </w:rPr>
                      </w:pPr>
                      <w:r w:rsidRPr="006B1871">
                        <w:rPr>
                          <w:color w:val="404040" w:themeColor="text1" w:themeTint="BF"/>
                          <w:szCs w:val="22"/>
                        </w:rPr>
                        <w:t>Non-private dwellings include those that provide a communal type of accommodation</w:t>
                      </w:r>
                      <w:r>
                        <w:rPr>
                          <w:color w:val="404040" w:themeColor="text1" w:themeTint="BF"/>
                          <w:szCs w:val="22"/>
                        </w:rPr>
                        <w:t xml:space="preserve">, such as </w:t>
                      </w:r>
                      <w:r w:rsidRPr="006B1871">
                        <w:rPr>
                          <w:color w:val="404040" w:themeColor="text1" w:themeTint="BF"/>
                          <w:szCs w:val="22"/>
                        </w:rPr>
                        <w:t>hotels, motels, bed and breakfasts, hospitals, nursing homes, and accommodation for the retired or aged.</w:t>
                      </w:r>
                    </w:p>
                  </w:txbxContent>
                </v:textbox>
                <w10:wrap type="square" anchorx="margin"/>
              </v:roundrect>
            </w:pict>
          </mc:Fallback>
        </mc:AlternateContent>
      </w:r>
      <w:r w:rsidR="000121CA" w:rsidRPr="00B410FC">
        <w:rPr>
          <w:rStyle w:val="Heading1Char"/>
        </w:rPr>
        <w:t xml:space="preserve">Demand for non-private dwellings increases with </w:t>
      </w:r>
      <w:proofErr w:type="gramStart"/>
      <w:r w:rsidR="000121CA" w:rsidRPr="00B410FC">
        <w:rPr>
          <w:rStyle w:val="Heading1Char"/>
        </w:rPr>
        <w:t>age</w:t>
      </w:r>
      <w:proofErr w:type="gramEnd"/>
    </w:p>
    <w:p w14:paraId="1CC83360" w14:textId="5F9AA88B" w:rsidR="000121CA" w:rsidRDefault="000121CA" w:rsidP="000121CA">
      <w:r w:rsidRPr="00A44BCA">
        <w:t xml:space="preserve">Of those at home </w:t>
      </w:r>
      <w:r w:rsidR="009254DE">
        <w:t>during</w:t>
      </w:r>
      <w:r w:rsidRPr="00A44BCA">
        <w:t xml:space="preserve"> the 2021 Census, over 1 in 20 (</w:t>
      </w:r>
      <w:r>
        <w:t>5.</w:t>
      </w:r>
      <w:r w:rsidR="00553132">
        <w:t>3</w:t>
      </w:r>
      <w:r w:rsidRPr="00A44BCA">
        <w:t xml:space="preserve">%) older Queenslanders were living in a non-private dwelling, while </w:t>
      </w:r>
      <w:r>
        <w:t xml:space="preserve">almost </w:t>
      </w:r>
      <w:r w:rsidRPr="00A44BCA">
        <w:t>1 in 4 (2</w:t>
      </w:r>
      <w:r>
        <w:t>3</w:t>
      </w:r>
      <w:r w:rsidRPr="00A44BCA">
        <w:t>.</w:t>
      </w:r>
      <w:r w:rsidR="007740C1">
        <w:t>7</w:t>
      </w:r>
      <w:r w:rsidRPr="00A44BCA">
        <w:t>%) of those aged 85 years and older were living in a non-private dwelling</w:t>
      </w:r>
      <w:r w:rsidR="00602ED5">
        <w:t>, including 17.2</w:t>
      </w:r>
      <w:r w:rsidR="009D2726">
        <w:t>% in nursing homes</w:t>
      </w:r>
      <w:r w:rsidRPr="00A44BCA">
        <w:t xml:space="preserve"> (</w:t>
      </w:r>
      <w:r w:rsidRPr="00A44BCA">
        <w:fldChar w:fldCharType="begin"/>
      </w:r>
      <w:r w:rsidRPr="00A44BCA">
        <w:instrText xml:space="preserve"> REF _Ref521073257 \h  \* MERGEFORMAT </w:instrText>
      </w:r>
      <w:r w:rsidRPr="00A44BCA">
        <w:fldChar w:fldCharType="separate"/>
      </w:r>
      <w:r w:rsidR="007C6258" w:rsidRPr="007C6258">
        <w:rPr>
          <w:iCs/>
        </w:rPr>
        <w:t>Figure 9</w:t>
      </w:r>
      <w:r w:rsidRPr="00A44BCA">
        <w:fldChar w:fldCharType="end"/>
      </w:r>
      <w:r w:rsidRPr="00A44BCA">
        <w:t>).</w:t>
      </w:r>
      <w:r w:rsidR="00602ED5">
        <w:t xml:space="preserve"> </w:t>
      </w:r>
      <w:r w:rsidR="00602ED5" w:rsidRPr="00A44BCA">
        <w:t xml:space="preserve">This reflects the increased need for </w:t>
      </w:r>
      <w:r w:rsidR="00602ED5">
        <w:t xml:space="preserve">increased </w:t>
      </w:r>
      <w:r w:rsidR="00602ED5" w:rsidRPr="00A44BCA">
        <w:t>support as people age</w:t>
      </w:r>
      <w:r w:rsidR="00AF368C">
        <w:t>.</w:t>
      </w:r>
    </w:p>
    <w:p w14:paraId="198FF8AB" w14:textId="382765D3" w:rsidR="0064468F" w:rsidRDefault="0064468F" w:rsidP="0064468F">
      <w:r>
        <w:t>For those older Queenslanders in residential care:</w:t>
      </w:r>
    </w:p>
    <w:p w14:paraId="434375A3" w14:textId="702E7E8E" w:rsidR="0064468F" w:rsidRPr="00BF5332" w:rsidRDefault="0064468F" w:rsidP="0064468F">
      <w:pPr>
        <w:pStyle w:val="ListParagraph"/>
        <w:numPr>
          <w:ilvl w:val="0"/>
          <w:numId w:val="30"/>
        </w:numPr>
      </w:pPr>
      <w:r w:rsidRPr="00BF5332">
        <w:t xml:space="preserve">28,020 were living in nursing home </w:t>
      </w:r>
      <w:proofErr w:type="gramStart"/>
      <w:r w:rsidRPr="00BF5332">
        <w:t>accommodation</w:t>
      </w:r>
      <w:proofErr w:type="gramEnd"/>
      <w:r w:rsidRPr="00BF5332">
        <w:t xml:space="preserve"> </w:t>
      </w:r>
    </w:p>
    <w:p w14:paraId="0E04CCED" w14:textId="5778394C" w:rsidR="0064468F" w:rsidRPr="00BF5332" w:rsidRDefault="0064468F" w:rsidP="0064468F">
      <w:pPr>
        <w:pStyle w:val="ListParagraph"/>
        <w:numPr>
          <w:ilvl w:val="0"/>
          <w:numId w:val="30"/>
        </w:numPr>
      </w:pPr>
      <w:r w:rsidRPr="00BF5332">
        <w:t>9,050 were living in accommodation for the retired or aged</w:t>
      </w:r>
      <w:r w:rsidR="008A7D10">
        <w:t xml:space="preserve"> (not self contained)</w:t>
      </w:r>
    </w:p>
    <w:p w14:paraId="265B59C7" w14:textId="798EB56E" w:rsidR="0064468F" w:rsidRPr="00FC74E4" w:rsidRDefault="0064468F" w:rsidP="000121CA">
      <w:pPr>
        <w:pStyle w:val="ListParagraph"/>
        <w:numPr>
          <w:ilvl w:val="0"/>
          <w:numId w:val="30"/>
        </w:numPr>
      </w:pPr>
      <w:r w:rsidRPr="00BF5332">
        <w:t>240 were living in hostels</w:t>
      </w:r>
      <w:r w:rsidR="0029484E">
        <w:t xml:space="preserve"> for the disabled</w:t>
      </w:r>
      <w:r w:rsidR="00266E85">
        <w:t>.</w:t>
      </w:r>
    </w:p>
    <w:p w14:paraId="63E12DF4" w14:textId="405D3B6A" w:rsidR="000121CA" w:rsidRPr="00041065" w:rsidRDefault="000121CA" w:rsidP="000121CA">
      <w:pPr>
        <w:pStyle w:val="Caption"/>
        <w:rPr>
          <w:b w:val="0"/>
          <w:i/>
          <w:iCs/>
        </w:rPr>
      </w:pPr>
      <w:bookmarkStart w:id="10" w:name="_Ref521073257"/>
      <w:r w:rsidRPr="00041065">
        <w:t xml:space="preserve">Figure </w:t>
      </w:r>
      <w:r w:rsidR="00536D0D">
        <w:fldChar w:fldCharType="begin"/>
      </w:r>
      <w:r w:rsidR="00536D0D">
        <w:instrText xml:space="preserve"> SEQ Figure \* ARABIC </w:instrText>
      </w:r>
      <w:r w:rsidR="00536D0D">
        <w:fldChar w:fldCharType="separate"/>
      </w:r>
      <w:r w:rsidR="00DD5F74">
        <w:rPr>
          <w:noProof/>
        </w:rPr>
        <w:t>9</w:t>
      </w:r>
      <w:r w:rsidR="00536D0D">
        <w:rPr>
          <w:noProof/>
        </w:rPr>
        <w:fldChar w:fldCharType="end"/>
      </w:r>
      <w:bookmarkEnd w:id="10"/>
      <w:r w:rsidRPr="00041065">
        <w:t>:</w:t>
      </w:r>
      <w:r w:rsidR="00F563F3" w:rsidRPr="00041065">
        <w:tab/>
      </w:r>
      <w:r w:rsidRPr="00041065">
        <w:t xml:space="preserve">Proportion of age group living in selected types of non-private dwelling, </w:t>
      </w:r>
      <w:proofErr w:type="gramStart"/>
      <w:r w:rsidRPr="00041065">
        <w:t>2021</w:t>
      </w:r>
      <w:proofErr w:type="gramEnd"/>
    </w:p>
    <w:p w14:paraId="50ACDBAE" w14:textId="14C55B38" w:rsidR="000121CA" w:rsidRPr="001345A1" w:rsidRDefault="00041065" w:rsidP="00041065">
      <w:pPr>
        <w:spacing w:line="240" w:lineRule="auto"/>
        <w:rPr>
          <w:b/>
          <w:bCs/>
        </w:rPr>
      </w:pPr>
      <w:r w:rsidRPr="00E94814">
        <w:rPr>
          <w:b/>
          <w:i/>
          <w:iCs/>
          <w:noProof/>
          <w:highlight w:val="yellow"/>
          <w:lang w:eastAsia="en-AU"/>
        </w:rPr>
        <mc:AlternateContent>
          <mc:Choice Requires="wps">
            <w:drawing>
              <wp:anchor distT="0" distB="0" distL="114300" distR="114300" simplePos="0" relativeHeight="251658244" behindDoc="0" locked="0" layoutInCell="1" allowOverlap="1" wp14:anchorId="41DB3BDE" wp14:editId="0791BA69">
                <wp:simplePos x="0" y="0"/>
                <wp:positionH relativeFrom="margin">
                  <wp:posOffset>2214852</wp:posOffset>
                </wp:positionH>
                <wp:positionV relativeFrom="paragraph">
                  <wp:posOffset>-145691</wp:posOffset>
                </wp:positionV>
                <wp:extent cx="2171700" cy="657225"/>
                <wp:effectExtent l="0" t="0" r="0" b="0"/>
                <wp:wrapNone/>
                <wp:docPr id="5" name="TextBox 20"/>
                <wp:cNvGraphicFramePr/>
                <a:graphic xmlns:a="http://schemas.openxmlformats.org/drawingml/2006/main">
                  <a:graphicData uri="http://schemas.microsoft.com/office/word/2010/wordprocessingShape">
                    <wps:wsp>
                      <wps:cNvSpPr txBox="1"/>
                      <wps:spPr>
                        <a:xfrm>
                          <a:off x="0" y="0"/>
                          <a:ext cx="2171700" cy="657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9F45D47" w14:textId="40179B5C" w:rsidR="000121CA" w:rsidRPr="00E355EE" w:rsidRDefault="00623550" w:rsidP="000121CA">
                            <w:pPr>
                              <w:pStyle w:val="NormalWeb"/>
                              <w:spacing w:before="0" w:beforeAutospacing="0" w:after="0" w:afterAutospacing="0"/>
                              <w:rPr>
                                <w:sz w:val="22"/>
                                <w:szCs w:val="22"/>
                              </w:rPr>
                            </w:pPr>
                            <w:r>
                              <w:rPr>
                                <w:rFonts w:ascii="Arial" w:hAnsi="Arial" w:cs="Arial"/>
                                <w:b/>
                                <w:bCs/>
                                <w:color w:val="4B717E"/>
                                <w:sz w:val="22"/>
                                <w:szCs w:val="22"/>
                              </w:rPr>
                              <w:t xml:space="preserve">Almost </w:t>
                            </w:r>
                            <w:r w:rsidR="000121CA" w:rsidRPr="00E355EE">
                              <w:rPr>
                                <w:rFonts w:ascii="Arial" w:hAnsi="Arial" w:cs="Arial"/>
                                <w:b/>
                                <w:bCs/>
                                <w:color w:val="4B717E"/>
                                <w:sz w:val="22"/>
                                <w:szCs w:val="22"/>
                              </w:rPr>
                              <w:t xml:space="preserve">1 in 5 Queenslanders aged 85 years or older were living in residential aged </w:t>
                            </w:r>
                            <w:proofErr w:type="gramStart"/>
                            <w:r w:rsidR="000121CA" w:rsidRPr="00E355EE">
                              <w:rPr>
                                <w:rFonts w:ascii="Arial" w:hAnsi="Arial" w:cs="Arial"/>
                                <w:b/>
                                <w:bCs/>
                                <w:color w:val="4B717E"/>
                                <w:sz w:val="22"/>
                                <w:szCs w:val="22"/>
                              </w:rPr>
                              <w:t>care</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DB3BDE" id="_x0000_s1032" type="#_x0000_t202" style="position:absolute;margin-left:174.4pt;margin-top:-11.45pt;width:171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" filled="f" stroked="f">
                <v:textbox>
                  <w:txbxContent>
                    <w:p w14:paraId="19F45D47" w14:textId="40179B5C" w:rsidR="000121CA" w:rsidRPr="00E355EE" w:rsidRDefault="00623550" w:rsidP="000121CA">
                      <w:pPr>
                        <w:pStyle w:val="NormalWeb"/>
                        <w:spacing w:before="0" w:beforeAutospacing="0" w:after="0" w:afterAutospacing="0"/>
                        <w:rPr>
                          <w:sz w:val="22"/>
                          <w:szCs w:val="22"/>
                        </w:rPr>
                      </w:pPr>
                      <w:r>
                        <w:rPr>
                          <w:rFonts w:ascii="Arial" w:hAnsi="Arial" w:cs="Arial"/>
                          <w:b/>
                          <w:bCs/>
                          <w:color w:val="4B717E"/>
                          <w:sz w:val="22"/>
                          <w:szCs w:val="22"/>
                        </w:rPr>
                        <w:t xml:space="preserve">Almost </w:t>
                      </w:r>
                      <w:r w:rsidR="000121CA" w:rsidRPr="00E355EE">
                        <w:rPr>
                          <w:rFonts w:ascii="Arial" w:hAnsi="Arial" w:cs="Arial"/>
                          <w:b/>
                          <w:bCs/>
                          <w:color w:val="4B717E"/>
                          <w:sz w:val="22"/>
                          <w:szCs w:val="22"/>
                        </w:rPr>
                        <w:t>1 in 5 Queenslanders aged 85 years or older were living in residential aged care</w:t>
                      </w:r>
                    </w:p>
                  </w:txbxContent>
                </v:textbox>
                <w10:wrap anchorx="margin"/>
              </v:shape>
            </w:pict>
          </mc:Fallback>
        </mc:AlternateContent>
      </w:r>
      <w:r w:rsidRPr="00041065">
        <w:rPr>
          <w:noProof/>
        </w:rPr>
        <w:drawing>
          <wp:inline distT="0" distB="0" distL="0" distR="0" wp14:anchorId="28BE5302" wp14:editId="78A303CF">
            <wp:extent cx="4095115" cy="2743200"/>
            <wp:effectExtent l="0" t="0" r="635" b="0"/>
            <wp:docPr id="9536162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115" cy="2743200"/>
                    </a:xfrm>
                    <a:prstGeom prst="rect">
                      <a:avLst/>
                    </a:prstGeom>
                    <a:noFill/>
                    <a:ln>
                      <a:noFill/>
                    </a:ln>
                  </pic:spPr>
                </pic:pic>
              </a:graphicData>
            </a:graphic>
          </wp:inline>
        </w:drawing>
      </w:r>
    </w:p>
    <w:p w14:paraId="6ED842AC" w14:textId="138F44BE" w:rsidR="000121CA" w:rsidRPr="00E94814" w:rsidRDefault="000121CA" w:rsidP="000121CA">
      <w:pPr>
        <w:rPr>
          <w:highlight w:val="yellow"/>
        </w:rPr>
      </w:pPr>
      <w:r w:rsidRPr="000D38F4">
        <w:t>The number of people living in nursing homes and accommodation for the retired or aged (together termed residential aged care) increased since 2011</w:t>
      </w:r>
      <w:r w:rsidRPr="00741641">
        <w:t>. However, since</w:t>
      </w:r>
      <w:r>
        <w:t xml:space="preserve"> </w:t>
      </w:r>
      <w:r w:rsidRPr="00741641">
        <w:t>2011 there has been a decrease in the proportion of Queenslanders aged 85 years or older living in residential aged care from 25.5% in 2011 to 22.4% in 2021</w:t>
      </w:r>
      <w:r w:rsidRPr="00A932C1">
        <w:t>.</w:t>
      </w:r>
    </w:p>
    <w:p w14:paraId="7982B90A" w14:textId="00C8034A" w:rsidR="000121CA" w:rsidRPr="0013145E" w:rsidRDefault="000121CA" w:rsidP="000121CA">
      <w:pPr>
        <w:rPr>
          <w:b/>
        </w:rPr>
      </w:pPr>
      <w:r w:rsidRPr="0013145E">
        <w:t xml:space="preserve">There was a notable difference in the number of older males and older females living in </w:t>
      </w:r>
      <w:r w:rsidR="00BF5B0A">
        <w:t>residential care</w:t>
      </w:r>
      <w:r w:rsidRPr="0013145E">
        <w:t xml:space="preserve"> in 2021. For every 10 men over the age of 85 </w:t>
      </w:r>
      <w:r w:rsidR="00054230">
        <w:t>years</w:t>
      </w:r>
      <w:r w:rsidRPr="0013145E">
        <w:t xml:space="preserve"> living in </w:t>
      </w:r>
      <w:r w:rsidR="009F457E">
        <w:t>residential aged care</w:t>
      </w:r>
      <w:r w:rsidRPr="0013145E">
        <w:t xml:space="preserve"> there were around 25 women. This difference is influenced by the longer life expectancy of females.</w:t>
      </w:r>
    </w:p>
    <w:p w14:paraId="65D4CAC6" w14:textId="6B2E0CA6" w:rsidR="00427D7C" w:rsidRPr="00427D7C" w:rsidRDefault="00427D7C" w:rsidP="00427D7C">
      <w:pPr>
        <w:pStyle w:val="Heading4"/>
        <w:numPr>
          <w:ilvl w:val="0"/>
          <w:numId w:val="0"/>
        </w:numPr>
        <w:rPr>
          <w:b/>
          <w:color w:val="339E8A" w:themeColor="accent3"/>
          <w:sz w:val="44"/>
          <w:szCs w:val="44"/>
        </w:rPr>
      </w:pPr>
      <w:r w:rsidRPr="00427D7C">
        <w:rPr>
          <w:b/>
          <w:color w:val="339E8A" w:themeColor="accent3"/>
          <w:sz w:val="44"/>
          <w:szCs w:val="44"/>
        </w:rPr>
        <w:lastRenderedPageBreak/>
        <w:t xml:space="preserve">Older Queenslanders experiencing homelessness during the </w:t>
      </w:r>
      <w:proofErr w:type="gramStart"/>
      <w:r w:rsidRPr="00427D7C">
        <w:rPr>
          <w:b/>
          <w:color w:val="339E8A" w:themeColor="accent3"/>
          <w:sz w:val="44"/>
          <w:szCs w:val="44"/>
        </w:rPr>
        <w:t>Census</w:t>
      </w:r>
      <w:proofErr w:type="gramEnd"/>
    </w:p>
    <w:p w14:paraId="0B35D41F" w14:textId="535B04D2" w:rsidR="000121CA" w:rsidRPr="007A0A8B" w:rsidRDefault="000121CA" w:rsidP="00427D7C">
      <w:pPr>
        <w:pStyle w:val="Heading1"/>
        <w:ind w:left="567"/>
      </w:pPr>
      <w:r w:rsidRPr="007A0A8B">
        <w:t xml:space="preserve">Homelessness is experienced differently by older </w:t>
      </w:r>
      <w:proofErr w:type="gramStart"/>
      <w:r w:rsidRPr="007A0A8B">
        <w:t>Queenslanders</w:t>
      </w:r>
      <w:proofErr w:type="gramEnd"/>
    </w:p>
    <w:p w14:paraId="2B1758D8" w14:textId="685134E0" w:rsidR="000121CA" w:rsidRDefault="000121CA" w:rsidP="000121CA">
      <w:r w:rsidRPr="004B733E">
        <w:t xml:space="preserve">In 2021, it was estimated that there were </w:t>
      </w:r>
      <w:r>
        <w:t>22,4</w:t>
      </w:r>
      <w:r w:rsidR="0039073E">
        <w:t>30</w:t>
      </w:r>
      <w:r w:rsidRPr="004B733E">
        <w:t xml:space="preserve"> </w:t>
      </w:r>
      <w:r w:rsidRPr="0057580E">
        <w:t>homeless persons in Queensland, including 2,0</w:t>
      </w:r>
      <w:r w:rsidR="0039073E">
        <w:t>60</w:t>
      </w:r>
      <w:r w:rsidRPr="0057580E">
        <w:t xml:space="preserve"> older Queenslanders (9.2% of the total homeless population). </w:t>
      </w:r>
      <w:r w:rsidR="004A504B">
        <w:t>A</w:t>
      </w:r>
      <w:r w:rsidR="00AD0A88">
        <w:t>lmost 2 in 3 homeless older Queenslanders were male (1</w:t>
      </w:r>
      <w:r w:rsidR="007D3EE2">
        <w:t>,292</w:t>
      </w:r>
      <w:r w:rsidR="00587DDD">
        <w:t xml:space="preserve"> persons</w:t>
      </w:r>
      <w:r w:rsidR="007D3EE2">
        <w:t>).</w:t>
      </w:r>
    </w:p>
    <w:p w14:paraId="343C7FC8" w14:textId="77777777" w:rsidR="004C1D42" w:rsidRPr="00E94814" w:rsidRDefault="004C1D42" w:rsidP="004C1D42">
      <w:pPr>
        <w:rPr>
          <w:highlight w:val="yellow"/>
        </w:rPr>
      </w:pPr>
      <w:r w:rsidRPr="00B64AF5">
        <w:t xml:space="preserve">The type of homelessness that older Queenslanders were most likely to face was temporarily staying with other households. Approximately 2 in 5 (39.3%) homeless older Queenslanders were staying temporarily with other households, almost twice as high as the proportion for </w:t>
      </w:r>
      <w:r w:rsidRPr="001E182A">
        <w:t>those aged 64 years and under (20.8%).</w:t>
      </w:r>
      <w:r>
        <w:t xml:space="preserve"> </w:t>
      </w:r>
      <w:r w:rsidRPr="001E182A">
        <w:t>The proportion of homeless older Queenslanders staying in severely crowded dwellings (four or more extra bedrooms required) (14.2%) was roughly one-third that of the proportion for those aged 64 years and under (38.3%).</w:t>
      </w:r>
    </w:p>
    <w:p w14:paraId="757FA4B7" w14:textId="4736359E" w:rsidR="007D3EE2" w:rsidRPr="00E94814" w:rsidRDefault="006F5C04" w:rsidP="000121CA">
      <w:pPr>
        <w:rPr>
          <w:highlight w:val="yellow"/>
        </w:rPr>
      </w:pPr>
      <w:r>
        <w:t>Homelessness</w:t>
      </w:r>
      <w:r w:rsidR="007D3EE2">
        <w:t xml:space="preserve"> was </w:t>
      </w:r>
      <w:r>
        <w:t>experienced</w:t>
      </w:r>
      <w:r w:rsidR="007D3EE2">
        <w:t xml:space="preserve"> </w:t>
      </w:r>
      <w:r>
        <w:t>differently</w:t>
      </w:r>
      <w:r w:rsidR="007D3EE2">
        <w:t xml:space="preserve"> by </w:t>
      </w:r>
      <w:r w:rsidR="00182E2C">
        <w:t xml:space="preserve">older </w:t>
      </w:r>
      <w:r w:rsidR="007D3EE2">
        <w:t>men and women</w:t>
      </w:r>
      <w:r w:rsidR="004C1D42">
        <w:t xml:space="preserve"> </w:t>
      </w:r>
      <w:r w:rsidR="004C1D42" w:rsidRPr="00046367">
        <w:t>(</w:t>
      </w:r>
      <w:r w:rsidR="004C1D42" w:rsidRPr="00046367">
        <w:fldChar w:fldCharType="begin"/>
      </w:r>
      <w:r w:rsidR="004C1D42" w:rsidRPr="00046367">
        <w:instrText xml:space="preserve"> REF _Ref521073672 \h  \* MERGEFORMAT </w:instrText>
      </w:r>
      <w:r w:rsidR="004C1D42" w:rsidRPr="00046367">
        <w:fldChar w:fldCharType="separate"/>
      </w:r>
      <w:r w:rsidR="007C6258" w:rsidRPr="007C6258">
        <w:rPr>
          <w:iCs/>
        </w:rPr>
        <w:t>Figure 10</w:t>
      </w:r>
      <w:r w:rsidR="004C1D42" w:rsidRPr="00046367">
        <w:fldChar w:fldCharType="end"/>
      </w:r>
      <w:r w:rsidR="004C1D42" w:rsidRPr="00046367">
        <w:t>)</w:t>
      </w:r>
      <w:r w:rsidR="00763AA3">
        <w:t>.</w:t>
      </w:r>
      <w:r w:rsidR="00D8338E">
        <w:t xml:space="preserve"> For both men and women</w:t>
      </w:r>
      <w:r w:rsidR="00182E2C">
        <w:t>, staying temporarily with others was the primary type of homelessness experienced (</w:t>
      </w:r>
      <w:r w:rsidR="00BA13B0">
        <w:t>35.6% and 45.6%). Men (30.9%) were almost four times as likely to be staying in boarding houses than women (7.9%).</w:t>
      </w:r>
      <w:r w:rsidR="0011629E">
        <w:t xml:space="preserve"> In comparison </w:t>
      </w:r>
      <w:r w:rsidR="008A06D6">
        <w:t>older</w:t>
      </w:r>
      <w:r w:rsidR="0011629E">
        <w:t xml:space="preserve"> women </w:t>
      </w:r>
      <w:r w:rsidR="004C1D42">
        <w:t xml:space="preserve">(15.2%) </w:t>
      </w:r>
      <w:r w:rsidR="0011629E">
        <w:t xml:space="preserve">were more likely to be in supported </w:t>
      </w:r>
      <w:r w:rsidR="004C1D42">
        <w:t>accommodation</w:t>
      </w:r>
      <w:r w:rsidR="0011629E">
        <w:t xml:space="preserve"> for</w:t>
      </w:r>
      <w:r w:rsidR="004C1D42">
        <w:t xml:space="preserve"> </w:t>
      </w:r>
      <w:r w:rsidR="0011629E">
        <w:t xml:space="preserve">the homeless than </w:t>
      </w:r>
      <w:r w:rsidR="008A06D6">
        <w:t xml:space="preserve">older </w:t>
      </w:r>
      <w:r w:rsidR="0011629E">
        <w:t>men (</w:t>
      </w:r>
      <w:r w:rsidR="004C1D42">
        <w:t>9.1%)</w:t>
      </w:r>
    </w:p>
    <w:p w14:paraId="02CF801D" w14:textId="42E6CC13" w:rsidR="000121CA" w:rsidRPr="007A6747" w:rsidRDefault="000121CA" w:rsidP="000121CA">
      <w:pPr>
        <w:pStyle w:val="Caption"/>
        <w:rPr>
          <w:b w:val="0"/>
          <w:i/>
          <w:iCs/>
        </w:rPr>
      </w:pPr>
      <w:bookmarkStart w:id="11" w:name="_Ref521073672"/>
      <w:r w:rsidRPr="007A6747">
        <w:t xml:space="preserve">Figure </w:t>
      </w:r>
      <w:r w:rsidR="00536D0D">
        <w:fldChar w:fldCharType="begin"/>
      </w:r>
      <w:r w:rsidR="00536D0D">
        <w:instrText xml:space="preserve"> SEQ Figure \* ARABIC </w:instrText>
      </w:r>
      <w:r w:rsidR="00536D0D">
        <w:fldChar w:fldCharType="separate"/>
      </w:r>
      <w:r w:rsidR="00DD5F74">
        <w:rPr>
          <w:noProof/>
        </w:rPr>
        <w:t>10</w:t>
      </w:r>
      <w:r w:rsidR="00536D0D">
        <w:rPr>
          <w:noProof/>
        </w:rPr>
        <w:fldChar w:fldCharType="end"/>
      </w:r>
      <w:bookmarkEnd w:id="11"/>
      <w:r w:rsidRPr="007A6747">
        <w:t>:</w:t>
      </w:r>
      <w:r w:rsidR="004C1D42" w:rsidRPr="007A6747">
        <w:tab/>
      </w:r>
      <w:r w:rsidRPr="007A6747">
        <w:t xml:space="preserve">Proportion of homeless older Queenslanders by sex and type of homelessness, </w:t>
      </w:r>
      <w:proofErr w:type="gramStart"/>
      <w:r w:rsidRPr="007A6747">
        <w:t>2021</w:t>
      </w:r>
      <w:proofErr w:type="gramEnd"/>
    </w:p>
    <w:p w14:paraId="6D728ACF" w14:textId="4889546E" w:rsidR="000121CA" w:rsidRDefault="001E2EBF" w:rsidP="00860131">
      <w:pPr>
        <w:spacing w:line="240" w:lineRule="auto"/>
      </w:pPr>
      <w:r w:rsidRPr="001E2EBF">
        <w:rPr>
          <w:noProof/>
        </w:rPr>
        <w:drawing>
          <wp:inline distT="0" distB="0" distL="0" distR="0" wp14:anchorId="66DBB185" wp14:editId="4973E254">
            <wp:extent cx="5396230" cy="2332355"/>
            <wp:effectExtent l="0" t="0" r="0" b="0"/>
            <wp:docPr id="1312068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6230" cy="2332355"/>
                    </a:xfrm>
                    <a:prstGeom prst="rect">
                      <a:avLst/>
                    </a:prstGeom>
                    <a:noFill/>
                    <a:ln>
                      <a:noFill/>
                    </a:ln>
                  </pic:spPr>
                </pic:pic>
              </a:graphicData>
            </a:graphic>
          </wp:inline>
        </w:drawing>
      </w:r>
      <w:r w:rsidR="008429C0" w:rsidRPr="00E94814">
        <w:rPr>
          <w:b/>
          <w:i/>
          <w:iCs/>
          <w:noProof/>
          <w:highlight w:val="yellow"/>
          <w:lang w:eastAsia="en-AU"/>
        </w:rPr>
        <mc:AlternateContent>
          <mc:Choice Requires="wps">
            <w:drawing>
              <wp:anchor distT="0" distB="0" distL="114300" distR="114300" simplePos="0" relativeHeight="251658247" behindDoc="0" locked="0" layoutInCell="1" allowOverlap="1" wp14:anchorId="31C6DC47" wp14:editId="7A5539C7">
                <wp:simplePos x="0" y="0"/>
                <wp:positionH relativeFrom="margin">
                  <wp:posOffset>1440345</wp:posOffset>
                </wp:positionH>
                <wp:positionV relativeFrom="paragraph">
                  <wp:posOffset>2153423</wp:posOffset>
                </wp:positionV>
                <wp:extent cx="1836751" cy="739471"/>
                <wp:effectExtent l="0" t="0" r="0" b="3810"/>
                <wp:wrapNone/>
                <wp:docPr id="29" name="TextBox 20"/>
                <wp:cNvGraphicFramePr/>
                <a:graphic xmlns:a="http://schemas.openxmlformats.org/drawingml/2006/main">
                  <a:graphicData uri="http://schemas.microsoft.com/office/word/2010/wordprocessingShape">
                    <wps:wsp>
                      <wps:cNvSpPr txBox="1"/>
                      <wps:spPr>
                        <a:xfrm>
                          <a:off x="0" y="0"/>
                          <a:ext cx="1836751" cy="73947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B5BDA0" w14:textId="77777777" w:rsidR="000121CA" w:rsidRPr="008429C0" w:rsidRDefault="000121CA" w:rsidP="000121CA">
                            <w:pPr>
                              <w:spacing w:after="0" w:line="240" w:lineRule="auto"/>
                              <w:jc w:val="center"/>
                              <w:rPr>
                                <w:rFonts w:eastAsia="Times New Roman" w:cs="Arial"/>
                                <w:b/>
                                <w:bCs/>
                                <w:color w:val="64C2C0" w:themeColor="accent6"/>
                                <w:szCs w:val="22"/>
                                <w:lang w:eastAsia="en-AU"/>
                              </w:rPr>
                            </w:pPr>
                            <w:r w:rsidRPr="008429C0">
                              <w:rPr>
                                <w:rFonts w:eastAsia="Times New Roman" w:cs="Arial"/>
                                <w:b/>
                                <w:bCs/>
                                <w:color w:val="64C2C0" w:themeColor="accent6"/>
                                <w:szCs w:val="22"/>
                                <w:lang w:eastAsia="en-AU"/>
                              </w:rPr>
                              <w:t xml:space="preserve">Older men are more likely than older women to live in boarding </w:t>
                            </w:r>
                            <w:proofErr w:type="gramStart"/>
                            <w:r w:rsidRPr="008429C0">
                              <w:rPr>
                                <w:rFonts w:eastAsia="Times New Roman" w:cs="Arial"/>
                                <w:b/>
                                <w:bCs/>
                                <w:color w:val="64C2C0" w:themeColor="accent6"/>
                                <w:szCs w:val="22"/>
                                <w:lang w:eastAsia="en-AU"/>
                              </w:rPr>
                              <w:t>houses</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1C6DC47" id="_x0000_s1033" type="#_x0000_t202" style="position:absolute;margin-left:113.4pt;margin-top:169.55pt;width:144.65pt;height:58.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" filled="f" stroked="f">
                <v:textbox>
                  <w:txbxContent>
                    <w:p w14:paraId="5DB5BDA0" w14:textId="77777777" w:rsidR="000121CA" w:rsidRPr="008429C0" w:rsidRDefault="000121CA" w:rsidP="000121CA">
                      <w:pPr>
                        <w:spacing w:after="0" w:line="240" w:lineRule="auto"/>
                        <w:jc w:val="center"/>
                        <w:rPr>
                          <w:rFonts w:eastAsia="Times New Roman" w:cs="Arial"/>
                          <w:b/>
                          <w:bCs/>
                          <w:color w:val="64C2C0" w:themeColor="accent6"/>
                          <w:szCs w:val="22"/>
                          <w:lang w:eastAsia="en-AU"/>
                        </w:rPr>
                      </w:pPr>
                      <w:r w:rsidRPr="008429C0">
                        <w:rPr>
                          <w:rFonts w:eastAsia="Times New Roman" w:cs="Arial"/>
                          <w:b/>
                          <w:bCs/>
                          <w:color w:val="64C2C0" w:themeColor="accent6"/>
                          <w:szCs w:val="22"/>
                          <w:lang w:eastAsia="en-AU"/>
                        </w:rPr>
                        <w:t>Older men are more likely than older women to live in boarding houses</w:t>
                      </w:r>
                    </w:p>
                  </w:txbxContent>
                </v:textbox>
                <w10:wrap anchorx="margin"/>
              </v:shape>
            </w:pict>
          </mc:Fallback>
        </mc:AlternateContent>
      </w:r>
      <w:r w:rsidR="008429C0" w:rsidRPr="00E94814">
        <w:rPr>
          <w:b/>
          <w:i/>
          <w:iCs/>
          <w:noProof/>
          <w:highlight w:val="yellow"/>
          <w:lang w:eastAsia="en-AU"/>
        </w:rPr>
        <mc:AlternateContent>
          <mc:Choice Requires="wps">
            <w:drawing>
              <wp:anchor distT="0" distB="0" distL="114300" distR="114300" simplePos="0" relativeHeight="251658246" behindDoc="0" locked="0" layoutInCell="1" allowOverlap="1" wp14:anchorId="2F85A365" wp14:editId="4AC18807">
                <wp:simplePos x="0" y="0"/>
                <wp:positionH relativeFrom="margin">
                  <wp:posOffset>3221521</wp:posOffset>
                </wp:positionH>
                <wp:positionV relativeFrom="paragraph">
                  <wp:posOffset>2177802</wp:posOffset>
                </wp:positionV>
                <wp:extent cx="1844702" cy="787179"/>
                <wp:effectExtent l="0" t="0" r="0" b="0"/>
                <wp:wrapNone/>
                <wp:docPr id="28" name="TextBox 20"/>
                <wp:cNvGraphicFramePr/>
                <a:graphic xmlns:a="http://schemas.openxmlformats.org/drawingml/2006/main">
                  <a:graphicData uri="http://schemas.microsoft.com/office/word/2010/wordprocessingShape">
                    <wps:wsp>
                      <wps:cNvSpPr txBox="1"/>
                      <wps:spPr>
                        <a:xfrm>
                          <a:off x="0" y="0"/>
                          <a:ext cx="1844702" cy="7871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A6CF83" w14:textId="0722F1CE" w:rsidR="000121CA" w:rsidRPr="008429C0" w:rsidRDefault="000121CA" w:rsidP="000121CA">
                            <w:pPr>
                              <w:pStyle w:val="NormalWeb"/>
                              <w:spacing w:before="0" w:beforeAutospacing="0" w:after="0" w:afterAutospacing="0"/>
                              <w:jc w:val="center"/>
                              <w:rPr>
                                <w:color w:val="853C85" w:themeColor="accent1"/>
                                <w:sz w:val="22"/>
                                <w:szCs w:val="22"/>
                              </w:rPr>
                            </w:pPr>
                            <w:bookmarkStart w:id="12" w:name="_Hlk512515743"/>
                            <w:bookmarkStart w:id="13" w:name="_Hlk512515744"/>
                            <w:bookmarkStart w:id="14" w:name="_Hlk512515745"/>
                            <w:bookmarkStart w:id="15" w:name="_Hlk512515746"/>
                            <w:r w:rsidRPr="008429C0">
                              <w:rPr>
                                <w:rFonts w:ascii="Arial" w:hAnsi="Arial" w:cs="Arial"/>
                                <w:b/>
                                <w:bCs/>
                                <w:color w:val="853C85" w:themeColor="accent1"/>
                                <w:sz w:val="22"/>
                                <w:szCs w:val="22"/>
                              </w:rPr>
                              <w:t xml:space="preserve">Older women are </w:t>
                            </w:r>
                            <w:r w:rsidR="002A5A03" w:rsidRPr="008429C0">
                              <w:rPr>
                                <w:rFonts w:ascii="Arial" w:hAnsi="Arial" w:cs="Arial"/>
                                <w:b/>
                                <w:bCs/>
                                <w:color w:val="853C85" w:themeColor="accent1"/>
                                <w:sz w:val="22"/>
                                <w:szCs w:val="22"/>
                              </w:rPr>
                              <w:t>more</w:t>
                            </w:r>
                            <w:r w:rsidRPr="008429C0">
                              <w:rPr>
                                <w:rFonts w:ascii="Arial" w:hAnsi="Arial" w:cs="Arial"/>
                                <w:b/>
                                <w:bCs/>
                                <w:color w:val="853C85" w:themeColor="accent1"/>
                                <w:sz w:val="22"/>
                                <w:szCs w:val="22"/>
                              </w:rPr>
                              <w:t xml:space="preserve"> likely than older men to live temporarily with </w:t>
                            </w:r>
                            <w:proofErr w:type="gramStart"/>
                            <w:r w:rsidRPr="008429C0">
                              <w:rPr>
                                <w:rFonts w:ascii="Arial" w:hAnsi="Arial" w:cs="Arial"/>
                                <w:b/>
                                <w:bCs/>
                                <w:color w:val="853C85" w:themeColor="accent1"/>
                                <w:sz w:val="22"/>
                                <w:szCs w:val="22"/>
                              </w:rPr>
                              <w:t>others</w:t>
                            </w:r>
                            <w:bookmarkEnd w:id="12"/>
                            <w:bookmarkEnd w:id="13"/>
                            <w:bookmarkEnd w:id="14"/>
                            <w:bookmarkEnd w:id="15"/>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F85A365" id="_x0000_s1034" type="#_x0000_t202" style="position:absolute;margin-left:253.65pt;margin-top:171.5pt;width:145.25pt;height:6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" filled="f" stroked="f">
                <v:textbox>
                  <w:txbxContent>
                    <w:p w14:paraId="15A6CF83" w14:textId="0722F1CE" w:rsidR="000121CA" w:rsidRPr="008429C0" w:rsidRDefault="000121CA" w:rsidP="000121CA">
                      <w:pPr>
                        <w:pStyle w:val="NormalWeb"/>
                        <w:spacing w:before="0" w:beforeAutospacing="0" w:after="0" w:afterAutospacing="0"/>
                        <w:jc w:val="center"/>
                        <w:rPr>
                          <w:color w:val="853C85" w:themeColor="accent1"/>
                          <w:sz w:val="22"/>
                          <w:szCs w:val="22"/>
                        </w:rPr>
                      </w:pPr>
                      <w:bookmarkStart w:id="16" w:name="_Hlk512515743"/>
                      <w:bookmarkStart w:id="17" w:name="_Hlk512515744"/>
                      <w:bookmarkStart w:id="18" w:name="_Hlk512515745"/>
                      <w:bookmarkStart w:id="19" w:name="_Hlk512515746"/>
                      <w:r w:rsidRPr="008429C0">
                        <w:rPr>
                          <w:rFonts w:ascii="Arial" w:hAnsi="Arial" w:cs="Arial"/>
                          <w:b/>
                          <w:bCs/>
                          <w:color w:val="853C85" w:themeColor="accent1"/>
                          <w:sz w:val="22"/>
                          <w:szCs w:val="22"/>
                        </w:rPr>
                        <w:t xml:space="preserve">Older women are </w:t>
                      </w:r>
                      <w:r w:rsidR="002A5A03" w:rsidRPr="008429C0">
                        <w:rPr>
                          <w:rFonts w:ascii="Arial" w:hAnsi="Arial" w:cs="Arial"/>
                          <w:b/>
                          <w:bCs/>
                          <w:color w:val="853C85" w:themeColor="accent1"/>
                          <w:sz w:val="22"/>
                          <w:szCs w:val="22"/>
                        </w:rPr>
                        <w:t>more</w:t>
                      </w:r>
                      <w:r w:rsidRPr="008429C0">
                        <w:rPr>
                          <w:rFonts w:ascii="Arial" w:hAnsi="Arial" w:cs="Arial"/>
                          <w:b/>
                          <w:bCs/>
                          <w:color w:val="853C85" w:themeColor="accent1"/>
                          <w:sz w:val="22"/>
                          <w:szCs w:val="22"/>
                        </w:rPr>
                        <w:t xml:space="preserve"> likely than older men to live temporarily with others</w:t>
                      </w:r>
                      <w:bookmarkEnd w:id="16"/>
                      <w:bookmarkEnd w:id="17"/>
                      <w:bookmarkEnd w:id="18"/>
                      <w:bookmarkEnd w:id="19"/>
                    </w:p>
                  </w:txbxContent>
                </v:textbox>
                <w10:wrap anchorx="margin"/>
              </v:shape>
            </w:pict>
          </mc:Fallback>
        </mc:AlternateContent>
      </w:r>
    </w:p>
    <w:p w14:paraId="535BCE64" w14:textId="77777777" w:rsidR="00F503B2" w:rsidRDefault="00F503B2" w:rsidP="000121CA"/>
    <w:p w14:paraId="0485E39F" w14:textId="77777777" w:rsidR="00F503B2" w:rsidRDefault="00F503B2" w:rsidP="000121CA"/>
    <w:p w14:paraId="3AC804D8" w14:textId="0409BC35" w:rsidR="000121CA" w:rsidRPr="00E94814" w:rsidRDefault="000121CA" w:rsidP="000121CA">
      <w:pPr>
        <w:rPr>
          <w:highlight w:val="yellow"/>
        </w:rPr>
      </w:pPr>
      <w:r w:rsidRPr="008032D8">
        <w:t>In 2022</w:t>
      </w:r>
      <w:r w:rsidR="00B92689">
        <w:t>–</w:t>
      </w:r>
      <w:r w:rsidRPr="008032D8">
        <w:t xml:space="preserve">23, </w:t>
      </w:r>
      <w:r w:rsidR="00CA27C2">
        <w:t>1,409</w:t>
      </w:r>
      <w:r w:rsidRPr="008032D8">
        <w:t xml:space="preserve"> older Queenslanders were assisted by specialist homelessness services</w:t>
      </w:r>
      <w:r w:rsidR="00751302">
        <w:t xml:space="preserve">. </w:t>
      </w:r>
      <w:r w:rsidR="003C4150">
        <w:t>While m</w:t>
      </w:r>
      <w:r w:rsidR="00751302">
        <w:t>en</w:t>
      </w:r>
      <w:r w:rsidR="0016414D">
        <w:t xml:space="preserve"> (708)</w:t>
      </w:r>
      <w:r w:rsidR="00751302">
        <w:t xml:space="preserve"> and women</w:t>
      </w:r>
      <w:r w:rsidR="0016414D">
        <w:t xml:space="preserve"> (701)</w:t>
      </w:r>
      <w:r w:rsidR="00751302">
        <w:t xml:space="preserve"> were equally represented in these data</w:t>
      </w:r>
      <w:r w:rsidRPr="008032D8">
        <w:t xml:space="preserve">, </w:t>
      </w:r>
      <w:r w:rsidR="0016414D">
        <w:t>there were variations in t</w:t>
      </w:r>
      <w:r w:rsidR="006E17E6">
        <w:t xml:space="preserve">he distribution of main reasons for seeking support. </w:t>
      </w:r>
      <w:r w:rsidR="006D55B4">
        <w:t xml:space="preserve">While </w:t>
      </w:r>
      <w:r w:rsidR="00823602">
        <w:t xml:space="preserve">a similar number of men and women cited </w:t>
      </w:r>
      <w:r w:rsidR="008429C0">
        <w:t>financial</w:t>
      </w:r>
      <w:r w:rsidR="00823602">
        <w:t xml:space="preserve"> </w:t>
      </w:r>
      <w:r w:rsidR="008429C0">
        <w:t>difficulties</w:t>
      </w:r>
      <w:r w:rsidR="00823602">
        <w:t xml:space="preserve"> and </w:t>
      </w:r>
      <w:r w:rsidR="006D55B4">
        <w:t xml:space="preserve">housing crisis </w:t>
      </w:r>
      <w:r w:rsidR="00823602">
        <w:t>as main</w:t>
      </w:r>
      <w:r w:rsidR="006D55B4">
        <w:t xml:space="preserve"> reason</w:t>
      </w:r>
      <w:r w:rsidR="00823602">
        <w:t>s</w:t>
      </w:r>
      <w:r w:rsidR="006D55B4">
        <w:t xml:space="preserve"> for seeking support</w:t>
      </w:r>
      <w:r w:rsidR="00823602">
        <w:t xml:space="preserve">, more women than men cited domestic and </w:t>
      </w:r>
      <w:r w:rsidR="008429C0">
        <w:t>family</w:t>
      </w:r>
      <w:r w:rsidR="00DB0321">
        <w:t xml:space="preserve"> violence, while more men than women </w:t>
      </w:r>
      <w:r w:rsidR="008429C0">
        <w:t>cited housing affordability stress.</w:t>
      </w:r>
    </w:p>
    <w:p w14:paraId="266E9EAC" w14:textId="4837C0C4" w:rsidR="000121CA" w:rsidRPr="00F05F02" w:rsidRDefault="000121CA" w:rsidP="00872CEE">
      <w:pPr>
        <w:pStyle w:val="Heading1"/>
      </w:pPr>
      <w:r w:rsidRPr="00F05F02">
        <w:t xml:space="preserve">Older Queenslanders are less likely to </w:t>
      </w:r>
      <w:proofErr w:type="gramStart"/>
      <w:r w:rsidRPr="00F05F02">
        <w:t>relocate</w:t>
      </w:r>
      <w:proofErr w:type="gramEnd"/>
    </w:p>
    <w:p w14:paraId="7CC9FBE8" w14:textId="6117BC82" w:rsidR="000121CA" w:rsidRPr="00010561" w:rsidRDefault="000121CA" w:rsidP="000121CA">
      <w:r w:rsidRPr="004A150A">
        <w:t>Survey data of older households shows that they would strongly prefer to age in place</w:t>
      </w:r>
      <w:r w:rsidR="009229D9">
        <w:rPr>
          <w:vertAlign w:val="superscript"/>
        </w:rPr>
        <w:t xml:space="preserve"> </w:t>
      </w:r>
      <w:r w:rsidR="009229D9" w:rsidRPr="009229D9">
        <w:t>(James et al, 2</w:t>
      </w:r>
      <w:r w:rsidR="009229D9">
        <w:t>0</w:t>
      </w:r>
      <w:r w:rsidR="009229D9" w:rsidRPr="009229D9">
        <w:t>19</w:t>
      </w:r>
      <w:r w:rsidR="009229D9">
        <w:t>)</w:t>
      </w:r>
      <w:r w:rsidRPr="004A150A">
        <w:t xml:space="preserve">. In 2021, 92.0% of older Queenslanders had lived in their dwelling since 2020 compared with </w:t>
      </w:r>
      <w:r w:rsidRPr="004A150A">
        <w:lastRenderedPageBreak/>
        <w:t xml:space="preserve">79.0% </w:t>
      </w:r>
      <w:r w:rsidRPr="00010561">
        <w:t>people aged 20–64 years. The proportion of older Queenslanders who had the same address in the previous year has remained comparable since 2011.</w:t>
      </w:r>
    </w:p>
    <w:p w14:paraId="3DAC9997" w14:textId="746346FA" w:rsidR="00F63687" w:rsidRDefault="000121CA" w:rsidP="000121CA">
      <w:r w:rsidRPr="000271E5">
        <w:t xml:space="preserve">Older Queenslanders were also more likely to have had the same address as five years ago. In 2021, 73.4% of older Queenslanders were living at the same address as </w:t>
      </w:r>
      <w:r w:rsidRPr="00CB7A7E">
        <w:t>they had been in 2016 compared with 47.2% of those aged under 65</w:t>
      </w:r>
      <w:r w:rsidR="000B7ECB">
        <w:t xml:space="preserve"> years</w:t>
      </w:r>
      <w:r w:rsidRPr="00CB7A7E">
        <w:t xml:space="preserve">. </w:t>
      </w:r>
    </w:p>
    <w:p w14:paraId="6BD1E1CC" w14:textId="6A7CE08C" w:rsidR="000121CA" w:rsidRPr="00EA0C92" w:rsidRDefault="000E1F6D" w:rsidP="000121CA">
      <w:r>
        <w:t>T</w:t>
      </w:r>
      <w:r w:rsidR="00F63687">
        <w:t>here appears to have been a shift in propensity to age in place</w:t>
      </w:r>
      <w:r>
        <w:t xml:space="preserve"> over time, with older Queenslanders in 2021 more likely to be at the same address as five years earlier, than older Queenslanders in 2006 </w:t>
      </w:r>
      <w:r w:rsidR="000121CA" w:rsidRPr="00EA0C92">
        <w:t>(</w:t>
      </w:r>
      <w:r w:rsidR="000121CA" w:rsidRPr="00EA0C92">
        <w:fldChar w:fldCharType="begin"/>
      </w:r>
      <w:r w:rsidR="000121CA" w:rsidRPr="00EA0C92">
        <w:instrText xml:space="preserve"> REF _Ref521073765 \h  \* MERGEFORMAT </w:instrText>
      </w:r>
      <w:r w:rsidR="000121CA" w:rsidRPr="00EA0C92">
        <w:fldChar w:fldCharType="separate"/>
      </w:r>
      <w:r w:rsidR="007C6258" w:rsidRPr="007C6258">
        <w:rPr>
          <w:iCs/>
        </w:rPr>
        <w:t>Figure 11</w:t>
      </w:r>
      <w:r w:rsidR="000121CA" w:rsidRPr="00EA0C92">
        <w:fldChar w:fldCharType="end"/>
      </w:r>
      <w:r w:rsidR="000121CA" w:rsidRPr="00EA0C92">
        <w:t>).</w:t>
      </w:r>
    </w:p>
    <w:p w14:paraId="476354E8" w14:textId="502A9FD6" w:rsidR="000121CA" w:rsidRPr="00EA0C92" w:rsidRDefault="000121CA" w:rsidP="000121CA">
      <w:pPr>
        <w:pStyle w:val="Caption"/>
        <w:rPr>
          <w:b w:val="0"/>
          <w:i/>
          <w:iCs/>
        </w:rPr>
      </w:pPr>
      <w:bookmarkStart w:id="16" w:name="_Ref521073765"/>
      <w:r w:rsidRPr="00EA0C92">
        <w:t xml:space="preserve">Figure </w:t>
      </w:r>
      <w:r w:rsidR="00536D0D">
        <w:fldChar w:fldCharType="begin"/>
      </w:r>
      <w:r w:rsidR="00536D0D">
        <w:instrText xml:space="preserve"> SEQ Figure \* ARABIC </w:instrText>
      </w:r>
      <w:r w:rsidR="00536D0D">
        <w:fldChar w:fldCharType="separate"/>
      </w:r>
      <w:r w:rsidR="00DD5F74">
        <w:rPr>
          <w:noProof/>
        </w:rPr>
        <w:t>11</w:t>
      </w:r>
      <w:r w:rsidR="00536D0D">
        <w:rPr>
          <w:noProof/>
        </w:rPr>
        <w:fldChar w:fldCharType="end"/>
      </w:r>
      <w:bookmarkEnd w:id="16"/>
      <w:r w:rsidRPr="00EA0C92">
        <w:t>:</w:t>
      </w:r>
      <w:r w:rsidR="00EA0C92" w:rsidRPr="00EA0C92">
        <w:tab/>
      </w:r>
      <w:r w:rsidRPr="00EA0C92">
        <w:t xml:space="preserve">Proportion of Queenslanders at same address five years, </w:t>
      </w:r>
      <w:r w:rsidR="00EA0C92" w:rsidRPr="00EA0C92">
        <w:t xml:space="preserve">2006 and </w:t>
      </w:r>
      <w:proofErr w:type="gramStart"/>
      <w:r w:rsidRPr="00EA0C92">
        <w:t>2021</w:t>
      </w:r>
      <w:proofErr w:type="gramEnd"/>
    </w:p>
    <w:p w14:paraId="30FAAB02" w14:textId="0B5A351B" w:rsidR="000121CA" w:rsidRPr="00E94814" w:rsidRDefault="00AD439E" w:rsidP="005E14AF">
      <w:pPr>
        <w:spacing w:before="240" w:after="0" w:line="240" w:lineRule="auto"/>
        <w:rPr>
          <w:highlight w:val="yellow"/>
        </w:rPr>
      </w:pPr>
      <w:r w:rsidRPr="00E94814">
        <w:rPr>
          <w:b/>
          <w:i/>
          <w:iCs/>
          <w:noProof/>
          <w:highlight w:val="yellow"/>
          <w:lang w:eastAsia="en-AU"/>
        </w:rPr>
        <mc:AlternateContent>
          <mc:Choice Requires="wps">
            <w:drawing>
              <wp:anchor distT="0" distB="0" distL="114300" distR="114300" simplePos="0" relativeHeight="251658242" behindDoc="0" locked="0" layoutInCell="1" allowOverlap="1" wp14:anchorId="48DB18A7" wp14:editId="1A17E9B7">
                <wp:simplePos x="0" y="0"/>
                <wp:positionH relativeFrom="margin">
                  <wp:posOffset>931545</wp:posOffset>
                </wp:positionH>
                <wp:positionV relativeFrom="paragraph">
                  <wp:posOffset>1261082</wp:posOffset>
                </wp:positionV>
                <wp:extent cx="2833839" cy="691764"/>
                <wp:effectExtent l="0" t="0" r="0" b="0"/>
                <wp:wrapNone/>
                <wp:docPr id="15" name="TextBox 14">
                  <a:extLst xmlns:a="http://schemas.openxmlformats.org/drawingml/2006/main">
                    <a:ext uri="{FF2B5EF4-FFF2-40B4-BE49-F238E27FC236}">
                      <a16:creationId xmlns:a16="http://schemas.microsoft.com/office/drawing/2014/main" id="{9D789A6B-D6A3-4392-9A1E-95F5E9FAA92C}"/>
                    </a:ext>
                  </a:extLst>
                </wp:docPr>
                <wp:cNvGraphicFramePr/>
                <a:graphic xmlns:a="http://schemas.openxmlformats.org/drawingml/2006/main">
                  <a:graphicData uri="http://schemas.microsoft.com/office/word/2010/wordprocessingShape">
                    <wps:wsp>
                      <wps:cNvSpPr txBox="1"/>
                      <wps:spPr>
                        <a:xfrm>
                          <a:off x="0" y="0"/>
                          <a:ext cx="2833839" cy="69176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5749AFE" w14:textId="1E6790C4" w:rsidR="000121CA" w:rsidRDefault="000121CA" w:rsidP="000121CA">
                            <w:pPr>
                              <w:pStyle w:val="NormalWeb"/>
                              <w:spacing w:before="0" w:beforeAutospacing="0" w:after="0" w:afterAutospacing="0"/>
                            </w:pPr>
                            <w:r>
                              <w:rPr>
                                <w:rFonts w:ascii="Arial" w:hAnsi="Arial" w:cs="Arial"/>
                                <w:b/>
                                <w:bCs/>
                                <w:color w:val="4B717E"/>
                                <w:sz w:val="25"/>
                                <w:szCs w:val="25"/>
                              </w:rPr>
                              <w:t>Older Queenslanders</w:t>
                            </w:r>
                            <w:r w:rsidR="007E74D9">
                              <w:rPr>
                                <w:rFonts w:ascii="Arial" w:hAnsi="Arial" w:cs="Arial"/>
                                <w:b/>
                                <w:bCs/>
                                <w:color w:val="4B717E"/>
                                <w:sz w:val="25"/>
                                <w:szCs w:val="25"/>
                              </w:rPr>
                              <w:t xml:space="preserve"> </w:t>
                            </w:r>
                            <w:r w:rsidR="00EA0C92">
                              <w:rPr>
                                <w:rFonts w:ascii="Arial" w:hAnsi="Arial" w:cs="Arial"/>
                                <w:b/>
                                <w:bCs/>
                                <w:color w:val="4B717E"/>
                                <w:sz w:val="25"/>
                                <w:szCs w:val="25"/>
                              </w:rPr>
                              <w:t>in 2021 were</w:t>
                            </w:r>
                            <w:r w:rsidR="00AD439E">
                              <w:rPr>
                                <w:rFonts w:ascii="Arial" w:hAnsi="Arial" w:cs="Arial"/>
                                <w:b/>
                                <w:bCs/>
                                <w:color w:val="4B717E"/>
                                <w:sz w:val="25"/>
                                <w:szCs w:val="25"/>
                              </w:rPr>
                              <w:t xml:space="preserve"> less likely to </w:t>
                            </w:r>
                            <w:r w:rsidR="00EA0C92">
                              <w:rPr>
                                <w:rFonts w:ascii="Arial" w:hAnsi="Arial" w:cs="Arial"/>
                                <w:b/>
                                <w:bCs/>
                                <w:color w:val="4B717E"/>
                                <w:sz w:val="25"/>
                                <w:szCs w:val="25"/>
                              </w:rPr>
                              <w:t xml:space="preserve">have </w:t>
                            </w:r>
                            <w:r w:rsidR="00AD439E">
                              <w:rPr>
                                <w:rFonts w:ascii="Arial" w:hAnsi="Arial" w:cs="Arial"/>
                                <w:b/>
                                <w:bCs/>
                                <w:color w:val="4B717E"/>
                                <w:sz w:val="25"/>
                                <w:szCs w:val="25"/>
                              </w:rPr>
                              <w:t>relocate</w:t>
                            </w:r>
                            <w:r w:rsidR="00EA0C92">
                              <w:rPr>
                                <w:rFonts w:ascii="Arial" w:hAnsi="Arial" w:cs="Arial"/>
                                <w:b/>
                                <w:bCs/>
                                <w:color w:val="4B717E"/>
                                <w:sz w:val="25"/>
                                <w:szCs w:val="25"/>
                              </w:rPr>
                              <w:t>d</w:t>
                            </w:r>
                            <w:r w:rsidR="00AD439E">
                              <w:rPr>
                                <w:rFonts w:ascii="Arial" w:hAnsi="Arial" w:cs="Arial"/>
                                <w:b/>
                                <w:bCs/>
                                <w:color w:val="4B717E"/>
                                <w:sz w:val="25"/>
                                <w:szCs w:val="25"/>
                              </w:rPr>
                              <w:t xml:space="preserve"> </w:t>
                            </w:r>
                            <w:r w:rsidR="007E74D9">
                              <w:rPr>
                                <w:rFonts w:ascii="Arial" w:hAnsi="Arial" w:cs="Arial"/>
                                <w:b/>
                                <w:bCs/>
                                <w:color w:val="4B717E"/>
                                <w:sz w:val="25"/>
                                <w:szCs w:val="25"/>
                              </w:rPr>
                              <w:t xml:space="preserve">than </w:t>
                            </w:r>
                            <w:r w:rsidR="00EA0C92">
                              <w:rPr>
                                <w:rFonts w:ascii="Arial" w:hAnsi="Arial" w:cs="Arial"/>
                                <w:b/>
                                <w:bCs/>
                                <w:color w:val="4B717E"/>
                                <w:sz w:val="25"/>
                                <w:szCs w:val="25"/>
                              </w:rPr>
                              <w:t xml:space="preserve">those in </w:t>
                            </w:r>
                            <w:proofErr w:type="gramStart"/>
                            <w:r w:rsidR="00EA0C92">
                              <w:rPr>
                                <w:rFonts w:ascii="Arial" w:hAnsi="Arial" w:cs="Arial"/>
                                <w:b/>
                                <w:bCs/>
                                <w:color w:val="4B717E"/>
                                <w:sz w:val="25"/>
                                <w:szCs w:val="25"/>
                              </w:rPr>
                              <w:t>2006</w:t>
                            </w:r>
                            <w:proofErr w:type="gramEnd"/>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8DB18A7" id="TextBox 14" o:spid="_x0000_s1035" type="#_x0000_t202" style="position:absolute;margin-left:73.35pt;margin-top:99.3pt;width:223.15pt;height:54.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" filled="f" stroked="f">
                <v:textbox>
                  <w:txbxContent>
                    <w:p w14:paraId="35749AFE" w14:textId="1E6790C4" w:rsidR="000121CA" w:rsidRDefault="000121CA" w:rsidP="000121CA">
                      <w:pPr>
                        <w:pStyle w:val="NormalWeb"/>
                        <w:spacing w:before="0" w:beforeAutospacing="0" w:after="0" w:afterAutospacing="0"/>
                      </w:pPr>
                      <w:r>
                        <w:rPr>
                          <w:rFonts w:ascii="Arial" w:hAnsi="Arial" w:cs="Arial"/>
                          <w:b/>
                          <w:bCs/>
                          <w:color w:val="4B717E"/>
                          <w:sz w:val="25"/>
                          <w:szCs w:val="25"/>
                        </w:rPr>
                        <w:t>Older Queenslanders</w:t>
                      </w:r>
                      <w:r w:rsidR="007E74D9">
                        <w:rPr>
                          <w:rFonts w:ascii="Arial" w:hAnsi="Arial" w:cs="Arial"/>
                          <w:b/>
                          <w:bCs/>
                          <w:color w:val="4B717E"/>
                          <w:sz w:val="25"/>
                          <w:szCs w:val="25"/>
                        </w:rPr>
                        <w:t xml:space="preserve"> </w:t>
                      </w:r>
                      <w:r w:rsidR="00EA0C92">
                        <w:rPr>
                          <w:rFonts w:ascii="Arial" w:hAnsi="Arial" w:cs="Arial"/>
                          <w:b/>
                          <w:bCs/>
                          <w:color w:val="4B717E"/>
                          <w:sz w:val="25"/>
                          <w:szCs w:val="25"/>
                        </w:rPr>
                        <w:t>in 2021 were</w:t>
                      </w:r>
                      <w:r w:rsidR="00AD439E">
                        <w:rPr>
                          <w:rFonts w:ascii="Arial" w:hAnsi="Arial" w:cs="Arial"/>
                          <w:b/>
                          <w:bCs/>
                          <w:color w:val="4B717E"/>
                          <w:sz w:val="25"/>
                          <w:szCs w:val="25"/>
                        </w:rPr>
                        <w:t xml:space="preserve"> less likely to </w:t>
                      </w:r>
                      <w:r w:rsidR="00EA0C92">
                        <w:rPr>
                          <w:rFonts w:ascii="Arial" w:hAnsi="Arial" w:cs="Arial"/>
                          <w:b/>
                          <w:bCs/>
                          <w:color w:val="4B717E"/>
                          <w:sz w:val="25"/>
                          <w:szCs w:val="25"/>
                        </w:rPr>
                        <w:t xml:space="preserve">have </w:t>
                      </w:r>
                      <w:r w:rsidR="00AD439E">
                        <w:rPr>
                          <w:rFonts w:ascii="Arial" w:hAnsi="Arial" w:cs="Arial"/>
                          <w:b/>
                          <w:bCs/>
                          <w:color w:val="4B717E"/>
                          <w:sz w:val="25"/>
                          <w:szCs w:val="25"/>
                        </w:rPr>
                        <w:t>relocate</w:t>
                      </w:r>
                      <w:r w:rsidR="00EA0C92">
                        <w:rPr>
                          <w:rFonts w:ascii="Arial" w:hAnsi="Arial" w:cs="Arial"/>
                          <w:b/>
                          <w:bCs/>
                          <w:color w:val="4B717E"/>
                          <w:sz w:val="25"/>
                          <w:szCs w:val="25"/>
                        </w:rPr>
                        <w:t>d</w:t>
                      </w:r>
                      <w:r w:rsidR="00AD439E">
                        <w:rPr>
                          <w:rFonts w:ascii="Arial" w:hAnsi="Arial" w:cs="Arial"/>
                          <w:b/>
                          <w:bCs/>
                          <w:color w:val="4B717E"/>
                          <w:sz w:val="25"/>
                          <w:szCs w:val="25"/>
                        </w:rPr>
                        <w:t xml:space="preserve"> </w:t>
                      </w:r>
                      <w:r w:rsidR="007E74D9">
                        <w:rPr>
                          <w:rFonts w:ascii="Arial" w:hAnsi="Arial" w:cs="Arial"/>
                          <w:b/>
                          <w:bCs/>
                          <w:color w:val="4B717E"/>
                          <w:sz w:val="25"/>
                          <w:szCs w:val="25"/>
                        </w:rPr>
                        <w:t xml:space="preserve">than </w:t>
                      </w:r>
                      <w:r w:rsidR="00EA0C92">
                        <w:rPr>
                          <w:rFonts w:ascii="Arial" w:hAnsi="Arial" w:cs="Arial"/>
                          <w:b/>
                          <w:bCs/>
                          <w:color w:val="4B717E"/>
                          <w:sz w:val="25"/>
                          <w:szCs w:val="25"/>
                        </w:rPr>
                        <w:t>those in 2006</w:t>
                      </w:r>
                    </w:p>
                  </w:txbxContent>
                </v:textbox>
                <w10:wrap anchorx="margin"/>
              </v:shape>
            </w:pict>
          </mc:Fallback>
        </mc:AlternateContent>
      </w:r>
      <w:r w:rsidRPr="00AD439E">
        <w:rPr>
          <w:noProof/>
        </w:rPr>
        <w:drawing>
          <wp:inline distT="0" distB="0" distL="0" distR="0" wp14:anchorId="1A48FE9B" wp14:editId="089C36AD">
            <wp:extent cx="4491875" cy="2700000"/>
            <wp:effectExtent l="0" t="0" r="4445" b="5715"/>
            <wp:docPr id="3397938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91875" cy="2700000"/>
                    </a:xfrm>
                    <a:prstGeom prst="rect">
                      <a:avLst/>
                    </a:prstGeom>
                    <a:noFill/>
                    <a:ln>
                      <a:noFill/>
                    </a:ln>
                  </pic:spPr>
                </pic:pic>
              </a:graphicData>
            </a:graphic>
          </wp:inline>
        </w:drawing>
      </w:r>
    </w:p>
    <w:p w14:paraId="329D2777" w14:textId="7E16D116" w:rsidR="00266E85" w:rsidRDefault="000121CA" w:rsidP="00266E85">
      <w:pPr>
        <w:spacing w:before="240"/>
      </w:pPr>
      <w:r w:rsidRPr="00AF0B4E">
        <w:t>Older Queenslanders</w:t>
      </w:r>
      <w:r w:rsidR="00B716F0">
        <w:t>, in 2021,</w:t>
      </w:r>
      <w:r w:rsidRPr="00AF0B4E">
        <w:t xml:space="preserve"> </w:t>
      </w:r>
      <w:r w:rsidR="00497225">
        <w:t>living</w:t>
      </w:r>
      <w:r w:rsidRPr="00AF0B4E">
        <w:t xml:space="preserve"> in dwellings </w:t>
      </w:r>
      <w:r w:rsidR="00A61D7C">
        <w:t>that</w:t>
      </w:r>
      <w:r w:rsidRPr="00AF0B4E">
        <w:t xml:space="preserve"> were owned outright were most likely to have lived in th</w:t>
      </w:r>
      <w:r w:rsidR="00A61D7C">
        <w:t>at</w:t>
      </w:r>
      <w:r w:rsidRPr="00AF0B4E">
        <w:t xml:space="preserve"> dwelling for the previous five years (</w:t>
      </w:r>
      <w:r w:rsidR="00A1176C">
        <w:t>80.6</w:t>
      </w:r>
      <w:r w:rsidRPr="00AF0B4E">
        <w:t xml:space="preserve">%). </w:t>
      </w:r>
      <w:r w:rsidR="00A61D7C">
        <w:t>Those living in rented dwellings</w:t>
      </w:r>
      <w:r w:rsidRPr="00AF0B4E">
        <w:t xml:space="preserve"> were more likely to</w:t>
      </w:r>
      <w:r w:rsidR="00813C0E">
        <w:t xml:space="preserve"> have</w:t>
      </w:r>
      <w:r w:rsidRPr="00AF0B4E">
        <w:t xml:space="preserve"> relocate</w:t>
      </w:r>
      <w:r w:rsidR="00813C0E">
        <w:t>d</w:t>
      </w:r>
      <w:r w:rsidRPr="00AF0B4E">
        <w:t xml:space="preserve">, with just </w:t>
      </w:r>
      <w:r w:rsidR="00107CE2">
        <w:t>over</w:t>
      </w:r>
      <w:r w:rsidRPr="00AF0B4E">
        <w:t xml:space="preserve"> half (</w:t>
      </w:r>
      <w:r w:rsidR="00107CE2">
        <w:t>54.8</w:t>
      </w:r>
      <w:r w:rsidRPr="00AF0B4E">
        <w:t>%) of older Queenslanders in rental properties having relocated to their current dwelling within the last five years.</w:t>
      </w:r>
    </w:p>
    <w:p w14:paraId="428209E3" w14:textId="0AB81A8B" w:rsidR="000121CA" w:rsidRPr="00E94814" w:rsidRDefault="000121CA" w:rsidP="001064A1">
      <w:pPr>
        <w:spacing w:before="240"/>
        <w:rPr>
          <w:rFonts w:eastAsiaTheme="majorEastAsia" w:cstheme="majorBidi"/>
          <w:bCs/>
          <w:sz w:val="36"/>
          <w:szCs w:val="36"/>
          <w:highlight w:val="yellow"/>
        </w:rPr>
      </w:pPr>
      <w:r w:rsidRPr="00AF0B4E">
        <w:t>A</w:t>
      </w:r>
      <w:r w:rsidRPr="00D6287E">
        <w:t xml:space="preserve"> factor in the increase in the number relocating may be Australian tenancy laws offering low</w:t>
      </w:r>
      <w:r w:rsidR="00107CE2">
        <w:t>er</w:t>
      </w:r>
      <w:r w:rsidRPr="00D6287E">
        <w:t xml:space="preserve"> levels of security of tenure to tenants</w:t>
      </w:r>
      <w:r w:rsidR="00CA622E">
        <w:t xml:space="preserve"> (Productivity Commission, 2015)</w:t>
      </w:r>
      <w:r w:rsidRPr="00D6287E">
        <w:t xml:space="preserve">. In addition to this insecurity, older </w:t>
      </w:r>
      <w:r w:rsidRPr="00D6287E">
        <w:lastRenderedPageBreak/>
        <w:t>Queenslanders who rent spend a higher proportion of their income on housing costs meaning they m</w:t>
      </w:r>
      <w:r w:rsidR="00EC78FE">
        <w:t>ay</w:t>
      </w:r>
      <w:r w:rsidRPr="00D6287E">
        <w:t xml:space="preserve"> be more susceptible to rising rental </w:t>
      </w:r>
      <w:r w:rsidR="004B3BAD" w:rsidRPr="008F2F82">
        <w:rPr>
          <w:rFonts w:eastAsia="MS Mincho" w:cs="Times New Roman"/>
          <w:noProof/>
          <w:sz w:val="20"/>
          <w:szCs w:val="20"/>
          <w:lang w:eastAsia="en-AU"/>
        </w:rPr>
        <mc:AlternateContent>
          <mc:Choice Requires="wps">
            <w:drawing>
              <wp:anchor distT="0" distB="0" distL="114300" distR="114300" simplePos="0" relativeHeight="251658245" behindDoc="0" locked="0" layoutInCell="1" allowOverlap="1" wp14:anchorId="723FB7A6" wp14:editId="595A4E20">
                <wp:simplePos x="0" y="0"/>
                <wp:positionH relativeFrom="margin">
                  <wp:posOffset>-61595</wp:posOffset>
                </wp:positionH>
                <wp:positionV relativeFrom="paragraph">
                  <wp:posOffset>704850</wp:posOffset>
                </wp:positionV>
                <wp:extent cx="5410200" cy="5438140"/>
                <wp:effectExtent l="0" t="0" r="0" b="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438140"/>
                        </a:xfrm>
                        <a:prstGeom prst="rect">
                          <a:avLst/>
                        </a:prstGeom>
                        <a:solidFill>
                          <a:srgbClr val="FCCD9A"/>
                        </a:solidFill>
                        <a:ln w="9525">
                          <a:noFill/>
                          <a:miter lim="800000"/>
                          <a:headEnd/>
                          <a:tailEnd/>
                        </a:ln>
                      </wps:spPr>
                      <wps:txbx>
                        <w:txbxContent>
                          <w:p w14:paraId="0006B0A6"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b/>
                                <w:bCs/>
                                <w:sz w:val="20"/>
                                <w:szCs w:val="20"/>
                              </w:rPr>
                              <w:t xml:space="preserve">A note on counts of older Queenslanders used in this fact </w:t>
                            </w:r>
                            <w:proofErr w:type="gramStart"/>
                            <w:r w:rsidRPr="008429C0">
                              <w:rPr>
                                <w:rFonts w:ascii="Arial" w:eastAsia="MS Mincho" w:hAnsi="Arial"/>
                                <w:b/>
                                <w:bCs/>
                                <w:sz w:val="20"/>
                                <w:szCs w:val="20"/>
                              </w:rPr>
                              <w:t>sheet</w:t>
                            </w:r>
                            <w:proofErr w:type="gramEnd"/>
                          </w:p>
                          <w:p w14:paraId="1BB391F2"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Data used in this fact sheet, unless otherwise noted, represent the number of older people according to their location on census night (place of enumeration). It is not possible to obtain housing information for older usual residents of Queensland directly because usual residence data is a person-level variable, and can only be applied to individual persons, not dwellings.</w:t>
                            </w:r>
                          </w:p>
                          <w:p w14:paraId="52F2A8E3" w14:textId="77777777" w:rsidR="000121CA" w:rsidRPr="008429C0" w:rsidRDefault="000121CA" w:rsidP="000121CA">
                            <w:pPr>
                              <w:pStyle w:val="NormalWeb"/>
                              <w:spacing w:before="0" w:beforeAutospacing="0" w:after="0" w:afterAutospacing="0" w:line="280" w:lineRule="exact"/>
                              <w:rPr>
                                <w:sz w:val="20"/>
                                <w:szCs w:val="20"/>
                              </w:rPr>
                            </w:pPr>
                          </w:p>
                          <w:p w14:paraId="4245E7E1"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 xml:space="preserve">However, it is possible by cross-tabulating data in the ABS </w:t>
                            </w:r>
                            <w:proofErr w:type="spellStart"/>
                            <w:r w:rsidRPr="008429C0">
                              <w:rPr>
                                <w:rFonts w:ascii="Arial" w:eastAsia="MS Mincho" w:hAnsi="Arial"/>
                                <w:sz w:val="20"/>
                                <w:szCs w:val="20"/>
                              </w:rPr>
                              <w:t>TableBuilder</w:t>
                            </w:r>
                            <w:proofErr w:type="spellEnd"/>
                            <w:r w:rsidRPr="008429C0">
                              <w:rPr>
                                <w:rFonts w:ascii="Arial" w:eastAsia="MS Mincho" w:hAnsi="Arial"/>
                                <w:sz w:val="20"/>
                                <w:szCs w:val="20"/>
                              </w:rPr>
                              <w:t xml:space="preserve"> database to find out the number and proportion of older Queenslanders </w:t>
                            </w:r>
                            <w:r w:rsidRPr="008429C0">
                              <w:rPr>
                                <w:rFonts w:ascii="Arial" w:eastAsia="MS Mincho" w:hAnsi="Arial"/>
                                <w:i/>
                                <w:iCs/>
                                <w:sz w:val="20"/>
                                <w:szCs w:val="20"/>
                              </w:rPr>
                              <w:t>at home</w:t>
                            </w:r>
                            <w:r w:rsidRPr="008429C0">
                              <w:rPr>
                                <w:rFonts w:ascii="Arial" w:eastAsia="MS Mincho" w:hAnsi="Arial"/>
                                <w:sz w:val="20"/>
                                <w:szCs w:val="20"/>
                              </w:rPr>
                              <w:t xml:space="preserve"> on census night residing in dwellings with </w:t>
                            </w:r>
                            <w:proofErr w:type="gramStart"/>
                            <w:r w:rsidRPr="008429C0">
                              <w:rPr>
                                <w:rFonts w:ascii="Arial" w:eastAsia="MS Mincho" w:hAnsi="Arial"/>
                                <w:sz w:val="20"/>
                                <w:szCs w:val="20"/>
                              </w:rPr>
                              <w:t>particular characteristics</w:t>
                            </w:r>
                            <w:proofErr w:type="gramEnd"/>
                            <w:r w:rsidRPr="008429C0">
                              <w:rPr>
                                <w:rFonts w:ascii="Arial" w:eastAsia="MS Mincho" w:hAnsi="Arial"/>
                                <w:sz w:val="20"/>
                                <w:szCs w:val="20"/>
                              </w:rPr>
                              <w:t>. Data for older Queenslanders who were travelling away from home on the night of the census (either intrastate (within Queensland), interstate or overseas) have been excluded. Characteristics of the usual home overseas travellers reside in are not available at all, and for intrastate and interstate travellers, data provided are for dwellings they are staying in on census night (i.e. not their usual residence).</w:t>
                            </w:r>
                          </w:p>
                          <w:p w14:paraId="0EDD6D4C" w14:textId="77777777" w:rsidR="000121CA" w:rsidRPr="008429C0" w:rsidRDefault="000121CA" w:rsidP="000121CA">
                            <w:pPr>
                              <w:pStyle w:val="NormalWeb"/>
                              <w:spacing w:before="0" w:beforeAutospacing="0" w:after="0" w:afterAutospacing="0" w:line="280" w:lineRule="exact"/>
                              <w:rPr>
                                <w:sz w:val="20"/>
                                <w:szCs w:val="20"/>
                              </w:rPr>
                            </w:pPr>
                          </w:p>
                          <w:p w14:paraId="5FB6A5D1"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Readers should keep in mind that:</w:t>
                            </w:r>
                          </w:p>
                          <w:p w14:paraId="7D043F61" w14:textId="64A7680B"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the dwelling characteristics of older Queenslanders away from home on </w:t>
                            </w:r>
                            <w:r w:rsidR="00A9652C">
                              <w:rPr>
                                <w:rFonts w:eastAsia="MS Mincho"/>
                                <w:sz w:val="20"/>
                                <w:szCs w:val="20"/>
                              </w:rPr>
                              <w:t>C</w:t>
                            </w:r>
                            <w:r w:rsidRPr="008429C0">
                              <w:rPr>
                                <w:rFonts w:eastAsia="MS Mincho"/>
                                <w:sz w:val="20"/>
                                <w:szCs w:val="20"/>
                              </w:rPr>
                              <w:t>ensus night are not represented in these data.</w:t>
                            </w:r>
                          </w:p>
                          <w:p w14:paraId="27006121" w14:textId="44DD88DD"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the dwelling data provided for older Queenslanders at home on </w:t>
                            </w:r>
                            <w:r w:rsidR="00B06A99">
                              <w:rPr>
                                <w:rFonts w:eastAsia="MS Mincho"/>
                                <w:sz w:val="20"/>
                                <w:szCs w:val="20"/>
                              </w:rPr>
                              <w:t>C</w:t>
                            </w:r>
                            <w:r w:rsidRPr="008429C0">
                              <w:rPr>
                                <w:rFonts w:eastAsia="MS Mincho"/>
                                <w:sz w:val="20"/>
                                <w:szCs w:val="20"/>
                              </w:rPr>
                              <w:t xml:space="preserve">ensus night is </w:t>
                            </w:r>
                            <w:r w:rsidRPr="008429C0">
                              <w:rPr>
                                <w:rFonts w:eastAsia="MS Mincho"/>
                                <w:sz w:val="20"/>
                                <w:szCs w:val="20"/>
                                <w:u w:val="single"/>
                              </w:rPr>
                              <w:t>indicative only</w:t>
                            </w:r>
                            <w:r w:rsidRPr="008429C0">
                              <w:rPr>
                                <w:rFonts w:eastAsia="MS Mincho"/>
                                <w:sz w:val="20"/>
                                <w:szCs w:val="20"/>
                              </w:rPr>
                              <w:t>. For example, an older person may usually reside in a dwelling that is fully owned, but that older person may or may not own the dwelling themselves. Another dwelling occupant, for example a spouse or an adult child, could own the dwelling.</w:t>
                            </w:r>
                          </w:p>
                          <w:p w14:paraId="549AF040" w14:textId="0BA52BBE"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for those living in non-private dwellings, data </w:t>
                            </w:r>
                            <w:r w:rsidR="00634CA5" w:rsidRPr="008429C0">
                              <w:rPr>
                                <w:rFonts w:eastAsia="MS Mincho"/>
                                <w:sz w:val="20"/>
                                <w:szCs w:val="20"/>
                              </w:rPr>
                              <w:t>in</w:t>
                            </w:r>
                            <w:r w:rsidRPr="008429C0">
                              <w:rPr>
                                <w:rFonts w:eastAsia="MS Mincho"/>
                                <w:sz w:val="20"/>
                                <w:szCs w:val="20"/>
                              </w:rPr>
                              <w:t xml:space="preserve">clude older Queenslanders who were owners, proprietors, </w:t>
                            </w:r>
                            <w:proofErr w:type="gramStart"/>
                            <w:r w:rsidRPr="008429C0">
                              <w:rPr>
                                <w:rFonts w:eastAsia="MS Mincho"/>
                                <w:sz w:val="20"/>
                                <w:szCs w:val="20"/>
                              </w:rPr>
                              <w:t>staff</w:t>
                            </w:r>
                            <w:proofErr w:type="gramEnd"/>
                            <w:r w:rsidRPr="008429C0">
                              <w:rPr>
                                <w:rFonts w:eastAsia="MS Mincho"/>
                                <w:sz w:val="20"/>
                                <w:szCs w:val="20"/>
                              </w:rPr>
                              <w:t xml:space="preserve"> and family of the establishment and were ‘at home’ on </w:t>
                            </w:r>
                            <w:r w:rsidR="0021397B">
                              <w:rPr>
                                <w:rFonts w:eastAsia="MS Mincho"/>
                                <w:sz w:val="20"/>
                                <w:szCs w:val="20"/>
                              </w:rPr>
                              <w:t>C</w:t>
                            </w:r>
                            <w:r w:rsidRPr="008429C0">
                              <w:rPr>
                                <w:rFonts w:eastAsia="MS Mincho"/>
                                <w:sz w:val="20"/>
                                <w:szCs w:val="20"/>
                              </w:rPr>
                              <w:t>ensus night.</w:t>
                            </w:r>
                            <w:r w:rsidR="00634CA5" w:rsidRPr="008429C0">
                              <w:rPr>
                                <w:rFonts w:eastAsia="MS Mincho"/>
                                <w:sz w:val="20"/>
                                <w:szCs w:val="20"/>
                              </w:rPr>
                              <w:t xml:space="preserve"> Also included are people whose </w:t>
                            </w:r>
                            <w:r w:rsidR="003F5AA6" w:rsidRPr="008429C0">
                              <w:rPr>
                                <w:rFonts w:eastAsia="MS Mincho"/>
                                <w:sz w:val="20"/>
                                <w:szCs w:val="20"/>
                              </w:rPr>
                              <w:t>status</w:t>
                            </w:r>
                            <w:r w:rsidR="00634CA5" w:rsidRPr="008429C0">
                              <w:rPr>
                                <w:rFonts w:eastAsia="MS Mincho"/>
                                <w:sz w:val="20"/>
                                <w:szCs w:val="20"/>
                              </w:rPr>
                              <w:t xml:space="preserve"> as an owner</w:t>
                            </w:r>
                            <w:r w:rsidR="003F5AA6" w:rsidRPr="008429C0">
                              <w:rPr>
                                <w:rFonts w:eastAsia="MS Mincho"/>
                                <w:sz w:val="20"/>
                                <w:szCs w:val="20"/>
                              </w:rPr>
                              <w:t>, or guest etc. was ‘not stated’, as the variable of interest here is the non-private dwelling.</w:t>
                            </w:r>
                          </w:p>
                          <w:p w14:paraId="56FFA91B" w14:textId="06CE3607"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all proportions have been calculated based on totals excluding ‘not stated’ responses to </w:t>
                            </w:r>
                            <w:r w:rsidR="0021397B">
                              <w:rPr>
                                <w:rFonts w:eastAsia="MS Mincho"/>
                                <w:sz w:val="20"/>
                                <w:szCs w:val="20"/>
                              </w:rPr>
                              <w:t>C</w:t>
                            </w:r>
                            <w:r w:rsidRPr="008429C0">
                              <w:rPr>
                                <w:rFonts w:eastAsia="MS Mincho"/>
                                <w:sz w:val="20"/>
                                <w:szCs w:val="20"/>
                              </w:rPr>
                              <w:t>ensus questions such as dwelling tenure or dwelling type</w:t>
                            </w:r>
                            <w:r w:rsidR="003F5AA6" w:rsidRPr="008429C0">
                              <w:rPr>
                                <w:rFonts w:eastAsia="MS Mincho"/>
                                <w:sz w:val="20"/>
                                <w:szCs w:val="20"/>
                              </w:rPr>
                              <w:t>, unless otherwise noted</w:t>
                            </w:r>
                            <w:r w:rsidRPr="008429C0">
                              <w:rPr>
                                <w:rFonts w:eastAsia="MS Mincho"/>
                                <w:sz w:val="20"/>
                                <w:szCs w:val="2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23FB7A6" id="_x0000_s1036" type="#_x0000_t202" style="position:absolute;margin-left:-4.85pt;margin-top:55.5pt;width:426pt;height:428.2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" fillcolor="#fccd9a" stroked="f">
                <v:textbox>
                  <w:txbxContent>
                    <w:p w14:paraId="0006B0A6"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b/>
                          <w:bCs/>
                          <w:sz w:val="20"/>
                          <w:szCs w:val="20"/>
                        </w:rPr>
                        <w:t>A note on counts of older Queenslanders used in this fact sheet</w:t>
                      </w:r>
                    </w:p>
                    <w:p w14:paraId="1BB391F2"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Data used in this fact sheet, unless otherwise noted, represent the number of older people according to their location on census night (place of enumeration). It is not possible to obtain housing information for older usual residents of Queensland directly because usual residence data is a person-level variable, and can only be applied to individual persons, not dwellings.</w:t>
                      </w:r>
                    </w:p>
                    <w:p w14:paraId="52F2A8E3" w14:textId="77777777" w:rsidR="000121CA" w:rsidRPr="008429C0" w:rsidRDefault="000121CA" w:rsidP="000121CA">
                      <w:pPr>
                        <w:pStyle w:val="NormalWeb"/>
                        <w:spacing w:before="0" w:beforeAutospacing="0" w:after="0" w:afterAutospacing="0" w:line="280" w:lineRule="exact"/>
                        <w:rPr>
                          <w:sz w:val="20"/>
                          <w:szCs w:val="20"/>
                        </w:rPr>
                      </w:pPr>
                    </w:p>
                    <w:p w14:paraId="4245E7E1"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 xml:space="preserve">However, it is possible by cross-tabulating data in the ABS </w:t>
                      </w:r>
                      <w:proofErr w:type="spellStart"/>
                      <w:r w:rsidRPr="008429C0">
                        <w:rPr>
                          <w:rFonts w:ascii="Arial" w:eastAsia="MS Mincho" w:hAnsi="Arial"/>
                          <w:sz w:val="20"/>
                          <w:szCs w:val="20"/>
                        </w:rPr>
                        <w:t>TableBuilder</w:t>
                      </w:r>
                      <w:proofErr w:type="spellEnd"/>
                      <w:r w:rsidRPr="008429C0">
                        <w:rPr>
                          <w:rFonts w:ascii="Arial" w:eastAsia="MS Mincho" w:hAnsi="Arial"/>
                          <w:sz w:val="20"/>
                          <w:szCs w:val="20"/>
                        </w:rPr>
                        <w:t xml:space="preserve"> database to find out the number and proportion of older Queenslanders </w:t>
                      </w:r>
                      <w:r w:rsidRPr="008429C0">
                        <w:rPr>
                          <w:rFonts w:ascii="Arial" w:eastAsia="MS Mincho" w:hAnsi="Arial"/>
                          <w:i/>
                          <w:iCs/>
                          <w:sz w:val="20"/>
                          <w:szCs w:val="20"/>
                        </w:rPr>
                        <w:t>at home</w:t>
                      </w:r>
                      <w:r w:rsidRPr="008429C0">
                        <w:rPr>
                          <w:rFonts w:ascii="Arial" w:eastAsia="MS Mincho" w:hAnsi="Arial"/>
                          <w:sz w:val="20"/>
                          <w:szCs w:val="20"/>
                        </w:rPr>
                        <w:t xml:space="preserve"> on census night residing in dwellings with particular characteristics. Data for older Queenslanders who were travelling away from home on the night of the census (either intrastate (within Queensland), interstate or overseas) have been excluded. Characteristics of the usual home overseas travellers reside in are not available at all, and for intrastate and interstate travellers, data provided are for dwellings they are staying in on census night (i.e. not their usual residence).</w:t>
                      </w:r>
                    </w:p>
                    <w:p w14:paraId="0EDD6D4C" w14:textId="77777777" w:rsidR="000121CA" w:rsidRPr="008429C0" w:rsidRDefault="000121CA" w:rsidP="000121CA">
                      <w:pPr>
                        <w:pStyle w:val="NormalWeb"/>
                        <w:spacing w:before="0" w:beforeAutospacing="0" w:after="0" w:afterAutospacing="0" w:line="280" w:lineRule="exact"/>
                        <w:rPr>
                          <w:sz w:val="20"/>
                          <w:szCs w:val="20"/>
                        </w:rPr>
                      </w:pPr>
                    </w:p>
                    <w:p w14:paraId="5FB6A5D1" w14:textId="77777777" w:rsidR="000121CA" w:rsidRPr="008429C0" w:rsidRDefault="000121CA" w:rsidP="000121CA">
                      <w:pPr>
                        <w:pStyle w:val="NormalWeb"/>
                        <w:spacing w:before="0" w:beforeAutospacing="0" w:after="0" w:afterAutospacing="0" w:line="280" w:lineRule="exact"/>
                        <w:rPr>
                          <w:sz w:val="20"/>
                          <w:szCs w:val="20"/>
                        </w:rPr>
                      </w:pPr>
                      <w:r w:rsidRPr="008429C0">
                        <w:rPr>
                          <w:rFonts w:ascii="Arial" w:eastAsia="MS Mincho" w:hAnsi="Arial"/>
                          <w:sz w:val="20"/>
                          <w:szCs w:val="20"/>
                        </w:rPr>
                        <w:t>Readers should keep in mind that:</w:t>
                      </w:r>
                    </w:p>
                    <w:p w14:paraId="7D043F61" w14:textId="64A7680B"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the dwelling characteristics of older Queenslanders away from home on </w:t>
                      </w:r>
                      <w:r w:rsidR="00A9652C">
                        <w:rPr>
                          <w:rFonts w:eastAsia="MS Mincho"/>
                          <w:sz w:val="20"/>
                          <w:szCs w:val="20"/>
                        </w:rPr>
                        <w:t>C</w:t>
                      </w:r>
                      <w:r w:rsidRPr="008429C0">
                        <w:rPr>
                          <w:rFonts w:eastAsia="MS Mincho"/>
                          <w:sz w:val="20"/>
                          <w:szCs w:val="20"/>
                        </w:rPr>
                        <w:t>ensus night are not represented in these data.</w:t>
                      </w:r>
                    </w:p>
                    <w:p w14:paraId="27006121" w14:textId="44DD88DD"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the dwelling data provided for older Queenslanders at home on </w:t>
                      </w:r>
                      <w:r w:rsidR="00B06A99">
                        <w:rPr>
                          <w:rFonts w:eastAsia="MS Mincho"/>
                          <w:sz w:val="20"/>
                          <w:szCs w:val="20"/>
                        </w:rPr>
                        <w:t>C</w:t>
                      </w:r>
                      <w:r w:rsidRPr="008429C0">
                        <w:rPr>
                          <w:rFonts w:eastAsia="MS Mincho"/>
                          <w:sz w:val="20"/>
                          <w:szCs w:val="20"/>
                        </w:rPr>
                        <w:t xml:space="preserve">ensus night is </w:t>
                      </w:r>
                      <w:r w:rsidRPr="008429C0">
                        <w:rPr>
                          <w:rFonts w:eastAsia="MS Mincho"/>
                          <w:sz w:val="20"/>
                          <w:szCs w:val="20"/>
                          <w:u w:val="single"/>
                        </w:rPr>
                        <w:t>indicative only</w:t>
                      </w:r>
                      <w:r w:rsidRPr="008429C0">
                        <w:rPr>
                          <w:rFonts w:eastAsia="MS Mincho"/>
                          <w:sz w:val="20"/>
                          <w:szCs w:val="20"/>
                        </w:rPr>
                        <w:t>. For example, an older person may usually reside in a dwelling that is fully owned, but that older person may or may not own the dwelling themselves. Another dwelling occupant, for example a spouse or an adult child, could own the dwelling.</w:t>
                      </w:r>
                    </w:p>
                    <w:p w14:paraId="549AF040" w14:textId="0BA52BBE"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for those living in non-private dwellings, data </w:t>
                      </w:r>
                      <w:r w:rsidR="00634CA5" w:rsidRPr="008429C0">
                        <w:rPr>
                          <w:rFonts w:eastAsia="MS Mincho"/>
                          <w:sz w:val="20"/>
                          <w:szCs w:val="20"/>
                        </w:rPr>
                        <w:t>in</w:t>
                      </w:r>
                      <w:r w:rsidRPr="008429C0">
                        <w:rPr>
                          <w:rFonts w:eastAsia="MS Mincho"/>
                          <w:sz w:val="20"/>
                          <w:szCs w:val="20"/>
                        </w:rPr>
                        <w:t xml:space="preserve">clude older Queenslanders who were owners, proprietors, staff and family of the establishment and were ‘at home’ on </w:t>
                      </w:r>
                      <w:r w:rsidR="0021397B">
                        <w:rPr>
                          <w:rFonts w:eastAsia="MS Mincho"/>
                          <w:sz w:val="20"/>
                          <w:szCs w:val="20"/>
                        </w:rPr>
                        <w:t>C</w:t>
                      </w:r>
                      <w:r w:rsidRPr="008429C0">
                        <w:rPr>
                          <w:rFonts w:eastAsia="MS Mincho"/>
                          <w:sz w:val="20"/>
                          <w:szCs w:val="20"/>
                        </w:rPr>
                        <w:t>ensus night.</w:t>
                      </w:r>
                      <w:r w:rsidR="00634CA5" w:rsidRPr="008429C0">
                        <w:rPr>
                          <w:rFonts w:eastAsia="MS Mincho"/>
                          <w:sz w:val="20"/>
                          <w:szCs w:val="20"/>
                        </w:rPr>
                        <w:t xml:space="preserve"> Also included are people whose </w:t>
                      </w:r>
                      <w:r w:rsidR="003F5AA6" w:rsidRPr="008429C0">
                        <w:rPr>
                          <w:rFonts w:eastAsia="MS Mincho"/>
                          <w:sz w:val="20"/>
                          <w:szCs w:val="20"/>
                        </w:rPr>
                        <w:t>status</w:t>
                      </w:r>
                      <w:r w:rsidR="00634CA5" w:rsidRPr="008429C0">
                        <w:rPr>
                          <w:rFonts w:eastAsia="MS Mincho"/>
                          <w:sz w:val="20"/>
                          <w:szCs w:val="20"/>
                        </w:rPr>
                        <w:t xml:space="preserve"> as an owner</w:t>
                      </w:r>
                      <w:r w:rsidR="003F5AA6" w:rsidRPr="008429C0">
                        <w:rPr>
                          <w:rFonts w:eastAsia="MS Mincho"/>
                          <w:sz w:val="20"/>
                          <w:szCs w:val="20"/>
                        </w:rPr>
                        <w:t>, or guest etc. was ‘not stated’, as the variable of interest here is the non-private dwelling.</w:t>
                      </w:r>
                    </w:p>
                    <w:p w14:paraId="56FFA91B" w14:textId="06CE3607" w:rsidR="000121CA" w:rsidRPr="008429C0" w:rsidRDefault="000121CA" w:rsidP="000121CA">
                      <w:pPr>
                        <w:pStyle w:val="ListParagraph"/>
                        <w:numPr>
                          <w:ilvl w:val="0"/>
                          <w:numId w:val="28"/>
                        </w:numPr>
                        <w:spacing w:after="0"/>
                        <w:contextualSpacing/>
                        <w:rPr>
                          <w:rFonts w:eastAsia="Times New Roman"/>
                          <w:sz w:val="20"/>
                          <w:szCs w:val="20"/>
                        </w:rPr>
                      </w:pPr>
                      <w:r w:rsidRPr="008429C0">
                        <w:rPr>
                          <w:rFonts w:eastAsia="MS Mincho"/>
                          <w:sz w:val="20"/>
                          <w:szCs w:val="20"/>
                        </w:rPr>
                        <w:t xml:space="preserve">all proportions have been calculated based on totals excluding ‘not stated’ responses to </w:t>
                      </w:r>
                      <w:r w:rsidR="0021397B">
                        <w:rPr>
                          <w:rFonts w:eastAsia="MS Mincho"/>
                          <w:sz w:val="20"/>
                          <w:szCs w:val="20"/>
                        </w:rPr>
                        <w:t>C</w:t>
                      </w:r>
                      <w:r w:rsidRPr="008429C0">
                        <w:rPr>
                          <w:rFonts w:eastAsia="MS Mincho"/>
                          <w:sz w:val="20"/>
                          <w:szCs w:val="20"/>
                        </w:rPr>
                        <w:t>ensus questions such as dwelling tenure or dwelling type</w:t>
                      </w:r>
                      <w:r w:rsidR="003F5AA6" w:rsidRPr="008429C0">
                        <w:rPr>
                          <w:rFonts w:eastAsia="MS Mincho"/>
                          <w:sz w:val="20"/>
                          <w:szCs w:val="20"/>
                        </w:rPr>
                        <w:t>, unless otherwise noted</w:t>
                      </w:r>
                      <w:r w:rsidRPr="008429C0">
                        <w:rPr>
                          <w:rFonts w:eastAsia="MS Mincho"/>
                          <w:sz w:val="20"/>
                          <w:szCs w:val="20"/>
                        </w:rPr>
                        <w:t>.</w:t>
                      </w:r>
                    </w:p>
                  </w:txbxContent>
                </v:textbox>
                <w10:wrap type="topAndBottom" anchorx="margin"/>
              </v:shape>
            </w:pict>
          </mc:Fallback>
        </mc:AlternateContent>
      </w:r>
      <w:r w:rsidRPr="00D6287E">
        <w:t>costs</w:t>
      </w:r>
      <w:r w:rsidR="00752DF4">
        <w:t>.</w:t>
      </w:r>
    </w:p>
    <w:p w14:paraId="01824D74" w14:textId="77777777" w:rsidR="00F65439" w:rsidRDefault="00F65439" w:rsidP="000121CA">
      <w:pPr>
        <w:spacing w:before="120" w:after="0" w:line="360" w:lineRule="auto"/>
        <w:rPr>
          <w:sz w:val="16"/>
          <w:szCs w:val="16"/>
          <w:highlight w:val="yellow"/>
        </w:rPr>
      </w:pPr>
    </w:p>
    <w:p w14:paraId="74A97245" w14:textId="77777777" w:rsidR="00995D1D" w:rsidRDefault="00995D1D" w:rsidP="000121CA">
      <w:pPr>
        <w:spacing w:before="120" w:after="0" w:line="360" w:lineRule="auto"/>
        <w:rPr>
          <w:rFonts w:eastAsia="MS Mincho" w:cs="Times New Roman"/>
          <w:szCs w:val="22"/>
          <w:lang w:eastAsia="en-AU"/>
        </w:rPr>
      </w:pPr>
    </w:p>
    <w:p w14:paraId="11C23238" w14:textId="216D2ECF" w:rsidR="000121CA" w:rsidRPr="00995D1D" w:rsidRDefault="00F65439" w:rsidP="000121CA">
      <w:pPr>
        <w:spacing w:before="120" w:after="0" w:line="360" w:lineRule="auto"/>
        <w:rPr>
          <w:rFonts w:eastAsia="MS Mincho" w:cs="Times New Roman"/>
          <w:szCs w:val="22"/>
          <w:lang w:eastAsia="en-AU"/>
        </w:rPr>
      </w:pPr>
      <w:r w:rsidRPr="00995D1D">
        <w:rPr>
          <w:rFonts w:eastAsia="MS Mincho" w:cs="Times New Roman"/>
          <w:szCs w:val="22"/>
          <w:lang w:eastAsia="en-AU"/>
        </w:rPr>
        <w:fldChar w:fldCharType="begin"/>
      </w:r>
      <w:r w:rsidRPr="00995D1D">
        <w:rPr>
          <w:rFonts w:eastAsia="MS Mincho" w:cs="Times New Roman"/>
          <w:szCs w:val="22"/>
          <w:lang w:eastAsia="en-AU"/>
        </w:rPr>
        <w:instrText xml:space="preserve"> REF _Ref161672695 \h </w:instrText>
      </w:r>
      <w:r w:rsidR="008F2F82" w:rsidRPr="00995D1D">
        <w:rPr>
          <w:rFonts w:eastAsia="MS Mincho" w:cs="Times New Roman"/>
          <w:szCs w:val="22"/>
          <w:lang w:eastAsia="en-AU"/>
        </w:rPr>
        <w:instrText xml:space="preserve"> \* MERGEFORMAT </w:instrText>
      </w:r>
      <w:r w:rsidRPr="00995D1D">
        <w:rPr>
          <w:rFonts w:eastAsia="MS Mincho" w:cs="Times New Roman"/>
          <w:szCs w:val="22"/>
          <w:lang w:eastAsia="en-AU"/>
        </w:rPr>
      </w:r>
      <w:r w:rsidRPr="00995D1D">
        <w:rPr>
          <w:rFonts w:eastAsia="MS Mincho" w:cs="Times New Roman"/>
          <w:szCs w:val="22"/>
          <w:lang w:eastAsia="en-AU"/>
        </w:rPr>
        <w:fldChar w:fldCharType="separate"/>
      </w:r>
      <w:r w:rsidRPr="00995D1D">
        <w:rPr>
          <w:rFonts w:eastAsia="MS Mincho" w:cs="Times New Roman"/>
          <w:szCs w:val="22"/>
          <w:lang w:eastAsia="en-AU"/>
        </w:rPr>
        <w:t>Figure 12</w:t>
      </w:r>
      <w:r w:rsidRPr="00995D1D">
        <w:rPr>
          <w:rFonts w:eastAsia="MS Mincho" w:cs="Times New Roman"/>
          <w:szCs w:val="22"/>
          <w:lang w:eastAsia="en-AU"/>
        </w:rPr>
        <w:fldChar w:fldCharType="end"/>
      </w:r>
      <w:r w:rsidRPr="00995D1D">
        <w:rPr>
          <w:rFonts w:eastAsia="MS Mincho" w:cs="Times New Roman"/>
          <w:szCs w:val="22"/>
          <w:lang w:eastAsia="en-AU"/>
        </w:rPr>
        <w:t xml:space="preserve"> </w:t>
      </w:r>
      <w:r w:rsidR="001705D8" w:rsidRPr="00995D1D">
        <w:rPr>
          <w:rFonts w:eastAsia="MS Mincho" w:cs="Times New Roman"/>
          <w:szCs w:val="22"/>
          <w:lang w:eastAsia="en-AU"/>
        </w:rPr>
        <w:t xml:space="preserve">shows </w:t>
      </w:r>
      <w:r w:rsidRPr="00995D1D">
        <w:rPr>
          <w:rFonts w:eastAsia="MS Mincho" w:cs="Times New Roman"/>
          <w:szCs w:val="22"/>
          <w:lang w:eastAsia="en-AU"/>
        </w:rPr>
        <w:t xml:space="preserve">which categories of </w:t>
      </w:r>
      <w:r w:rsidR="008F2F82" w:rsidRPr="00995D1D">
        <w:rPr>
          <w:rFonts w:eastAsia="MS Mincho" w:cs="Times New Roman"/>
          <w:szCs w:val="22"/>
          <w:lang w:eastAsia="en-AU"/>
        </w:rPr>
        <w:t xml:space="preserve">persons enumerated in the Census were included in these analyses. The teal boxes </w:t>
      </w:r>
      <w:r w:rsidR="00E356F0" w:rsidRPr="00995D1D">
        <w:rPr>
          <w:rFonts w:eastAsia="MS Mincho" w:cs="Times New Roman"/>
          <w:szCs w:val="22"/>
          <w:lang w:eastAsia="en-AU"/>
        </w:rPr>
        <w:t xml:space="preserve">show persons included in the final 807,320 </w:t>
      </w:r>
      <w:r w:rsidR="00E34E67" w:rsidRPr="00995D1D">
        <w:rPr>
          <w:rFonts w:eastAsia="MS Mincho" w:cs="Times New Roman"/>
          <w:szCs w:val="22"/>
          <w:lang w:eastAsia="en-AU"/>
        </w:rPr>
        <w:t xml:space="preserve">persons enumerated at home in Queensland, </w:t>
      </w:r>
      <w:r w:rsidR="008F2F82" w:rsidRPr="00995D1D">
        <w:rPr>
          <w:rFonts w:eastAsia="MS Mincho" w:cs="Times New Roman"/>
          <w:szCs w:val="22"/>
          <w:lang w:eastAsia="en-AU"/>
        </w:rPr>
        <w:t>while the yellow boxes show excluded persons.</w:t>
      </w:r>
    </w:p>
    <w:p w14:paraId="04140D1E" w14:textId="19A40A9B" w:rsidR="00DD5F74" w:rsidRDefault="00DD5F74" w:rsidP="00DD5F74">
      <w:pPr>
        <w:pStyle w:val="Caption"/>
        <w:keepNext/>
      </w:pPr>
      <w:bookmarkStart w:id="17" w:name="_Ref161672695"/>
      <w:r>
        <w:lastRenderedPageBreak/>
        <w:t xml:space="preserve">Figure </w:t>
      </w:r>
      <w:r w:rsidR="00536D0D">
        <w:fldChar w:fldCharType="begin"/>
      </w:r>
      <w:r w:rsidR="00536D0D">
        <w:instrText xml:space="preserve"> SEQ Figure \* ARABIC </w:instrText>
      </w:r>
      <w:r w:rsidR="00536D0D">
        <w:fldChar w:fldCharType="separate"/>
      </w:r>
      <w:r>
        <w:rPr>
          <w:noProof/>
        </w:rPr>
        <w:t>12</w:t>
      </w:r>
      <w:r w:rsidR="00536D0D">
        <w:rPr>
          <w:noProof/>
        </w:rPr>
        <w:fldChar w:fldCharType="end"/>
      </w:r>
      <w:bookmarkEnd w:id="17"/>
      <w:r>
        <w:t>:</w:t>
      </w:r>
      <w:r>
        <w:tab/>
      </w:r>
      <w:r w:rsidR="00F65439">
        <w:t xml:space="preserve">Flow chart of inclusions and exclusions using Census </w:t>
      </w:r>
      <w:proofErr w:type="gramStart"/>
      <w:r w:rsidR="00F65439">
        <w:t>data</w:t>
      </w:r>
      <w:proofErr w:type="gramEnd"/>
    </w:p>
    <w:p w14:paraId="5C2FEF32" w14:textId="0D63AD4E" w:rsidR="008429C0" w:rsidRDefault="00AF3610">
      <w:pPr>
        <w:spacing w:before="60" w:after="60" w:line="240" w:lineRule="auto"/>
        <w:rPr>
          <w:highlight w:val="yellow"/>
        </w:rPr>
      </w:pPr>
      <w:r w:rsidRPr="00AF3610">
        <w:rPr>
          <w:noProof/>
        </w:rPr>
        <w:drawing>
          <wp:inline distT="0" distB="0" distL="0" distR="0" wp14:anchorId="4E51F7D8" wp14:editId="6126653E">
            <wp:extent cx="5400675" cy="4935138"/>
            <wp:effectExtent l="0" t="0" r="0" b="0"/>
            <wp:docPr id="63765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985" r="14739"/>
                    <a:stretch/>
                  </pic:blipFill>
                  <pic:spPr bwMode="auto">
                    <a:xfrm>
                      <a:off x="0" y="0"/>
                      <a:ext cx="5414036" cy="4947347"/>
                    </a:xfrm>
                    <a:prstGeom prst="rect">
                      <a:avLst/>
                    </a:prstGeom>
                    <a:noFill/>
                    <a:ln>
                      <a:noFill/>
                    </a:ln>
                    <a:extLst>
                      <a:ext uri="{53640926-AAD7-44D8-BBD7-CCE9431645EC}">
                        <a14:shadowObscured xmlns:a14="http://schemas.microsoft.com/office/drawing/2010/main"/>
                      </a:ext>
                    </a:extLst>
                  </pic:spPr>
                </pic:pic>
              </a:graphicData>
            </a:graphic>
          </wp:inline>
        </w:drawing>
      </w:r>
    </w:p>
    <w:p w14:paraId="398618B0" w14:textId="65E6A40A" w:rsidR="00872CEE" w:rsidRDefault="00872CEE">
      <w:pPr>
        <w:spacing w:before="60" w:after="60" w:line="240" w:lineRule="auto"/>
        <w:rPr>
          <w:rFonts w:cs="Arial"/>
          <w:sz w:val="36"/>
          <w:szCs w:val="36"/>
          <w:highlight w:val="yellow"/>
        </w:rPr>
      </w:pPr>
      <w:r>
        <w:rPr>
          <w:highlight w:val="yellow"/>
        </w:rPr>
        <w:br w:type="page"/>
      </w:r>
    </w:p>
    <w:p w14:paraId="620D3F45" w14:textId="3CEBB4DB" w:rsidR="000121CA" w:rsidRPr="008429C0" w:rsidRDefault="000121CA" w:rsidP="000121CA">
      <w:pPr>
        <w:pStyle w:val="Subtitle"/>
        <w:spacing w:after="120"/>
      </w:pPr>
      <w:r w:rsidRPr="008429C0">
        <w:lastRenderedPageBreak/>
        <w:t>Glossary</w:t>
      </w:r>
    </w:p>
    <w:p w14:paraId="31412B5C" w14:textId="77777777" w:rsidR="000121CA" w:rsidRPr="008429C0" w:rsidRDefault="000121CA" w:rsidP="000121CA">
      <w:pPr>
        <w:spacing w:before="120" w:after="120"/>
        <w:ind w:left="360" w:hanging="360"/>
        <w:rPr>
          <w:sz w:val="16"/>
          <w:szCs w:val="16"/>
        </w:rPr>
      </w:pPr>
      <w:r w:rsidRPr="008429C0">
        <w:rPr>
          <w:b/>
          <w:sz w:val="16"/>
          <w:szCs w:val="16"/>
        </w:rPr>
        <w:t>Homelessness</w:t>
      </w:r>
      <w:r w:rsidRPr="008429C0">
        <w:rPr>
          <w:sz w:val="16"/>
          <w:szCs w:val="16"/>
        </w:rPr>
        <w:t xml:space="preserve"> – a person is described as homeless when their current living arrangement is:</w:t>
      </w:r>
    </w:p>
    <w:p w14:paraId="2C29347A" w14:textId="77777777" w:rsidR="000121CA" w:rsidRPr="008429C0" w:rsidRDefault="000121CA" w:rsidP="000121CA">
      <w:pPr>
        <w:pStyle w:val="ListParagraph"/>
        <w:numPr>
          <w:ilvl w:val="0"/>
          <w:numId w:val="26"/>
        </w:numPr>
        <w:spacing w:before="120" w:after="120"/>
        <w:contextualSpacing/>
        <w:rPr>
          <w:sz w:val="16"/>
          <w:szCs w:val="16"/>
        </w:rPr>
      </w:pPr>
      <w:r w:rsidRPr="008429C0">
        <w:rPr>
          <w:sz w:val="16"/>
          <w:szCs w:val="16"/>
        </w:rPr>
        <w:t xml:space="preserve">in a dwelling that is inadequate; or </w:t>
      </w:r>
    </w:p>
    <w:p w14:paraId="43CEEDCF" w14:textId="77777777" w:rsidR="000121CA" w:rsidRPr="008429C0" w:rsidRDefault="000121CA" w:rsidP="000121CA">
      <w:pPr>
        <w:pStyle w:val="ListParagraph"/>
        <w:numPr>
          <w:ilvl w:val="0"/>
          <w:numId w:val="26"/>
        </w:numPr>
        <w:spacing w:before="120" w:after="120"/>
        <w:contextualSpacing/>
        <w:rPr>
          <w:sz w:val="16"/>
          <w:szCs w:val="16"/>
        </w:rPr>
      </w:pPr>
      <w:r w:rsidRPr="008429C0">
        <w:rPr>
          <w:sz w:val="16"/>
          <w:szCs w:val="16"/>
        </w:rPr>
        <w:t xml:space="preserve">has no tenure, or if their initial tenure is short and not extendable; or </w:t>
      </w:r>
    </w:p>
    <w:p w14:paraId="7485EE98" w14:textId="77777777" w:rsidR="000121CA" w:rsidRPr="008429C0" w:rsidRDefault="000121CA" w:rsidP="000121CA">
      <w:pPr>
        <w:pStyle w:val="ListParagraph"/>
        <w:numPr>
          <w:ilvl w:val="0"/>
          <w:numId w:val="26"/>
        </w:numPr>
        <w:spacing w:before="120" w:after="120"/>
        <w:contextualSpacing/>
        <w:rPr>
          <w:sz w:val="16"/>
          <w:szCs w:val="16"/>
        </w:rPr>
      </w:pPr>
      <w:r w:rsidRPr="008429C0">
        <w:rPr>
          <w:sz w:val="16"/>
          <w:szCs w:val="16"/>
        </w:rPr>
        <w:t xml:space="preserve">does not allow them to have control of, and access to space for social </w:t>
      </w:r>
      <w:proofErr w:type="gramStart"/>
      <w:r w:rsidRPr="008429C0">
        <w:rPr>
          <w:sz w:val="16"/>
          <w:szCs w:val="16"/>
        </w:rPr>
        <w:t>relations</w:t>
      </w:r>
      <w:proofErr w:type="gramEnd"/>
    </w:p>
    <w:p w14:paraId="511F3999" w14:textId="77777777" w:rsidR="000121CA" w:rsidRPr="008429C0" w:rsidRDefault="000121CA" w:rsidP="000121CA">
      <w:pPr>
        <w:spacing w:before="120" w:after="120"/>
        <w:rPr>
          <w:sz w:val="16"/>
          <w:szCs w:val="16"/>
        </w:rPr>
      </w:pPr>
      <w:r w:rsidRPr="008429C0">
        <w:rPr>
          <w:b/>
          <w:sz w:val="16"/>
          <w:szCs w:val="16"/>
        </w:rPr>
        <w:t>Hospital</w:t>
      </w:r>
      <w:r w:rsidRPr="008429C0">
        <w:rPr>
          <w:sz w:val="16"/>
          <w:szCs w:val="16"/>
        </w:rPr>
        <w:t xml:space="preserve"> – includes public hospitals, private hospitals, and psychiatric hospitals or institutions.</w:t>
      </w:r>
    </w:p>
    <w:p w14:paraId="35F19081" w14:textId="77777777" w:rsidR="000121CA" w:rsidRPr="008429C0" w:rsidRDefault="000121CA" w:rsidP="000121CA">
      <w:pPr>
        <w:spacing w:before="120" w:after="120"/>
        <w:ind w:left="360" w:hanging="360"/>
        <w:rPr>
          <w:b/>
          <w:sz w:val="16"/>
          <w:szCs w:val="16"/>
        </w:rPr>
      </w:pPr>
      <w:r w:rsidRPr="008429C0">
        <w:rPr>
          <w:b/>
          <w:sz w:val="16"/>
          <w:szCs w:val="16"/>
        </w:rPr>
        <w:t>Housing costs</w:t>
      </w:r>
      <w:r w:rsidRPr="008429C0">
        <w:rPr>
          <w:sz w:val="16"/>
          <w:szCs w:val="16"/>
        </w:rPr>
        <w:t xml:space="preserve"> –</w:t>
      </w:r>
      <w:r w:rsidRPr="008429C0">
        <w:rPr>
          <w:b/>
          <w:sz w:val="16"/>
          <w:szCs w:val="16"/>
        </w:rPr>
        <w:t xml:space="preserve"> </w:t>
      </w:r>
      <w:r w:rsidRPr="008429C0">
        <w:rPr>
          <w:sz w:val="16"/>
          <w:szCs w:val="16"/>
        </w:rPr>
        <w:t>includes rent, interest payments on mortgages, rates, home and contents insurance and repairs and maintenance.</w:t>
      </w:r>
      <w:r w:rsidRPr="008429C0">
        <w:rPr>
          <w:b/>
          <w:sz w:val="16"/>
          <w:szCs w:val="16"/>
        </w:rPr>
        <w:t xml:space="preserve"> </w:t>
      </w:r>
    </w:p>
    <w:p w14:paraId="0F416A40" w14:textId="77777777" w:rsidR="000121CA" w:rsidRPr="008429C0" w:rsidRDefault="000121CA" w:rsidP="000121CA">
      <w:pPr>
        <w:spacing w:before="120" w:after="120"/>
        <w:ind w:left="360" w:hanging="360"/>
        <w:rPr>
          <w:sz w:val="16"/>
          <w:szCs w:val="16"/>
        </w:rPr>
      </w:pPr>
      <w:r w:rsidRPr="008429C0">
        <w:rPr>
          <w:b/>
          <w:sz w:val="16"/>
          <w:szCs w:val="16"/>
        </w:rPr>
        <w:t>Non-private dwelling</w:t>
      </w:r>
      <w:r w:rsidRPr="008429C0">
        <w:rPr>
          <w:sz w:val="16"/>
          <w:szCs w:val="16"/>
        </w:rPr>
        <w:t xml:space="preserve"> – dwellings that provide a communal or transitory type of accommodation. Categories include: hotel, motel, bed and breakfast, nurse’s quarters, staff quarters, boarding house, private hotel, boarding school, residential college, hall of residence, hostel for the disabled, hostel for homeless, night shelter, refuge, nursing home, accommodation for the retired or aged (not self-contained, childcare institution, corrective institution for children, other welfare institution, prison, corrective institution for adults, immigration detention centre, convent, monastery, etc. and other non-classifiable.</w:t>
      </w:r>
    </w:p>
    <w:p w14:paraId="5B95D45E" w14:textId="550EDAA5" w:rsidR="000121CA" w:rsidRPr="008429C0" w:rsidRDefault="000121CA" w:rsidP="000121CA">
      <w:pPr>
        <w:spacing w:before="120" w:after="120"/>
        <w:ind w:left="360" w:hanging="360"/>
        <w:rPr>
          <w:sz w:val="16"/>
          <w:szCs w:val="16"/>
        </w:rPr>
      </w:pPr>
      <w:r w:rsidRPr="008429C0">
        <w:rPr>
          <w:b/>
          <w:sz w:val="16"/>
          <w:szCs w:val="16"/>
        </w:rPr>
        <w:t>Place of enumeration</w:t>
      </w:r>
      <w:r w:rsidRPr="008429C0">
        <w:rPr>
          <w:sz w:val="16"/>
          <w:szCs w:val="16"/>
        </w:rPr>
        <w:t xml:space="preserve"> – the place at which the person is counted i.e. where he/she spent census night, which may not be where he/she usually lives. Due to certain data only being reported by place of enumeration, this will have minor effects on the data. Place of enumeration was </w:t>
      </w:r>
      <w:r w:rsidR="0095383D">
        <w:rPr>
          <w:sz w:val="16"/>
          <w:szCs w:val="16"/>
        </w:rPr>
        <w:t xml:space="preserve">generally </w:t>
      </w:r>
      <w:r w:rsidRPr="008429C0">
        <w:rPr>
          <w:sz w:val="16"/>
          <w:szCs w:val="16"/>
        </w:rPr>
        <w:t>used in this fact sheet as it is the only way in which ABS reports dwelling and household characteristics.</w:t>
      </w:r>
    </w:p>
    <w:p w14:paraId="1E01000E" w14:textId="77777777" w:rsidR="000121CA" w:rsidRPr="008429C0" w:rsidRDefault="000121CA" w:rsidP="000121CA">
      <w:pPr>
        <w:spacing w:before="120" w:after="120"/>
        <w:ind w:left="360" w:hanging="360"/>
        <w:rPr>
          <w:sz w:val="16"/>
          <w:szCs w:val="16"/>
        </w:rPr>
      </w:pPr>
      <w:r w:rsidRPr="008429C0">
        <w:rPr>
          <w:b/>
          <w:sz w:val="16"/>
          <w:szCs w:val="16"/>
        </w:rPr>
        <w:t>Private dwelling</w:t>
      </w:r>
      <w:r w:rsidRPr="008429C0">
        <w:rPr>
          <w:sz w:val="16"/>
          <w:szCs w:val="16"/>
        </w:rPr>
        <w:t xml:space="preserve"> – can be a house, flat, or even a room. It can also be a caravan, houseboat, tent, or a house attached to an office, or rooms above a shop. Occupied dwellings in caravan/residential parks are treated as occupied private dwellings.</w:t>
      </w:r>
    </w:p>
    <w:p w14:paraId="276BCDC3" w14:textId="77777777" w:rsidR="000121CA" w:rsidRPr="008429C0" w:rsidRDefault="000121CA" w:rsidP="000121CA">
      <w:pPr>
        <w:spacing w:before="120" w:after="120"/>
        <w:ind w:left="360" w:hanging="360"/>
        <w:rPr>
          <w:b/>
          <w:sz w:val="16"/>
          <w:szCs w:val="16"/>
        </w:rPr>
      </w:pPr>
      <w:r w:rsidRPr="008429C0">
        <w:rPr>
          <w:b/>
          <w:sz w:val="16"/>
          <w:szCs w:val="16"/>
        </w:rPr>
        <w:t>Residential Aged Care – there are two main types of residential age care:</w:t>
      </w:r>
    </w:p>
    <w:p w14:paraId="6DC17FEA" w14:textId="77777777" w:rsidR="000121CA" w:rsidRPr="008429C0" w:rsidRDefault="000121CA" w:rsidP="000121CA">
      <w:pPr>
        <w:pStyle w:val="ListParagraph"/>
        <w:numPr>
          <w:ilvl w:val="0"/>
          <w:numId w:val="27"/>
        </w:numPr>
        <w:spacing w:before="120" w:after="120"/>
        <w:ind w:left="567" w:hanging="141"/>
        <w:contextualSpacing/>
        <w:rPr>
          <w:sz w:val="16"/>
          <w:szCs w:val="16"/>
        </w:rPr>
      </w:pPr>
      <w:r w:rsidRPr="008429C0">
        <w:rPr>
          <w:b/>
          <w:sz w:val="16"/>
          <w:szCs w:val="16"/>
        </w:rPr>
        <w:t>Accommodation for the retired or aged</w:t>
      </w:r>
      <w:r w:rsidRPr="008429C0">
        <w:rPr>
          <w:sz w:val="16"/>
          <w:szCs w:val="16"/>
        </w:rPr>
        <w:t xml:space="preserve"> – refers to accommodation facilities which are not self-contained, with common living and eating facilities, provided for retired or aged people who are generally in good health and capable of looking after themselves.</w:t>
      </w:r>
    </w:p>
    <w:p w14:paraId="33551830" w14:textId="77777777" w:rsidR="000121CA" w:rsidRPr="008429C0" w:rsidRDefault="000121CA" w:rsidP="000121CA">
      <w:pPr>
        <w:pStyle w:val="ListParagraph"/>
        <w:numPr>
          <w:ilvl w:val="0"/>
          <w:numId w:val="27"/>
        </w:numPr>
        <w:spacing w:before="120" w:after="120"/>
        <w:ind w:left="567" w:hanging="141"/>
        <w:contextualSpacing/>
        <w:rPr>
          <w:sz w:val="16"/>
          <w:szCs w:val="16"/>
        </w:rPr>
      </w:pPr>
      <w:r w:rsidRPr="008429C0">
        <w:rPr>
          <w:b/>
          <w:sz w:val="16"/>
          <w:szCs w:val="16"/>
        </w:rPr>
        <w:t xml:space="preserve">Nursing home </w:t>
      </w:r>
      <w:r w:rsidRPr="008429C0">
        <w:rPr>
          <w:sz w:val="16"/>
          <w:szCs w:val="16"/>
        </w:rPr>
        <w:t xml:space="preserve">– a residential aged care facility offering high level care for people who require a lot of assistance with activities of daily living such as feeding, dressing, </w:t>
      </w:r>
      <w:proofErr w:type="gramStart"/>
      <w:r w:rsidRPr="008429C0">
        <w:rPr>
          <w:sz w:val="16"/>
          <w:szCs w:val="16"/>
        </w:rPr>
        <w:t>cleaning</w:t>
      </w:r>
      <w:proofErr w:type="gramEnd"/>
      <w:r w:rsidRPr="008429C0">
        <w:rPr>
          <w:sz w:val="16"/>
          <w:szCs w:val="16"/>
        </w:rPr>
        <w:t xml:space="preserve"> and mobility. Previously known as 'nursing home care', high care is provided for people who require almost complete assistance with most daily living activities. It includes accommodation, meals, laundry, room cleaning and personal care. Nursing staff at the aged care home manage the medical needs.</w:t>
      </w:r>
    </w:p>
    <w:p w14:paraId="628DBDBB" w14:textId="77777777" w:rsidR="000121CA" w:rsidRPr="008429C0" w:rsidRDefault="000121CA" w:rsidP="000121CA">
      <w:pPr>
        <w:spacing w:before="120" w:after="120"/>
        <w:rPr>
          <w:sz w:val="16"/>
          <w:szCs w:val="16"/>
        </w:rPr>
      </w:pPr>
      <w:r w:rsidRPr="008429C0">
        <w:rPr>
          <w:sz w:val="16"/>
          <w:szCs w:val="16"/>
        </w:rPr>
        <w:t xml:space="preserve">Note that use (or non-use) of these two terms vary across the </w:t>
      </w:r>
      <w:proofErr w:type="gramStart"/>
      <w:r w:rsidRPr="008429C0">
        <w:rPr>
          <w:sz w:val="16"/>
          <w:szCs w:val="16"/>
        </w:rPr>
        <w:t>aged cared</w:t>
      </w:r>
      <w:proofErr w:type="gramEnd"/>
      <w:r w:rsidRPr="008429C0">
        <w:rPr>
          <w:sz w:val="16"/>
          <w:szCs w:val="16"/>
        </w:rPr>
        <w:t xml:space="preserve"> sector – the terms used in this report adhere to the descriptors used by the Australian Bureau of Statistics in the collection and dissemination of census data, as it is census data presented in this fact sheet.</w:t>
      </w:r>
    </w:p>
    <w:p w14:paraId="72B49608" w14:textId="77777777" w:rsidR="000121CA" w:rsidRPr="008429C0" w:rsidRDefault="000121CA" w:rsidP="000121CA">
      <w:pPr>
        <w:spacing w:before="120" w:after="120"/>
        <w:ind w:left="360" w:hanging="360"/>
        <w:rPr>
          <w:sz w:val="16"/>
          <w:szCs w:val="16"/>
        </w:rPr>
      </w:pPr>
      <w:r w:rsidRPr="008429C0">
        <w:rPr>
          <w:b/>
          <w:sz w:val="16"/>
          <w:szCs w:val="16"/>
        </w:rPr>
        <w:t>Severely crowded dwelling</w:t>
      </w:r>
      <w:r w:rsidRPr="008429C0">
        <w:rPr>
          <w:sz w:val="16"/>
          <w:szCs w:val="16"/>
        </w:rPr>
        <w:t xml:space="preserve"> – a dwelling is severely crowded if to adequately house all usual residents of the dwelling, four or more extra bedrooms would be required.</w:t>
      </w:r>
    </w:p>
    <w:p w14:paraId="14ECAEB7" w14:textId="77777777" w:rsidR="000121CA" w:rsidRPr="008429C0" w:rsidRDefault="000121CA" w:rsidP="000121CA">
      <w:pPr>
        <w:spacing w:before="120" w:after="120"/>
        <w:ind w:left="360" w:hanging="360"/>
        <w:rPr>
          <w:sz w:val="16"/>
          <w:szCs w:val="16"/>
        </w:rPr>
      </w:pPr>
      <w:r w:rsidRPr="008429C0">
        <w:rPr>
          <w:b/>
          <w:sz w:val="16"/>
          <w:szCs w:val="16"/>
        </w:rPr>
        <w:t>Tenure</w:t>
      </w:r>
      <w:r w:rsidRPr="008429C0">
        <w:rPr>
          <w:sz w:val="16"/>
          <w:szCs w:val="16"/>
        </w:rPr>
        <w:t xml:space="preserve"> – housing tenure refers to the financial arrangements under which someone has the right to live in a house or apartment. Tenure types include owned outright, owned with a </w:t>
      </w:r>
      <w:proofErr w:type="gramStart"/>
      <w:r w:rsidRPr="008429C0">
        <w:rPr>
          <w:sz w:val="16"/>
          <w:szCs w:val="16"/>
        </w:rPr>
        <w:t>mortgage</w:t>
      </w:r>
      <w:proofErr w:type="gramEnd"/>
      <w:r w:rsidRPr="008429C0">
        <w:rPr>
          <w:sz w:val="16"/>
          <w:szCs w:val="16"/>
        </w:rPr>
        <w:t xml:space="preserve"> and rented.</w:t>
      </w:r>
    </w:p>
    <w:p w14:paraId="56F7550E" w14:textId="77777777" w:rsidR="000121CA" w:rsidRPr="008429C0" w:rsidRDefault="000121CA" w:rsidP="000121CA">
      <w:pPr>
        <w:spacing w:before="120" w:after="0" w:line="360" w:lineRule="auto"/>
        <w:rPr>
          <w:sz w:val="16"/>
          <w:szCs w:val="16"/>
        </w:rPr>
      </w:pPr>
    </w:p>
    <w:p w14:paraId="4022FD62" w14:textId="77777777" w:rsidR="001D5AE1" w:rsidRDefault="001D5AE1">
      <w:pPr>
        <w:spacing w:before="60" w:after="60" w:line="240" w:lineRule="auto"/>
        <w:rPr>
          <w:rFonts w:cs="Arial"/>
          <w:sz w:val="36"/>
          <w:szCs w:val="36"/>
        </w:rPr>
      </w:pPr>
      <w:r>
        <w:br w:type="page"/>
      </w:r>
    </w:p>
    <w:p w14:paraId="6986EB3A" w14:textId="29947A42" w:rsidR="000121CA" w:rsidRPr="008429C0" w:rsidRDefault="000121CA" w:rsidP="000121CA">
      <w:pPr>
        <w:pStyle w:val="Subtitle"/>
        <w:spacing w:after="120"/>
      </w:pPr>
      <w:r w:rsidRPr="008429C0">
        <w:lastRenderedPageBreak/>
        <w:t>Data notes</w:t>
      </w:r>
    </w:p>
    <w:p w14:paraId="77FAF48C" w14:textId="77777777" w:rsidR="000121CA" w:rsidRPr="008429C0" w:rsidRDefault="000121CA" w:rsidP="000121CA">
      <w:pPr>
        <w:pStyle w:val="ListParagraph"/>
        <w:numPr>
          <w:ilvl w:val="0"/>
          <w:numId w:val="25"/>
        </w:numPr>
        <w:spacing w:before="120" w:after="0" w:line="240" w:lineRule="auto"/>
        <w:ind w:left="357" w:hanging="357"/>
        <w:rPr>
          <w:sz w:val="16"/>
          <w:szCs w:val="16"/>
        </w:rPr>
      </w:pPr>
      <w:r w:rsidRPr="008429C0">
        <w:rPr>
          <w:sz w:val="16"/>
          <w:szCs w:val="16"/>
        </w:rPr>
        <w:t xml:space="preserve">All data in this fact sheet were the most recent at the time of preparation and represent Queensland-specific data unless otherwise specified. Data in this fact sheet may differ from data in other publications due to revisions and different calculation methods.  </w:t>
      </w:r>
    </w:p>
    <w:p w14:paraId="71848EF3" w14:textId="77777777" w:rsidR="000121CA" w:rsidRPr="008429C0" w:rsidRDefault="000121CA" w:rsidP="000121CA">
      <w:pPr>
        <w:pStyle w:val="ListParagraph"/>
        <w:numPr>
          <w:ilvl w:val="0"/>
          <w:numId w:val="25"/>
        </w:numPr>
        <w:spacing w:before="120" w:after="0" w:line="240" w:lineRule="auto"/>
        <w:ind w:left="357" w:hanging="357"/>
        <w:rPr>
          <w:sz w:val="16"/>
          <w:szCs w:val="16"/>
        </w:rPr>
      </w:pPr>
      <w:r w:rsidRPr="008429C0">
        <w:rPr>
          <w:sz w:val="16"/>
          <w:szCs w:val="16"/>
        </w:rPr>
        <w:t>All charts have been produced by the Queensland Government Statistician’s Office.</w:t>
      </w:r>
    </w:p>
    <w:p w14:paraId="056CF64B" w14:textId="77777777" w:rsidR="000121CA" w:rsidRPr="008429C0" w:rsidRDefault="000121CA" w:rsidP="000121CA">
      <w:pPr>
        <w:pStyle w:val="ListParagraph"/>
        <w:numPr>
          <w:ilvl w:val="0"/>
          <w:numId w:val="25"/>
        </w:numPr>
        <w:spacing w:before="120" w:after="0" w:line="240" w:lineRule="auto"/>
        <w:rPr>
          <w:sz w:val="16"/>
          <w:szCs w:val="16"/>
        </w:rPr>
      </w:pPr>
      <w:r w:rsidRPr="008429C0">
        <w:rPr>
          <w:sz w:val="16"/>
          <w:szCs w:val="16"/>
        </w:rPr>
        <w:t>Census analysis has used place of enumeration unless otherwise noted.</w:t>
      </w:r>
    </w:p>
    <w:p w14:paraId="40315205" w14:textId="77777777" w:rsidR="000121CA" w:rsidRDefault="000121CA" w:rsidP="000121CA">
      <w:pPr>
        <w:pStyle w:val="ListParagraph"/>
        <w:numPr>
          <w:ilvl w:val="0"/>
          <w:numId w:val="25"/>
        </w:numPr>
        <w:spacing w:before="120" w:after="0" w:line="240" w:lineRule="auto"/>
        <w:rPr>
          <w:sz w:val="16"/>
          <w:szCs w:val="16"/>
        </w:rPr>
      </w:pPr>
      <w:r w:rsidRPr="008429C0">
        <w:rPr>
          <w:sz w:val="16"/>
          <w:szCs w:val="16"/>
        </w:rPr>
        <w:t>Analysis on usual place of residence one and five years previous has used the usual place of residence instead of place of enumeration.</w:t>
      </w:r>
    </w:p>
    <w:p w14:paraId="0600A1CE" w14:textId="3BBBD2F6" w:rsidR="00141E07" w:rsidRPr="008429C0" w:rsidRDefault="00141E07" w:rsidP="000121CA">
      <w:pPr>
        <w:pStyle w:val="ListParagraph"/>
        <w:numPr>
          <w:ilvl w:val="0"/>
          <w:numId w:val="25"/>
        </w:numPr>
        <w:spacing w:before="120" w:after="0" w:line="240" w:lineRule="auto"/>
        <w:rPr>
          <w:sz w:val="16"/>
          <w:szCs w:val="16"/>
        </w:rPr>
      </w:pPr>
      <w:r>
        <w:rPr>
          <w:sz w:val="16"/>
          <w:szCs w:val="16"/>
        </w:rPr>
        <w:t>Analyses on widower status uses place of usual residence rather than enumeration.</w:t>
      </w:r>
    </w:p>
    <w:p w14:paraId="3F245B30" w14:textId="77777777" w:rsidR="000121CA" w:rsidRPr="008429C0" w:rsidRDefault="000121CA" w:rsidP="000121CA">
      <w:pPr>
        <w:pStyle w:val="ListParagraph"/>
        <w:numPr>
          <w:ilvl w:val="0"/>
          <w:numId w:val="25"/>
        </w:numPr>
        <w:spacing w:before="120" w:after="0" w:line="240" w:lineRule="auto"/>
        <w:rPr>
          <w:sz w:val="16"/>
          <w:szCs w:val="16"/>
        </w:rPr>
      </w:pPr>
      <w:r w:rsidRPr="008429C0">
        <w:rPr>
          <w:sz w:val="16"/>
          <w:szCs w:val="16"/>
        </w:rPr>
        <w:t>The number of people living in a dwelling only applies to people living in private dwellings, unless otherwise stated.</w:t>
      </w:r>
    </w:p>
    <w:p w14:paraId="70CB2450" w14:textId="60BE6F98" w:rsidR="000121CA" w:rsidRPr="008429C0" w:rsidRDefault="000121CA" w:rsidP="000121CA">
      <w:pPr>
        <w:pStyle w:val="ListParagraph"/>
        <w:numPr>
          <w:ilvl w:val="0"/>
          <w:numId w:val="25"/>
        </w:numPr>
        <w:spacing w:before="120" w:after="0" w:line="240" w:lineRule="auto"/>
        <w:rPr>
          <w:sz w:val="16"/>
          <w:szCs w:val="16"/>
        </w:rPr>
      </w:pPr>
      <w:r w:rsidRPr="008429C0">
        <w:rPr>
          <w:sz w:val="16"/>
          <w:szCs w:val="16"/>
        </w:rPr>
        <w:t xml:space="preserve">Counts of older Queenslanders used in this report are indicative </w:t>
      </w:r>
      <w:r w:rsidR="00636645" w:rsidRPr="008429C0">
        <w:rPr>
          <w:sz w:val="16"/>
          <w:szCs w:val="16"/>
        </w:rPr>
        <w:t>only and</w:t>
      </w:r>
      <w:r w:rsidRPr="008429C0">
        <w:rPr>
          <w:sz w:val="16"/>
          <w:szCs w:val="16"/>
        </w:rPr>
        <w:t xml:space="preserve"> have been rounded to the nearest 10. </w:t>
      </w:r>
    </w:p>
    <w:p w14:paraId="3C3D1623" w14:textId="77777777" w:rsidR="000121CA" w:rsidRPr="008429C0" w:rsidRDefault="000121CA" w:rsidP="000121CA">
      <w:pPr>
        <w:spacing w:before="120" w:after="0" w:line="360" w:lineRule="auto"/>
        <w:rPr>
          <w:sz w:val="16"/>
          <w:szCs w:val="16"/>
        </w:rPr>
      </w:pPr>
    </w:p>
    <w:p w14:paraId="0E8706F9" w14:textId="77777777" w:rsidR="000121CA" w:rsidRPr="008429C0" w:rsidRDefault="000121CA" w:rsidP="000121CA">
      <w:pPr>
        <w:pStyle w:val="Subtitle"/>
        <w:spacing w:after="120"/>
      </w:pPr>
      <w:r w:rsidRPr="008429C0">
        <w:t>Data sources</w:t>
      </w:r>
    </w:p>
    <w:p w14:paraId="6D233228" w14:textId="4249D853" w:rsidR="000121CA" w:rsidRPr="008429C0" w:rsidRDefault="000121CA" w:rsidP="000121CA">
      <w:pPr>
        <w:spacing w:before="120" w:after="0" w:line="360" w:lineRule="auto"/>
        <w:rPr>
          <w:sz w:val="16"/>
          <w:szCs w:val="16"/>
        </w:rPr>
      </w:pPr>
      <w:r w:rsidRPr="008429C0">
        <w:rPr>
          <w:sz w:val="16"/>
          <w:szCs w:val="16"/>
        </w:rPr>
        <w:t xml:space="preserve">ABS 2073.0 </w:t>
      </w:r>
      <w:r w:rsidRPr="008429C0">
        <w:rPr>
          <w:i/>
          <w:sz w:val="16"/>
          <w:szCs w:val="16"/>
        </w:rPr>
        <w:t xml:space="preserve">Census of Population and Housing: </w:t>
      </w:r>
      <w:proofErr w:type="spellStart"/>
      <w:r w:rsidRPr="008429C0">
        <w:rPr>
          <w:i/>
          <w:sz w:val="16"/>
          <w:szCs w:val="16"/>
        </w:rPr>
        <w:t>TableBuilder</w:t>
      </w:r>
      <w:proofErr w:type="spellEnd"/>
      <w:r w:rsidRPr="008429C0">
        <w:rPr>
          <w:i/>
          <w:sz w:val="16"/>
          <w:szCs w:val="16"/>
        </w:rPr>
        <w:t xml:space="preserve"> Pro, Australia,</w:t>
      </w:r>
      <w:r w:rsidRPr="008429C0">
        <w:rPr>
          <w:sz w:val="16"/>
          <w:szCs w:val="16"/>
        </w:rPr>
        <w:t xml:space="preserve"> </w:t>
      </w:r>
      <w:r w:rsidR="005D4E5B">
        <w:rPr>
          <w:sz w:val="16"/>
          <w:szCs w:val="16"/>
        </w:rPr>
        <w:t>various editions</w:t>
      </w:r>
      <w:r w:rsidRPr="008429C0">
        <w:rPr>
          <w:sz w:val="16"/>
          <w:szCs w:val="16"/>
        </w:rPr>
        <w:t>.</w:t>
      </w:r>
    </w:p>
    <w:p w14:paraId="7A480F1B" w14:textId="4F2CF457" w:rsidR="000121CA" w:rsidRPr="008429C0" w:rsidRDefault="000121CA" w:rsidP="000121CA">
      <w:pPr>
        <w:spacing w:before="120" w:after="0" w:line="360" w:lineRule="auto"/>
        <w:rPr>
          <w:sz w:val="16"/>
          <w:szCs w:val="16"/>
        </w:rPr>
      </w:pPr>
      <w:r w:rsidRPr="008429C0">
        <w:rPr>
          <w:sz w:val="16"/>
          <w:szCs w:val="16"/>
        </w:rPr>
        <w:t xml:space="preserve">ABS 2049.0 </w:t>
      </w:r>
      <w:r w:rsidRPr="008429C0">
        <w:rPr>
          <w:i/>
          <w:sz w:val="16"/>
          <w:szCs w:val="16"/>
        </w:rPr>
        <w:t>Census of Population and Housing: Estimating homelessness</w:t>
      </w:r>
      <w:r w:rsidRPr="008429C0">
        <w:rPr>
          <w:sz w:val="16"/>
          <w:szCs w:val="16"/>
        </w:rPr>
        <w:t xml:space="preserve">, </w:t>
      </w:r>
      <w:r w:rsidR="005D4E5B">
        <w:rPr>
          <w:sz w:val="16"/>
          <w:szCs w:val="16"/>
        </w:rPr>
        <w:t>2021</w:t>
      </w:r>
      <w:r w:rsidRPr="008429C0">
        <w:rPr>
          <w:sz w:val="16"/>
          <w:szCs w:val="16"/>
        </w:rPr>
        <w:t>.</w:t>
      </w:r>
    </w:p>
    <w:p w14:paraId="39787246" w14:textId="21657F54" w:rsidR="000121CA" w:rsidRPr="008429C0" w:rsidRDefault="000121CA" w:rsidP="000121CA">
      <w:pPr>
        <w:spacing w:before="120" w:after="0" w:line="240" w:lineRule="auto"/>
        <w:rPr>
          <w:sz w:val="16"/>
          <w:szCs w:val="16"/>
        </w:rPr>
      </w:pPr>
      <w:r w:rsidRPr="008429C0">
        <w:rPr>
          <w:sz w:val="16"/>
          <w:szCs w:val="16"/>
        </w:rPr>
        <w:t xml:space="preserve">Productivity Commission, </w:t>
      </w:r>
      <w:r w:rsidRPr="008429C0">
        <w:rPr>
          <w:i/>
          <w:sz w:val="16"/>
          <w:szCs w:val="16"/>
        </w:rPr>
        <w:t>Report on Government Services</w:t>
      </w:r>
      <w:r w:rsidRPr="008429C0">
        <w:rPr>
          <w:sz w:val="16"/>
          <w:szCs w:val="16"/>
        </w:rPr>
        <w:t>, Part F, Chapter 14 (Aged care services), 20</w:t>
      </w:r>
      <w:r w:rsidR="00E20F29">
        <w:rPr>
          <w:sz w:val="16"/>
          <w:szCs w:val="16"/>
        </w:rPr>
        <w:t>2</w:t>
      </w:r>
      <w:r w:rsidR="00692CF6">
        <w:rPr>
          <w:sz w:val="16"/>
          <w:szCs w:val="16"/>
        </w:rPr>
        <w:t>4</w:t>
      </w:r>
      <w:r w:rsidRPr="008429C0">
        <w:rPr>
          <w:sz w:val="16"/>
          <w:szCs w:val="16"/>
        </w:rPr>
        <w:t>.</w:t>
      </w:r>
    </w:p>
    <w:p w14:paraId="5CC4BDD2" w14:textId="6D772713" w:rsidR="000121CA" w:rsidRPr="008429C0" w:rsidRDefault="000121CA" w:rsidP="000121CA">
      <w:pPr>
        <w:spacing w:before="120" w:after="0" w:line="240" w:lineRule="auto"/>
        <w:rPr>
          <w:sz w:val="16"/>
          <w:szCs w:val="16"/>
        </w:rPr>
      </w:pPr>
      <w:bookmarkStart w:id="18" w:name="OLE_LINK1"/>
      <w:r w:rsidRPr="008429C0">
        <w:rPr>
          <w:sz w:val="16"/>
          <w:szCs w:val="16"/>
        </w:rPr>
        <w:t xml:space="preserve">Australian Institute of Health and Welfare, </w:t>
      </w:r>
      <w:r w:rsidRPr="008429C0">
        <w:rPr>
          <w:i/>
          <w:sz w:val="16"/>
          <w:szCs w:val="16"/>
        </w:rPr>
        <w:t>Specialist homelessness services annual report 20</w:t>
      </w:r>
      <w:r w:rsidR="007D4FCC">
        <w:rPr>
          <w:i/>
          <w:sz w:val="16"/>
          <w:szCs w:val="16"/>
        </w:rPr>
        <w:t>22</w:t>
      </w:r>
      <w:r w:rsidRPr="008429C0">
        <w:rPr>
          <w:i/>
          <w:sz w:val="16"/>
          <w:szCs w:val="16"/>
        </w:rPr>
        <w:t>–</w:t>
      </w:r>
      <w:r w:rsidR="007D4FCC">
        <w:rPr>
          <w:i/>
          <w:sz w:val="16"/>
          <w:szCs w:val="16"/>
        </w:rPr>
        <w:t>23</w:t>
      </w:r>
      <w:r w:rsidRPr="008429C0">
        <w:rPr>
          <w:sz w:val="16"/>
          <w:szCs w:val="16"/>
        </w:rPr>
        <w:t xml:space="preserve"> supplementary data tables - Queensland, February 20</w:t>
      </w:r>
      <w:r w:rsidR="007D4FCC">
        <w:rPr>
          <w:sz w:val="16"/>
          <w:szCs w:val="16"/>
        </w:rPr>
        <w:t>24</w:t>
      </w:r>
      <w:r w:rsidRPr="008429C0">
        <w:rPr>
          <w:sz w:val="16"/>
          <w:szCs w:val="16"/>
        </w:rPr>
        <w:t>.</w:t>
      </w:r>
      <w:bookmarkEnd w:id="18"/>
    </w:p>
    <w:p w14:paraId="29D43615" w14:textId="77777777" w:rsidR="000121CA" w:rsidRPr="008429C0" w:rsidRDefault="000121CA" w:rsidP="000121CA">
      <w:pPr>
        <w:spacing w:after="0" w:line="360" w:lineRule="auto"/>
        <w:rPr>
          <w:sz w:val="16"/>
          <w:szCs w:val="16"/>
        </w:rPr>
      </w:pPr>
    </w:p>
    <w:p w14:paraId="252DE719" w14:textId="77777777" w:rsidR="000121CA" w:rsidRDefault="000121CA" w:rsidP="000121CA">
      <w:pPr>
        <w:pStyle w:val="Subtitle"/>
        <w:spacing w:after="120"/>
      </w:pPr>
      <w:r w:rsidRPr="008429C0">
        <w:t>References</w:t>
      </w:r>
    </w:p>
    <w:p w14:paraId="482B7218" w14:textId="6BD88960" w:rsidR="00B45CEA" w:rsidRPr="0069027D" w:rsidRDefault="0069027D" w:rsidP="0069027D">
      <w:pPr>
        <w:spacing w:line="240" w:lineRule="auto"/>
        <w:rPr>
          <w:sz w:val="16"/>
          <w:szCs w:val="16"/>
        </w:rPr>
      </w:pPr>
      <w:r w:rsidRPr="0069027D">
        <w:rPr>
          <w:sz w:val="16"/>
          <w:szCs w:val="16"/>
        </w:rPr>
        <w:t xml:space="preserve">James, A., Rowley, S., Stone, W., Parkinson, S. Spinney, A. and Reynolds, M. (2019) </w:t>
      </w:r>
      <w:r w:rsidRPr="0069027D">
        <w:rPr>
          <w:i/>
          <w:iCs/>
          <w:sz w:val="16"/>
          <w:szCs w:val="16"/>
        </w:rPr>
        <w:t>Older Australians and the housing aspirations gap</w:t>
      </w:r>
      <w:r w:rsidRPr="0069027D">
        <w:rPr>
          <w:sz w:val="16"/>
          <w:szCs w:val="16"/>
        </w:rPr>
        <w:t xml:space="preserve">, AHURI Final Report 317, Australian Housing and Urban Research Institute Limited, Melbourne, http://www.ahuri.edu.au/research/final-reports/317, </w:t>
      </w:r>
      <w:proofErr w:type="spellStart"/>
      <w:r w:rsidRPr="0069027D">
        <w:rPr>
          <w:sz w:val="16"/>
          <w:szCs w:val="16"/>
        </w:rPr>
        <w:t>doi</w:t>
      </w:r>
      <w:proofErr w:type="spellEnd"/>
      <w:r w:rsidRPr="0069027D">
        <w:rPr>
          <w:sz w:val="16"/>
          <w:szCs w:val="16"/>
        </w:rPr>
        <w:t>: 10.18408/ahuri-8117301</w:t>
      </w:r>
    </w:p>
    <w:p w14:paraId="097A284C" w14:textId="663AC363" w:rsidR="000121CA" w:rsidRDefault="00B45CEA" w:rsidP="00A4649F">
      <w:pPr>
        <w:rPr>
          <w:sz w:val="16"/>
          <w:szCs w:val="16"/>
        </w:rPr>
      </w:pPr>
      <w:r w:rsidRPr="00B45CEA">
        <w:rPr>
          <w:sz w:val="16"/>
          <w:szCs w:val="16"/>
        </w:rPr>
        <w:t xml:space="preserve">Productivity Commission 2015, </w:t>
      </w:r>
      <w:r w:rsidRPr="00B45CEA">
        <w:rPr>
          <w:i/>
          <w:iCs/>
          <w:sz w:val="16"/>
          <w:szCs w:val="16"/>
        </w:rPr>
        <w:t>Housing Decisions of Older Australians</w:t>
      </w:r>
      <w:r w:rsidRPr="00B45CEA">
        <w:rPr>
          <w:sz w:val="16"/>
          <w:szCs w:val="16"/>
        </w:rPr>
        <w:t>, Commission Research Paper, Canberra</w:t>
      </w:r>
      <w:r w:rsidR="00A4649F">
        <w:rPr>
          <w:sz w:val="16"/>
          <w:szCs w:val="16"/>
        </w:rPr>
        <w:t>.</w:t>
      </w:r>
    </w:p>
    <w:sectPr w:rsidR="000121CA" w:rsidSect="009A61C4">
      <w:headerReference w:type="even" r:id="rId21"/>
      <w:headerReference w:type="default" r:id="rId22"/>
      <w:footerReference w:type="even" r:id="rId23"/>
      <w:footerReference w:type="default" r:id="rId24"/>
      <w:headerReference w:type="first" r:id="rId25"/>
      <w:footerReference w:type="first" r:id="rId26"/>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F0B2" w14:textId="77777777" w:rsidR="009A61C4" w:rsidRDefault="009A61C4" w:rsidP="00421CC3">
      <w:r>
        <w:separator/>
      </w:r>
    </w:p>
    <w:p w14:paraId="6CE297C8" w14:textId="77777777" w:rsidR="009A61C4" w:rsidRDefault="009A61C4"/>
  </w:endnote>
  <w:endnote w:type="continuationSeparator" w:id="0">
    <w:p w14:paraId="470C8987" w14:textId="77777777" w:rsidR="009A61C4" w:rsidRDefault="009A61C4" w:rsidP="00421CC3">
      <w:r>
        <w:continuationSeparator/>
      </w:r>
    </w:p>
    <w:p w14:paraId="4704CD12" w14:textId="77777777" w:rsidR="009A61C4" w:rsidRDefault="009A61C4"/>
  </w:endnote>
  <w:endnote w:type="continuationNotice" w:id="1">
    <w:p w14:paraId="7E14BE03" w14:textId="77777777" w:rsidR="009A61C4" w:rsidRDefault="009A61C4">
      <w:pPr>
        <w:spacing w:after="0" w:line="240" w:lineRule="auto"/>
      </w:pPr>
    </w:p>
  </w:endnote>
  <w:endnote w:id="2">
    <w:p w14:paraId="0218DE4E" w14:textId="77777777" w:rsidR="000121CA" w:rsidRDefault="000121CA" w:rsidP="000121CA">
      <w:pPr>
        <w:pStyle w:val="EndnoteText"/>
        <w:tabs>
          <w:tab w:val="left" w:pos="284"/>
        </w:tabs>
        <w:spacing w:before="120"/>
        <w:ind w:left="284" w:hanging="284"/>
      </w:pPr>
      <w:r w:rsidRPr="00F43F66">
        <w:t>3</w:t>
      </w:r>
      <w:r w:rsidRPr="00F43F66">
        <w:tab/>
      </w:r>
      <w:r w:rsidRPr="00A4649F">
        <w:rPr>
          <w:sz w:val="20"/>
          <w:szCs w:val="18"/>
        </w:rPr>
        <w:t>Proportions calculated as a percentage of older Queenslanders who were counted in a private dwelling on Census night and answered the question on dwelling tenure. For example, there were 60,496 older Queenslanders who did not state the tenure type of the dwelling they were counted in on Census night, 2016</w:t>
      </w:r>
      <w:r w:rsidRPr="00A4649F">
        <w:rPr>
          <w:rFonts w:cs="Arial"/>
          <w:sz w:val="20"/>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B551" w14:textId="77777777" w:rsidR="009B6511" w:rsidRDefault="009B6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6BC1" w14:textId="77777777" w:rsidR="009B6511" w:rsidRDefault="009B6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FE7" w14:textId="77777777" w:rsidR="009B6511" w:rsidRDefault="009B6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0B9D" w14:textId="77777777" w:rsidR="009A61C4" w:rsidRDefault="009A61C4" w:rsidP="00FD2073">
      <w:pPr>
        <w:spacing w:after="20"/>
        <w:ind w:right="284"/>
      </w:pPr>
      <w:r>
        <w:separator/>
      </w:r>
    </w:p>
  </w:footnote>
  <w:footnote w:type="continuationSeparator" w:id="0">
    <w:p w14:paraId="67ABBBA0" w14:textId="77777777" w:rsidR="009A61C4" w:rsidRDefault="009A61C4" w:rsidP="00FD2073">
      <w:pPr>
        <w:spacing w:after="20"/>
      </w:pPr>
      <w:r>
        <w:continuationSeparator/>
      </w:r>
    </w:p>
  </w:footnote>
  <w:footnote w:type="continuationNotice" w:id="1">
    <w:p w14:paraId="271EDD7C" w14:textId="77777777" w:rsidR="009A61C4" w:rsidRDefault="009A61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4F6" w14:textId="77777777" w:rsidR="00CC6FAC" w:rsidRDefault="00857CAE">
    <w:pPr>
      <w:pStyle w:val="Header"/>
    </w:pPr>
    <w:r>
      <w:rPr>
        <w:noProof/>
      </w:rPr>
      <w:pict w14:anchorId="1E55C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32" type="#_x0000_t136" style="position:absolute;margin-left:0;margin-top:0;width:608.65pt;height:110.65pt;rotation:315;z-index:-251658239;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0A5F" w14:textId="77777777" w:rsidR="009B6511" w:rsidRDefault="009B6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B928" w14:textId="77777777" w:rsidR="00CC6FAC" w:rsidRDefault="00857CAE">
    <w:pPr>
      <w:pStyle w:val="Header"/>
    </w:pPr>
    <w:r>
      <w:rPr>
        <w:noProof/>
      </w:rPr>
      <w:pict w14:anchorId="5AC88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1031" type="#_x0000_t136" style="position:absolute;margin-left:0;margin-top:0;width:608.65pt;height:110.65pt;rotation:315;z-index:-251658240;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8D6285"/>
    <w:multiLevelType w:val="hybridMultilevel"/>
    <w:tmpl w:val="806628AC"/>
    <w:lvl w:ilvl="0" w:tplc="1780E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063B3"/>
    <w:multiLevelType w:val="hybridMultilevel"/>
    <w:tmpl w:val="DB1E8B52"/>
    <w:lvl w:ilvl="0" w:tplc="87809C0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1F58BA"/>
    <w:multiLevelType w:val="hybridMultilevel"/>
    <w:tmpl w:val="3808F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AA397A"/>
    <w:multiLevelType w:val="hybridMultilevel"/>
    <w:tmpl w:val="8CDC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846C9"/>
    <w:multiLevelType w:val="hybridMultilevel"/>
    <w:tmpl w:val="7E424B8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35577E59"/>
    <w:multiLevelType w:val="hybridMultilevel"/>
    <w:tmpl w:val="D97E3F00"/>
    <w:lvl w:ilvl="0" w:tplc="617E93EC">
      <w:start w:val="1"/>
      <w:numFmt w:val="bullet"/>
      <w:lvlText w:val=""/>
      <w:lvlJc w:val="left"/>
      <w:pPr>
        <w:tabs>
          <w:tab w:val="num" w:pos="720"/>
        </w:tabs>
        <w:ind w:left="720" w:hanging="360"/>
      </w:pPr>
      <w:rPr>
        <w:rFonts w:ascii="Symbol" w:hAnsi="Symbol" w:hint="default"/>
      </w:rPr>
    </w:lvl>
    <w:lvl w:ilvl="1" w:tplc="50E8323A" w:tentative="1">
      <w:start w:val="1"/>
      <w:numFmt w:val="bullet"/>
      <w:lvlText w:val=""/>
      <w:lvlJc w:val="left"/>
      <w:pPr>
        <w:tabs>
          <w:tab w:val="num" w:pos="1440"/>
        </w:tabs>
        <w:ind w:left="1440" w:hanging="360"/>
      </w:pPr>
      <w:rPr>
        <w:rFonts w:ascii="Symbol" w:hAnsi="Symbol" w:hint="default"/>
      </w:rPr>
    </w:lvl>
    <w:lvl w:ilvl="2" w:tplc="6B647B76" w:tentative="1">
      <w:start w:val="1"/>
      <w:numFmt w:val="bullet"/>
      <w:lvlText w:val=""/>
      <w:lvlJc w:val="left"/>
      <w:pPr>
        <w:tabs>
          <w:tab w:val="num" w:pos="2160"/>
        </w:tabs>
        <w:ind w:left="2160" w:hanging="360"/>
      </w:pPr>
      <w:rPr>
        <w:rFonts w:ascii="Symbol" w:hAnsi="Symbol" w:hint="default"/>
      </w:rPr>
    </w:lvl>
    <w:lvl w:ilvl="3" w:tplc="DB98D2C0" w:tentative="1">
      <w:start w:val="1"/>
      <w:numFmt w:val="bullet"/>
      <w:lvlText w:val=""/>
      <w:lvlJc w:val="left"/>
      <w:pPr>
        <w:tabs>
          <w:tab w:val="num" w:pos="2880"/>
        </w:tabs>
        <w:ind w:left="2880" w:hanging="360"/>
      </w:pPr>
      <w:rPr>
        <w:rFonts w:ascii="Symbol" w:hAnsi="Symbol" w:hint="default"/>
      </w:rPr>
    </w:lvl>
    <w:lvl w:ilvl="4" w:tplc="ADAC39AA" w:tentative="1">
      <w:start w:val="1"/>
      <w:numFmt w:val="bullet"/>
      <w:lvlText w:val=""/>
      <w:lvlJc w:val="left"/>
      <w:pPr>
        <w:tabs>
          <w:tab w:val="num" w:pos="3600"/>
        </w:tabs>
        <w:ind w:left="3600" w:hanging="360"/>
      </w:pPr>
      <w:rPr>
        <w:rFonts w:ascii="Symbol" w:hAnsi="Symbol" w:hint="default"/>
      </w:rPr>
    </w:lvl>
    <w:lvl w:ilvl="5" w:tplc="93A23EE8" w:tentative="1">
      <w:start w:val="1"/>
      <w:numFmt w:val="bullet"/>
      <w:lvlText w:val=""/>
      <w:lvlJc w:val="left"/>
      <w:pPr>
        <w:tabs>
          <w:tab w:val="num" w:pos="4320"/>
        </w:tabs>
        <w:ind w:left="4320" w:hanging="360"/>
      </w:pPr>
      <w:rPr>
        <w:rFonts w:ascii="Symbol" w:hAnsi="Symbol" w:hint="default"/>
      </w:rPr>
    </w:lvl>
    <w:lvl w:ilvl="6" w:tplc="BC6E78C4" w:tentative="1">
      <w:start w:val="1"/>
      <w:numFmt w:val="bullet"/>
      <w:lvlText w:val=""/>
      <w:lvlJc w:val="left"/>
      <w:pPr>
        <w:tabs>
          <w:tab w:val="num" w:pos="5040"/>
        </w:tabs>
        <w:ind w:left="5040" w:hanging="360"/>
      </w:pPr>
      <w:rPr>
        <w:rFonts w:ascii="Symbol" w:hAnsi="Symbol" w:hint="default"/>
      </w:rPr>
    </w:lvl>
    <w:lvl w:ilvl="7" w:tplc="95100398" w:tentative="1">
      <w:start w:val="1"/>
      <w:numFmt w:val="bullet"/>
      <w:lvlText w:val=""/>
      <w:lvlJc w:val="left"/>
      <w:pPr>
        <w:tabs>
          <w:tab w:val="num" w:pos="5760"/>
        </w:tabs>
        <w:ind w:left="5760" w:hanging="360"/>
      </w:pPr>
      <w:rPr>
        <w:rFonts w:ascii="Symbol" w:hAnsi="Symbol" w:hint="default"/>
      </w:rPr>
    </w:lvl>
    <w:lvl w:ilvl="8" w:tplc="2D9063E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5846F1"/>
    <w:multiLevelType w:val="hybridMultilevel"/>
    <w:tmpl w:val="A67A1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D1074F"/>
    <w:multiLevelType w:val="multilevel"/>
    <w:tmpl w:val="741001E8"/>
    <w:lvl w:ilvl="0">
      <w:start w:val="1"/>
      <w:numFmt w:val="decimal"/>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9D31D2"/>
    <w:multiLevelType w:val="hybridMultilevel"/>
    <w:tmpl w:val="F0EC10B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00276A"/>
    <w:multiLevelType w:val="multilevel"/>
    <w:tmpl w:val="83748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70922764">
    <w:abstractNumId w:val="2"/>
  </w:num>
  <w:num w:numId="2" w16cid:durableId="594094757">
    <w:abstractNumId w:val="1"/>
  </w:num>
  <w:num w:numId="3" w16cid:durableId="1569145818">
    <w:abstractNumId w:val="7"/>
  </w:num>
  <w:num w:numId="4" w16cid:durableId="954823332">
    <w:abstractNumId w:val="17"/>
  </w:num>
  <w:num w:numId="5" w16cid:durableId="428426382">
    <w:abstractNumId w:val="12"/>
  </w:num>
  <w:num w:numId="6" w16cid:durableId="1190727248">
    <w:abstractNumId w:val="5"/>
  </w:num>
  <w:num w:numId="7" w16cid:durableId="1019813584">
    <w:abstractNumId w:val="19"/>
  </w:num>
  <w:num w:numId="8" w16cid:durableId="1949002923">
    <w:abstractNumId w:val="16"/>
  </w:num>
  <w:num w:numId="9" w16cid:durableId="2024938736">
    <w:abstractNumId w:val="18"/>
  </w:num>
  <w:num w:numId="10" w16cid:durableId="1466041276">
    <w:abstractNumId w:val="8"/>
  </w:num>
  <w:num w:numId="11" w16cid:durableId="1358579974">
    <w:abstractNumId w:val="14"/>
  </w:num>
  <w:num w:numId="12" w16cid:durableId="347099322">
    <w:abstractNumId w:val="15"/>
  </w:num>
  <w:num w:numId="13" w16cid:durableId="346367445">
    <w:abstractNumId w:val="18"/>
  </w:num>
  <w:num w:numId="14" w16cid:durableId="1909461072">
    <w:abstractNumId w:val="18"/>
  </w:num>
  <w:num w:numId="15" w16cid:durableId="1298223215">
    <w:abstractNumId w:val="18"/>
  </w:num>
  <w:num w:numId="16" w16cid:durableId="973363888">
    <w:abstractNumId w:val="18"/>
    <w:lvlOverride w:ilvl="0">
      <w:startOverride w:val="1"/>
    </w:lvlOverride>
  </w:num>
  <w:num w:numId="17" w16cid:durableId="1808817089">
    <w:abstractNumId w:val="18"/>
    <w:lvlOverride w:ilvl="0">
      <w:startOverride w:val="1"/>
    </w:lvlOverride>
  </w:num>
  <w:num w:numId="18" w16cid:durableId="93283867">
    <w:abstractNumId w:val="0"/>
  </w:num>
  <w:num w:numId="19" w16cid:durableId="1288705723">
    <w:abstractNumId w:val="18"/>
    <w:lvlOverride w:ilvl="0">
      <w:startOverride w:val="1"/>
    </w:lvlOverride>
  </w:num>
  <w:num w:numId="20" w16cid:durableId="1731072659">
    <w:abstractNumId w:val="5"/>
    <w:lvlOverride w:ilvl="0">
      <w:startOverride w:val="1"/>
    </w:lvlOverride>
  </w:num>
  <w:num w:numId="21" w16cid:durableId="1105543870">
    <w:abstractNumId w:val="15"/>
    <w:lvlOverride w:ilvl="0">
      <w:startOverride w:val="1"/>
    </w:lvlOverride>
  </w:num>
  <w:num w:numId="22" w16cid:durableId="1654750695">
    <w:abstractNumId w:val="18"/>
    <w:lvlOverride w:ilvl="0">
      <w:startOverride w:val="1"/>
    </w:lvlOverride>
  </w:num>
  <w:num w:numId="23" w16cid:durableId="1519782122">
    <w:abstractNumId w:val="21"/>
  </w:num>
  <w:num w:numId="24" w16cid:durableId="1020470779">
    <w:abstractNumId w:val="6"/>
  </w:num>
  <w:num w:numId="25" w16cid:durableId="1549142719">
    <w:abstractNumId w:val="20"/>
  </w:num>
  <w:num w:numId="26" w16cid:durableId="1316644639">
    <w:abstractNumId w:val="3"/>
  </w:num>
  <w:num w:numId="27" w16cid:durableId="1492722647">
    <w:abstractNumId w:val="13"/>
  </w:num>
  <w:num w:numId="28" w16cid:durableId="1865971675">
    <w:abstractNumId w:val="11"/>
  </w:num>
  <w:num w:numId="29" w16cid:durableId="1167794339">
    <w:abstractNumId w:val="10"/>
  </w:num>
  <w:num w:numId="30" w16cid:durableId="1023677328">
    <w:abstractNumId w:val="9"/>
  </w:num>
  <w:num w:numId="31" w16cid:durableId="1172377942">
    <w:abstractNumId w:val="16"/>
  </w:num>
  <w:num w:numId="32" w16cid:durableId="534388878">
    <w:abstractNumId w:val="16"/>
  </w:num>
  <w:num w:numId="33" w16cid:durableId="5625676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7C"/>
    <w:rsid w:val="000000D7"/>
    <w:rsid w:val="0000401D"/>
    <w:rsid w:val="00004AB8"/>
    <w:rsid w:val="00006188"/>
    <w:rsid w:val="0000658F"/>
    <w:rsid w:val="0000678A"/>
    <w:rsid w:val="000070FB"/>
    <w:rsid w:val="00007613"/>
    <w:rsid w:val="00010561"/>
    <w:rsid w:val="00010CEF"/>
    <w:rsid w:val="000113F6"/>
    <w:rsid w:val="000121CA"/>
    <w:rsid w:val="00013B66"/>
    <w:rsid w:val="0001415C"/>
    <w:rsid w:val="00015490"/>
    <w:rsid w:val="00017CD1"/>
    <w:rsid w:val="00017F81"/>
    <w:rsid w:val="000200B5"/>
    <w:rsid w:val="00020258"/>
    <w:rsid w:val="00020DB7"/>
    <w:rsid w:val="00021CAA"/>
    <w:rsid w:val="00022003"/>
    <w:rsid w:val="00022408"/>
    <w:rsid w:val="000240E3"/>
    <w:rsid w:val="000243C6"/>
    <w:rsid w:val="00024D85"/>
    <w:rsid w:val="00025D17"/>
    <w:rsid w:val="000271E5"/>
    <w:rsid w:val="00027982"/>
    <w:rsid w:val="0003197D"/>
    <w:rsid w:val="00031CB7"/>
    <w:rsid w:val="00031EDB"/>
    <w:rsid w:val="00032E17"/>
    <w:rsid w:val="00032E4E"/>
    <w:rsid w:val="0003390D"/>
    <w:rsid w:val="000363AB"/>
    <w:rsid w:val="00037663"/>
    <w:rsid w:val="00040473"/>
    <w:rsid w:val="00041065"/>
    <w:rsid w:val="00042FFF"/>
    <w:rsid w:val="00043D04"/>
    <w:rsid w:val="00043DD9"/>
    <w:rsid w:val="00044EA3"/>
    <w:rsid w:val="00045244"/>
    <w:rsid w:val="00045DC2"/>
    <w:rsid w:val="00046367"/>
    <w:rsid w:val="00046970"/>
    <w:rsid w:val="00050CCE"/>
    <w:rsid w:val="00050F4C"/>
    <w:rsid w:val="00051C81"/>
    <w:rsid w:val="000522D7"/>
    <w:rsid w:val="00054230"/>
    <w:rsid w:val="0005714D"/>
    <w:rsid w:val="000623C8"/>
    <w:rsid w:val="0006290B"/>
    <w:rsid w:val="000662AB"/>
    <w:rsid w:val="00067D69"/>
    <w:rsid w:val="00070065"/>
    <w:rsid w:val="00070F7A"/>
    <w:rsid w:val="0007264E"/>
    <w:rsid w:val="00072B87"/>
    <w:rsid w:val="00073D6B"/>
    <w:rsid w:val="00077232"/>
    <w:rsid w:val="0008038E"/>
    <w:rsid w:val="00080C9D"/>
    <w:rsid w:val="0008161F"/>
    <w:rsid w:val="000860EE"/>
    <w:rsid w:val="00087DE6"/>
    <w:rsid w:val="00090409"/>
    <w:rsid w:val="00091C35"/>
    <w:rsid w:val="0009275F"/>
    <w:rsid w:val="00093B1D"/>
    <w:rsid w:val="00095A20"/>
    <w:rsid w:val="000A072B"/>
    <w:rsid w:val="000A3611"/>
    <w:rsid w:val="000A38CF"/>
    <w:rsid w:val="000A4C0A"/>
    <w:rsid w:val="000A5629"/>
    <w:rsid w:val="000A599F"/>
    <w:rsid w:val="000A6751"/>
    <w:rsid w:val="000A6BAF"/>
    <w:rsid w:val="000A7B16"/>
    <w:rsid w:val="000B14A6"/>
    <w:rsid w:val="000B792E"/>
    <w:rsid w:val="000B7ECB"/>
    <w:rsid w:val="000C2FD1"/>
    <w:rsid w:val="000C3789"/>
    <w:rsid w:val="000C6F05"/>
    <w:rsid w:val="000C77BC"/>
    <w:rsid w:val="000D0C33"/>
    <w:rsid w:val="000D1008"/>
    <w:rsid w:val="000D18A2"/>
    <w:rsid w:val="000D38F4"/>
    <w:rsid w:val="000D3AA6"/>
    <w:rsid w:val="000D3B81"/>
    <w:rsid w:val="000D3BBD"/>
    <w:rsid w:val="000D48DE"/>
    <w:rsid w:val="000D4A28"/>
    <w:rsid w:val="000D530D"/>
    <w:rsid w:val="000D56AF"/>
    <w:rsid w:val="000E16DA"/>
    <w:rsid w:val="000E1F6D"/>
    <w:rsid w:val="000E2924"/>
    <w:rsid w:val="000E3E98"/>
    <w:rsid w:val="000E4108"/>
    <w:rsid w:val="000E530A"/>
    <w:rsid w:val="000F0553"/>
    <w:rsid w:val="000F25BE"/>
    <w:rsid w:val="000F30BB"/>
    <w:rsid w:val="000F4581"/>
    <w:rsid w:val="000F572D"/>
    <w:rsid w:val="000F66BC"/>
    <w:rsid w:val="00101A7E"/>
    <w:rsid w:val="0010379B"/>
    <w:rsid w:val="00103A1A"/>
    <w:rsid w:val="00104D90"/>
    <w:rsid w:val="00105EDA"/>
    <w:rsid w:val="001064A1"/>
    <w:rsid w:val="00106523"/>
    <w:rsid w:val="0010761E"/>
    <w:rsid w:val="00107CE2"/>
    <w:rsid w:val="0011488B"/>
    <w:rsid w:val="00115043"/>
    <w:rsid w:val="00115AFC"/>
    <w:rsid w:val="0011629E"/>
    <w:rsid w:val="00116623"/>
    <w:rsid w:val="00121195"/>
    <w:rsid w:val="0012130D"/>
    <w:rsid w:val="00123704"/>
    <w:rsid w:val="001239BE"/>
    <w:rsid w:val="00124034"/>
    <w:rsid w:val="00125866"/>
    <w:rsid w:val="00127474"/>
    <w:rsid w:val="00127E28"/>
    <w:rsid w:val="0013145E"/>
    <w:rsid w:val="001367F2"/>
    <w:rsid w:val="0013727C"/>
    <w:rsid w:val="00137F7B"/>
    <w:rsid w:val="00140705"/>
    <w:rsid w:val="00140CC1"/>
    <w:rsid w:val="00141284"/>
    <w:rsid w:val="00141A1D"/>
    <w:rsid w:val="00141E07"/>
    <w:rsid w:val="001428AA"/>
    <w:rsid w:val="00147F76"/>
    <w:rsid w:val="0015399A"/>
    <w:rsid w:val="00153BB5"/>
    <w:rsid w:val="00154295"/>
    <w:rsid w:val="001548E7"/>
    <w:rsid w:val="00154B2C"/>
    <w:rsid w:val="00154BA6"/>
    <w:rsid w:val="00157FAD"/>
    <w:rsid w:val="00162C58"/>
    <w:rsid w:val="0016358D"/>
    <w:rsid w:val="0016414D"/>
    <w:rsid w:val="001646DA"/>
    <w:rsid w:val="001650E4"/>
    <w:rsid w:val="00167564"/>
    <w:rsid w:val="0017030D"/>
    <w:rsid w:val="001705D8"/>
    <w:rsid w:val="0017082F"/>
    <w:rsid w:val="00172D32"/>
    <w:rsid w:val="00173EC4"/>
    <w:rsid w:val="00175B44"/>
    <w:rsid w:val="00177CB5"/>
    <w:rsid w:val="0018057A"/>
    <w:rsid w:val="00181590"/>
    <w:rsid w:val="0018217D"/>
    <w:rsid w:val="00182E2C"/>
    <w:rsid w:val="0018617B"/>
    <w:rsid w:val="0019000F"/>
    <w:rsid w:val="00190A94"/>
    <w:rsid w:val="00194427"/>
    <w:rsid w:val="00195B5B"/>
    <w:rsid w:val="001A2CA8"/>
    <w:rsid w:val="001A3336"/>
    <w:rsid w:val="001A3482"/>
    <w:rsid w:val="001A46BA"/>
    <w:rsid w:val="001A4D16"/>
    <w:rsid w:val="001B171A"/>
    <w:rsid w:val="001B197E"/>
    <w:rsid w:val="001B20C0"/>
    <w:rsid w:val="001B28FF"/>
    <w:rsid w:val="001B3480"/>
    <w:rsid w:val="001B506F"/>
    <w:rsid w:val="001B6C5A"/>
    <w:rsid w:val="001B6C6C"/>
    <w:rsid w:val="001B7B5F"/>
    <w:rsid w:val="001C014A"/>
    <w:rsid w:val="001C3031"/>
    <w:rsid w:val="001C3106"/>
    <w:rsid w:val="001C3A72"/>
    <w:rsid w:val="001C41E2"/>
    <w:rsid w:val="001C5134"/>
    <w:rsid w:val="001C57ED"/>
    <w:rsid w:val="001C640E"/>
    <w:rsid w:val="001C644C"/>
    <w:rsid w:val="001C74E5"/>
    <w:rsid w:val="001C7F2E"/>
    <w:rsid w:val="001D01E5"/>
    <w:rsid w:val="001D03FE"/>
    <w:rsid w:val="001D1458"/>
    <w:rsid w:val="001D1AA6"/>
    <w:rsid w:val="001D4009"/>
    <w:rsid w:val="001D47EB"/>
    <w:rsid w:val="001D4FBC"/>
    <w:rsid w:val="001D5AE1"/>
    <w:rsid w:val="001D6E0F"/>
    <w:rsid w:val="001D76EE"/>
    <w:rsid w:val="001E182A"/>
    <w:rsid w:val="001E296F"/>
    <w:rsid w:val="001E2EBF"/>
    <w:rsid w:val="001E302B"/>
    <w:rsid w:val="001E3138"/>
    <w:rsid w:val="001E529E"/>
    <w:rsid w:val="001E5E13"/>
    <w:rsid w:val="001E5E82"/>
    <w:rsid w:val="001E6087"/>
    <w:rsid w:val="001E7600"/>
    <w:rsid w:val="001F1493"/>
    <w:rsid w:val="001F14E6"/>
    <w:rsid w:val="001F3DF3"/>
    <w:rsid w:val="001F43A6"/>
    <w:rsid w:val="001F483F"/>
    <w:rsid w:val="001F491A"/>
    <w:rsid w:val="001F514F"/>
    <w:rsid w:val="001F5177"/>
    <w:rsid w:val="001F5BC6"/>
    <w:rsid w:val="001F681D"/>
    <w:rsid w:val="001F7972"/>
    <w:rsid w:val="00202605"/>
    <w:rsid w:val="002047A4"/>
    <w:rsid w:val="00204AEE"/>
    <w:rsid w:val="00206B95"/>
    <w:rsid w:val="00210A10"/>
    <w:rsid w:val="00210BB3"/>
    <w:rsid w:val="00211B44"/>
    <w:rsid w:val="0021242D"/>
    <w:rsid w:val="00212965"/>
    <w:rsid w:val="0021304D"/>
    <w:rsid w:val="00213773"/>
    <w:rsid w:val="002137C7"/>
    <w:rsid w:val="0021397B"/>
    <w:rsid w:val="00216458"/>
    <w:rsid w:val="002213C2"/>
    <w:rsid w:val="002221E3"/>
    <w:rsid w:val="002252D5"/>
    <w:rsid w:val="00225D66"/>
    <w:rsid w:val="002306A2"/>
    <w:rsid w:val="00230EC6"/>
    <w:rsid w:val="00231767"/>
    <w:rsid w:val="00231839"/>
    <w:rsid w:val="0023243D"/>
    <w:rsid w:val="00232E24"/>
    <w:rsid w:val="002345BE"/>
    <w:rsid w:val="002348E8"/>
    <w:rsid w:val="00234A91"/>
    <w:rsid w:val="0023567A"/>
    <w:rsid w:val="00237346"/>
    <w:rsid w:val="00241FCC"/>
    <w:rsid w:val="002427F1"/>
    <w:rsid w:val="002458FB"/>
    <w:rsid w:val="00247774"/>
    <w:rsid w:val="002501EA"/>
    <w:rsid w:val="00251981"/>
    <w:rsid w:val="00253146"/>
    <w:rsid w:val="002542B3"/>
    <w:rsid w:val="0026024A"/>
    <w:rsid w:val="00261888"/>
    <w:rsid w:val="00262700"/>
    <w:rsid w:val="002632EE"/>
    <w:rsid w:val="00264663"/>
    <w:rsid w:val="002655D1"/>
    <w:rsid w:val="002655E0"/>
    <w:rsid w:val="002659F4"/>
    <w:rsid w:val="00265B76"/>
    <w:rsid w:val="00266E4C"/>
    <w:rsid w:val="00266E85"/>
    <w:rsid w:val="00270BE0"/>
    <w:rsid w:val="002729A3"/>
    <w:rsid w:val="00274CB3"/>
    <w:rsid w:val="00275642"/>
    <w:rsid w:val="00275981"/>
    <w:rsid w:val="0028098B"/>
    <w:rsid w:val="00281E77"/>
    <w:rsid w:val="00281FEC"/>
    <w:rsid w:val="002840EB"/>
    <w:rsid w:val="00284FEB"/>
    <w:rsid w:val="00285254"/>
    <w:rsid w:val="00285372"/>
    <w:rsid w:val="00292858"/>
    <w:rsid w:val="00292D4C"/>
    <w:rsid w:val="00293DB7"/>
    <w:rsid w:val="0029442F"/>
    <w:rsid w:val="0029484E"/>
    <w:rsid w:val="00295678"/>
    <w:rsid w:val="00295DC2"/>
    <w:rsid w:val="00296BBC"/>
    <w:rsid w:val="002A0AC2"/>
    <w:rsid w:val="002A1815"/>
    <w:rsid w:val="002A341E"/>
    <w:rsid w:val="002A3BDC"/>
    <w:rsid w:val="002A4790"/>
    <w:rsid w:val="002A4C2F"/>
    <w:rsid w:val="002A5A03"/>
    <w:rsid w:val="002A62AF"/>
    <w:rsid w:val="002A64C0"/>
    <w:rsid w:val="002B1B32"/>
    <w:rsid w:val="002B2173"/>
    <w:rsid w:val="002B3055"/>
    <w:rsid w:val="002B3249"/>
    <w:rsid w:val="002B5D8E"/>
    <w:rsid w:val="002B659B"/>
    <w:rsid w:val="002B7CF6"/>
    <w:rsid w:val="002C015A"/>
    <w:rsid w:val="002C4BC6"/>
    <w:rsid w:val="002C6497"/>
    <w:rsid w:val="002C783C"/>
    <w:rsid w:val="002D004C"/>
    <w:rsid w:val="002D045F"/>
    <w:rsid w:val="002D07F9"/>
    <w:rsid w:val="002D15D1"/>
    <w:rsid w:val="002D162A"/>
    <w:rsid w:val="002D5BE0"/>
    <w:rsid w:val="002D6342"/>
    <w:rsid w:val="002D743A"/>
    <w:rsid w:val="002D75D3"/>
    <w:rsid w:val="002E056E"/>
    <w:rsid w:val="002E12AA"/>
    <w:rsid w:val="002E4726"/>
    <w:rsid w:val="002E756D"/>
    <w:rsid w:val="002F22D7"/>
    <w:rsid w:val="002F444D"/>
    <w:rsid w:val="002F48FC"/>
    <w:rsid w:val="002F63A1"/>
    <w:rsid w:val="00301830"/>
    <w:rsid w:val="003023C7"/>
    <w:rsid w:val="003027FF"/>
    <w:rsid w:val="00302968"/>
    <w:rsid w:val="00304B1C"/>
    <w:rsid w:val="00304E4C"/>
    <w:rsid w:val="00304FE0"/>
    <w:rsid w:val="003050E5"/>
    <w:rsid w:val="0030636C"/>
    <w:rsid w:val="00310312"/>
    <w:rsid w:val="00311199"/>
    <w:rsid w:val="00312229"/>
    <w:rsid w:val="00313E90"/>
    <w:rsid w:val="00313FAB"/>
    <w:rsid w:val="00314446"/>
    <w:rsid w:val="0031478A"/>
    <w:rsid w:val="00316159"/>
    <w:rsid w:val="003179AF"/>
    <w:rsid w:val="003204AB"/>
    <w:rsid w:val="00320D76"/>
    <w:rsid w:val="003236CD"/>
    <w:rsid w:val="003238FD"/>
    <w:rsid w:val="00325770"/>
    <w:rsid w:val="00327703"/>
    <w:rsid w:val="0033396A"/>
    <w:rsid w:val="00334078"/>
    <w:rsid w:val="00336528"/>
    <w:rsid w:val="00337112"/>
    <w:rsid w:val="003415D9"/>
    <w:rsid w:val="00341EFF"/>
    <w:rsid w:val="003421DE"/>
    <w:rsid w:val="00342BD3"/>
    <w:rsid w:val="00343122"/>
    <w:rsid w:val="0034389F"/>
    <w:rsid w:val="00344F6C"/>
    <w:rsid w:val="003467A6"/>
    <w:rsid w:val="00346C6E"/>
    <w:rsid w:val="003504C1"/>
    <w:rsid w:val="00350701"/>
    <w:rsid w:val="00350F0B"/>
    <w:rsid w:val="00351DDB"/>
    <w:rsid w:val="003551D7"/>
    <w:rsid w:val="0035629D"/>
    <w:rsid w:val="0035790B"/>
    <w:rsid w:val="00362055"/>
    <w:rsid w:val="0036361E"/>
    <w:rsid w:val="00364C63"/>
    <w:rsid w:val="003653E6"/>
    <w:rsid w:val="00365994"/>
    <w:rsid w:val="00367294"/>
    <w:rsid w:val="00367C89"/>
    <w:rsid w:val="00370213"/>
    <w:rsid w:val="00375D70"/>
    <w:rsid w:val="00376598"/>
    <w:rsid w:val="003800D5"/>
    <w:rsid w:val="003806AE"/>
    <w:rsid w:val="003806E1"/>
    <w:rsid w:val="00383F41"/>
    <w:rsid w:val="003844A9"/>
    <w:rsid w:val="00384C2D"/>
    <w:rsid w:val="0038564F"/>
    <w:rsid w:val="0038667B"/>
    <w:rsid w:val="00387D85"/>
    <w:rsid w:val="003904BD"/>
    <w:rsid w:val="0039073E"/>
    <w:rsid w:val="00390CCE"/>
    <w:rsid w:val="00392279"/>
    <w:rsid w:val="003927D5"/>
    <w:rsid w:val="00396623"/>
    <w:rsid w:val="003A12AD"/>
    <w:rsid w:val="003A218A"/>
    <w:rsid w:val="003A4A1E"/>
    <w:rsid w:val="003A4ABC"/>
    <w:rsid w:val="003A5E88"/>
    <w:rsid w:val="003A7869"/>
    <w:rsid w:val="003B0D5F"/>
    <w:rsid w:val="003B14D1"/>
    <w:rsid w:val="003B183A"/>
    <w:rsid w:val="003B490C"/>
    <w:rsid w:val="003B5FF7"/>
    <w:rsid w:val="003B7A6A"/>
    <w:rsid w:val="003C01CA"/>
    <w:rsid w:val="003C103A"/>
    <w:rsid w:val="003C2B6A"/>
    <w:rsid w:val="003C2D1B"/>
    <w:rsid w:val="003C4150"/>
    <w:rsid w:val="003C5DB3"/>
    <w:rsid w:val="003C6D36"/>
    <w:rsid w:val="003C6E5A"/>
    <w:rsid w:val="003C7918"/>
    <w:rsid w:val="003D1CFC"/>
    <w:rsid w:val="003D7E08"/>
    <w:rsid w:val="003E1CE1"/>
    <w:rsid w:val="003E3081"/>
    <w:rsid w:val="003E3599"/>
    <w:rsid w:val="003E3D33"/>
    <w:rsid w:val="003E4FED"/>
    <w:rsid w:val="003E67C5"/>
    <w:rsid w:val="003E7C5A"/>
    <w:rsid w:val="003E7FFE"/>
    <w:rsid w:val="003F5AA6"/>
    <w:rsid w:val="0040058A"/>
    <w:rsid w:val="0040154D"/>
    <w:rsid w:val="00402874"/>
    <w:rsid w:val="00403002"/>
    <w:rsid w:val="004040EC"/>
    <w:rsid w:val="004043C2"/>
    <w:rsid w:val="00406B5C"/>
    <w:rsid w:val="00410105"/>
    <w:rsid w:val="00410C83"/>
    <w:rsid w:val="00410FC4"/>
    <w:rsid w:val="004110E0"/>
    <w:rsid w:val="004127F9"/>
    <w:rsid w:val="00412EAA"/>
    <w:rsid w:val="004131BB"/>
    <w:rsid w:val="00414062"/>
    <w:rsid w:val="00416324"/>
    <w:rsid w:val="00417F2B"/>
    <w:rsid w:val="00417F5D"/>
    <w:rsid w:val="00420257"/>
    <w:rsid w:val="00421A12"/>
    <w:rsid w:val="00421CC3"/>
    <w:rsid w:val="00423348"/>
    <w:rsid w:val="00423D76"/>
    <w:rsid w:val="00424936"/>
    <w:rsid w:val="00427D7C"/>
    <w:rsid w:val="004308AC"/>
    <w:rsid w:val="00431D03"/>
    <w:rsid w:val="00435923"/>
    <w:rsid w:val="00441C47"/>
    <w:rsid w:val="004421E7"/>
    <w:rsid w:val="00443AD2"/>
    <w:rsid w:val="004441F4"/>
    <w:rsid w:val="00445AE2"/>
    <w:rsid w:val="00445D91"/>
    <w:rsid w:val="0044641E"/>
    <w:rsid w:val="004472F9"/>
    <w:rsid w:val="00452308"/>
    <w:rsid w:val="004528A1"/>
    <w:rsid w:val="00454341"/>
    <w:rsid w:val="004561B1"/>
    <w:rsid w:val="0045760D"/>
    <w:rsid w:val="0046591D"/>
    <w:rsid w:val="00466D1E"/>
    <w:rsid w:val="00467D90"/>
    <w:rsid w:val="0047177C"/>
    <w:rsid w:val="00471B8E"/>
    <w:rsid w:val="004730E1"/>
    <w:rsid w:val="00473320"/>
    <w:rsid w:val="00473FA0"/>
    <w:rsid w:val="00474348"/>
    <w:rsid w:val="00475428"/>
    <w:rsid w:val="00477CD5"/>
    <w:rsid w:val="004800E5"/>
    <w:rsid w:val="004825AC"/>
    <w:rsid w:val="00483217"/>
    <w:rsid w:val="00483D91"/>
    <w:rsid w:val="00484274"/>
    <w:rsid w:val="00484F5A"/>
    <w:rsid w:val="00486FCF"/>
    <w:rsid w:val="0048730C"/>
    <w:rsid w:val="00491A94"/>
    <w:rsid w:val="004931E6"/>
    <w:rsid w:val="004942D0"/>
    <w:rsid w:val="00495AEE"/>
    <w:rsid w:val="004969CF"/>
    <w:rsid w:val="00496D2B"/>
    <w:rsid w:val="00497225"/>
    <w:rsid w:val="004A06F6"/>
    <w:rsid w:val="004A150A"/>
    <w:rsid w:val="004A1785"/>
    <w:rsid w:val="004A21CF"/>
    <w:rsid w:val="004A3051"/>
    <w:rsid w:val="004A504B"/>
    <w:rsid w:val="004A7914"/>
    <w:rsid w:val="004B09DA"/>
    <w:rsid w:val="004B3166"/>
    <w:rsid w:val="004B31E9"/>
    <w:rsid w:val="004B3BAD"/>
    <w:rsid w:val="004B6EE2"/>
    <w:rsid w:val="004B733E"/>
    <w:rsid w:val="004C0E02"/>
    <w:rsid w:val="004C11A3"/>
    <w:rsid w:val="004C1D42"/>
    <w:rsid w:val="004C2FF1"/>
    <w:rsid w:val="004D0B45"/>
    <w:rsid w:val="004D2859"/>
    <w:rsid w:val="004D4B55"/>
    <w:rsid w:val="004D5E2E"/>
    <w:rsid w:val="004D5EB9"/>
    <w:rsid w:val="004D62A4"/>
    <w:rsid w:val="004D7DC9"/>
    <w:rsid w:val="004E00D7"/>
    <w:rsid w:val="004E04BA"/>
    <w:rsid w:val="004E0BFD"/>
    <w:rsid w:val="004E3A42"/>
    <w:rsid w:val="004E48FD"/>
    <w:rsid w:val="004E6378"/>
    <w:rsid w:val="004E73C3"/>
    <w:rsid w:val="004E7753"/>
    <w:rsid w:val="004E79CA"/>
    <w:rsid w:val="004F03CE"/>
    <w:rsid w:val="004F04AF"/>
    <w:rsid w:val="004F175F"/>
    <w:rsid w:val="004F5DBE"/>
    <w:rsid w:val="004F77C5"/>
    <w:rsid w:val="004F7B60"/>
    <w:rsid w:val="00503B00"/>
    <w:rsid w:val="005051F1"/>
    <w:rsid w:val="005059B5"/>
    <w:rsid w:val="00505A33"/>
    <w:rsid w:val="00505A7D"/>
    <w:rsid w:val="00505C55"/>
    <w:rsid w:val="00507577"/>
    <w:rsid w:val="005077F8"/>
    <w:rsid w:val="00511408"/>
    <w:rsid w:val="00513363"/>
    <w:rsid w:val="0051550D"/>
    <w:rsid w:val="005163D8"/>
    <w:rsid w:val="00516DB2"/>
    <w:rsid w:val="005175CE"/>
    <w:rsid w:val="00517D02"/>
    <w:rsid w:val="005213CA"/>
    <w:rsid w:val="005216CB"/>
    <w:rsid w:val="00521D97"/>
    <w:rsid w:val="00522A96"/>
    <w:rsid w:val="005268F8"/>
    <w:rsid w:val="0052791E"/>
    <w:rsid w:val="00533085"/>
    <w:rsid w:val="00534394"/>
    <w:rsid w:val="00535A62"/>
    <w:rsid w:val="00536D0D"/>
    <w:rsid w:val="005370BB"/>
    <w:rsid w:val="00537867"/>
    <w:rsid w:val="00540D3E"/>
    <w:rsid w:val="00543B1D"/>
    <w:rsid w:val="00544AE3"/>
    <w:rsid w:val="00545064"/>
    <w:rsid w:val="00545B06"/>
    <w:rsid w:val="00545C0D"/>
    <w:rsid w:val="00547BB4"/>
    <w:rsid w:val="00547D10"/>
    <w:rsid w:val="0055077F"/>
    <w:rsid w:val="00553132"/>
    <w:rsid w:val="00553B9D"/>
    <w:rsid w:val="00554D59"/>
    <w:rsid w:val="00556574"/>
    <w:rsid w:val="00557AA3"/>
    <w:rsid w:val="00560815"/>
    <w:rsid w:val="00563C75"/>
    <w:rsid w:val="00563FE5"/>
    <w:rsid w:val="005646A4"/>
    <w:rsid w:val="00565EF6"/>
    <w:rsid w:val="00571CAF"/>
    <w:rsid w:val="00571E94"/>
    <w:rsid w:val="00572DD2"/>
    <w:rsid w:val="00573FF8"/>
    <w:rsid w:val="0057483C"/>
    <w:rsid w:val="005751B4"/>
    <w:rsid w:val="005753CF"/>
    <w:rsid w:val="0057580E"/>
    <w:rsid w:val="005758C1"/>
    <w:rsid w:val="00575B71"/>
    <w:rsid w:val="0057785B"/>
    <w:rsid w:val="00580A2F"/>
    <w:rsid w:val="00582BCB"/>
    <w:rsid w:val="005831F6"/>
    <w:rsid w:val="00583349"/>
    <w:rsid w:val="00584247"/>
    <w:rsid w:val="00584508"/>
    <w:rsid w:val="00584FD8"/>
    <w:rsid w:val="00585DCD"/>
    <w:rsid w:val="005864A7"/>
    <w:rsid w:val="00587DDD"/>
    <w:rsid w:val="005900F0"/>
    <w:rsid w:val="00590E3E"/>
    <w:rsid w:val="005914B3"/>
    <w:rsid w:val="00592055"/>
    <w:rsid w:val="0059333F"/>
    <w:rsid w:val="00597CBF"/>
    <w:rsid w:val="005A083C"/>
    <w:rsid w:val="005A0A3E"/>
    <w:rsid w:val="005A39C3"/>
    <w:rsid w:val="005A47AC"/>
    <w:rsid w:val="005A6B58"/>
    <w:rsid w:val="005A6C2F"/>
    <w:rsid w:val="005B388C"/>
    <w:rsid w:val="005B3BC5"/>
    <w:rsid w:val="005B3C41"/>
    <w:rsid w:val="005B3DF4"/>
    <w:rsid w:val="005B5AEB"/>
    <w:rsid w:val="005B5FF2"/>
    <w:rsid w:val="005B705E"/>
    <w:rsid w:val="005B71A9"/>
    <w:rsid w:val="005C0460"/>
    <w:rsid w:val="005C0FF6"/>
    <w:rsid w:val="005C3624"/>
    <w:rsid w:val="005C4600"/>
    <w:rsid w:val="005C4985"/>
    <w:rsid w:val="005C54C2"/>
    <w:rsid w:val="005C5FD4"/>
    <w:rsid w:val="005C6D6D"/>
    <w:rsid w:val="005C713B"/>
    <w:rsid w:val="005D0C1C"/>
    <w:rsid w:val="005D39B7"/>
    <w:rsid w:val="005D3A01"/>
    <w:rsid w:val="005D4993"/>
    <w:rsid w:val="005D4E5B"/>
    <w:rsid w:val="005E0CE8"/>
    <w:rsid w:val="005E1267"/>
    <w:rsid w:val="005E1316"/>
    <w:rsid w:val="005E14AF"/>
    <w:rsid w:val="005E1987"/>
    <w:rsid w:val="005E2AE2"/>
    <w:rsid w:val="005E2BD9"/>
    <w:rsid w:val="005E2E37"/>
    <w:rsid w:val="005E2EC3"/>
    <w:rsid w:val="005E4AC6"/>
    <w:rsid w:val="005E5562"/>
    <w:rsid w:val="005E7C09"/>
    <w:rsid w:val="005F0011"/>
    <w:rsid w:val="005F1975"/>
    <w:rsid w:val="005F39C5"/>
    <w:rsid w:val="005F427B"/>
    <w:rsid w:val="005F4D0B"/>
    <w:rsid w:val="005F4E5F"/>
    <w:rsid w:val="005F6BAA"/>
    <w:rsid w:val="00602406"/>
    <w:rsid w:val="00602ED5"/>
    <w:rsid w:val="006048BD"/>
    <w:rsid w:val="00604A09"/>
    <w:rsid w:val="006068B1"/>
    <w:rsid w:val="00606CFA"/>
    <w:rsid w:val="006102B1"/>
    <w:rsid w:val="0061037B"/>
    <w:rsid w:val="0061041A"/>
    <w:rsid w:val="00610E95"/>
    <w:rsid w:val="00612C41"/>
    <w:rsid w:val="00615CDE"/>
    <w:rsid w:val="00615FCA"/>
    <w:rsid w:val="006162F5"/>
    <w:rsid w:val="00620024"/>
    <w:rsid w:val="00622F65"/>
    <w:rsid w:val="00623315"/>
    <w:rsid w:val="00623550"/>
    <w:rsid w:val="00623B26"/>
    <w:rsid w:val="00626B5C"/>
    <w:rsid w:val="006276E1"/>
    <w:rsid w:val="006278AD"/>
    <w:rsid w:val="006278BD"/>
    <w:rsid w:val="00630648"/>
    <w:rsid w:val="00631F0F"/>
    <w:rsid w:val="00634CA5"/>
    <w:rsid w:val="006357B5"/>
    <w:rsid w:val="00636645"/>
    <w:rsid w:val="00643469"/>
    <w:rsid w:val="0064468F"/>
    <w:rsid w:val="00645E30"/>
    <w:rsid w:val="0064691D"/>
    <w:rsid w:val="00646BF1"/>
    <w:rsid w:val="00647CBC"/>
    <w:rsid w:val="006509F6"/>
    <w:rsid w:val="00651801"/>
    <w:rsid w:val="00651EBB"/>
    <w:rsid w:val="0065214B"/>
    <w:rsid w:val="00652640"/>
    <w:rsid w:val="00652F51"/>
    <w:rsid w:val="00653226"/>
    <w:rsid w:val="00654072"/>
    <w:rsid w:val="0065439A"/>
    <w:rsid w:val="00656B55"/>
    <w:rsid w:val="00657A73"/>
    <w:rsid w:val="006612F9"/>
    <w:rsid w:val="00661FC1"/>
    <w:rsid w:val="00662FF3"/>
    <w:rsid w:val="0066374F"/>
    <w:rsid w:val="00667342"/>
    <w:rsid w:val="006713C9"/>
    <w:rsid w:val="0067253E"/>
    <w:rsid w:val="00672BEA"/>
    <w:rsid w:val="00675930"/>
    <w:rsid w:val="00681EDB"/>
    <w:rsid w:val="0068335F"/>
    <w:rsid w:val="006879AC"/>
    <w:rsid w:val="00690029"/>
    <w:rsid w:val="006901C2"/>
    <w:rsid w:val="0069027D"/>
    <w:rsid w:val="00692CF6"/>
    <w:rsid w:val="0069495D"/>
    <w:rsid w:val="00694DE4"/>
    <w:rsid w:val="006951BC"/>
    <w:rsid w:val="00697513"/>
    <w:rsid w:val="006A0B0B"/>
    <w:rsid w:val="006A3CEB"/>
    <w:rsid w:val="006A637C"/>
    <w:rsid w:val="006A651D"/>
    <w:rsid w:val="006A6521"/>
    <w:rsid w:val="006A79E9"/>
    <w:rsid w:val="006B06A8"/>
    <w:rsid w:val="006B0FD0"/>
    <w:rsid w:val="006B2AC5"/>
    <w:rsid w:val="006B4DB7"/>
    <w:rsid w:val="006B4FFC"/>
    <w:rsid w:val="006B589F"/>
    <w:rsid w:val="006B750A"/>
    <w:rsid w:val="006C1E05"/>
    <w:rsid w:val="006C64C0"/>
    <w:rsid w:val="006D01CE"/>
    <w:rsid w:val="006D02D9"/>
    <w:rsid w:val="006D26C7"/>
    <w:rsid w:val="006D3097"/>
    <w:rsid w:val="006D3321"/>
    <w:rsid w:val="006D341B"/>
    <w:rsid w:val="006D40D8"/>
    <w:rsid w:val="006D55B4"/>
    <w:rsid w:val="006D7D0A"/>
    <w:rsid w:val="006D7D39"/>
    <w:rsid w:val="006E09D1"/>
    <w:rsid w:val="006E17E6"/>
    <w:rsid w:val="006E43DD"/>
    <w:rsid w:val="006E482D"/>
    <w:rsid w:val="006E587D"/>
    <w:rsid w:val="006E6C9B"/>
    <w:rsid w:val="006E6CB2"/>
    <w:rsid w:val="006E755D"/>
    <w:rsid w:val="006F0A39"/>
    <w:rsid w:val="006F45D2"/>
    <w:rsid w:val="006F5C04"/>
    <w:rsid w:val="006F76F1"/>
    <w:rsid w:val="006F7899"/>
    <w:rsid w:val="00700009"/>
    <w:rsid w:val="00701386"/>
    <w:rsid w:val="00707523"/>
    <w:rsid w:val="00707DAF"/>
    <w:rsid w:val="007123FA"/>
    <w:rsid w:val="00716960"/>
    <w:rsid w:val="007207E9"/>
    <w:rsid w:val="007218E8"/>
    <w:rsid w:val="007245EF"/>
    <w:rsid w:val="00725490"/>
    <w:rsid w:val="00725C73"/>
    <w:rsid w:val="00725C8D"/>
    <w:rsid w:val="00727284"/>
    <w:rsid w:val="007303F9"/>
    <w:rsid w:val="00732AEA"/>
    <w:rsid w:val="00736717"/>
    <w:rsid w:val="007404E4"/>
    <w:rsid w:val="00741641"/>
    <w:rsid w:val="00741FA6"/>
    <w:rsid w:val="00742D62"/>
    <w:rsid w:val="007475D7"/>
    <w:rsid w:val="00747F9F"/>
    <w:rsid w:val="00751302"/>
    <w:rsid w:val="00752DF4"/>
    <w:rsid w:val="007537DF"/>
    <w:rsid w:val="007542D1"/>
    <w:rsid w:val="00754AEA"/>
    <w:rsid w:val="0075545C"/>
    <w:rsid w:val="00755AC6"/>
    <w:rsid w:val="0075783A"/>
    <w:rsid w:val="00757F20"/>
    <w:rsid w:val="00763286"/>
    <w:rsid w:val="007639FC"/>
    <w:rsid w:val="00763AA3"/>
    <w:rsid w:val="007649AA"/>
    <w:rsid w:val="00770AF8"/>
    <w:rsid w:val="00773D5D"/>
    <w:rsid w:val="007740C1"/>
    <w:rsid w:val="007750B4"/>
    <w:rsid w:val="00775B4B"/>
    <w:rsid w:val="00775DCF"/>
    <w:rsid w:val="0077696D"/>
    <w:rsid w:val="00777661"/>
    <w:rsid w:val="00777B9A"/>
    <w:rsid w:val="00780B3E"/>
    <w:rsid w:val="00784BDD"/>
    <w:rsid w:val="007856F2"/>
    <w:rsid w:val="007863AB"/>
    <w:rsid w:val="00787089"/>
    <w:rsid w:val="0078745C"/>
    <w:rsid w:val="00787854"/>
    <w:rsid w:val="00787FF2"/>
    <w:rsid w:val="0079028E"/>
    <w:rsid w:val="0079079B"/>
    <w:rsid w:val="00791890"/>
    <w:rsid w:val="00792900"/>
    <w:rsid w:val="00794BD5"/>
    <w:rsid w:val="0079597C"/>
    <w:rsid w:val="00797C7E"/>
    <w:rsid w:val="007A0A8B"/>
    <w:rsid w:val="007A1D4D"/>
    <w:rsid w:val="007A2891"/>
    <w:rsid w:val="007A60CC"/>
    <w:rsid w:val="007A6747"/>
    <w:rsid w:val="007A6989"/>
    <w:rsid w:val="007B039E"/>
    <w:rsid w:val="007B0BCB"/>
    <w:rsid w:val="007B2366"/>
    <w:rsid w:val="007B24FC"/>
    <w:rsid w:val="007B2FE4"/>
    <w:rsid w:val="007B46B3"/>
    <w:rsid w:val="007B6237"/>
    <w:rsid w:val="007B68FD"/>
    <w:rsid w:val="007C0C14"/>
    <w:rsid w:val="007C2943"/>
    <w:rsid w:val="007C295E"/>
    <w:rsid w:val="007C2DD1"/>
    <w:rsid w:val="007C34D9"/>
    <w:rsid w:val="007C4E05"/>
    <w:rsid w:val="007C5218"/>
    <w:rsid w:val="007C6258"/>
    <w:rsid w:val="007C6EE0"/>
    <w:rsid w:val="007D2222"/>
    <w:rsid w:val="007D3758"/>
    <w:rsid w:val="007D3EE2"/>
    <w:rsid w:val="007D43BA"/>
    <w:rsid w:val="007D4C38"/>
    <w:rsid w:val="007D4FCC"/>
    <w:rsid w:val="007D55A1"/>
    <w:rsid w:val="007D63C4"/>
    <w:rsid w:val="007E295F"/>
    <w:rsid w:val="007E4CD8"/>
    <w:rsid w:val="007E69C0"/>
    <w:rsid w:val="007E6F3E"/>
    <w:rsid w:val="007E74D9"/>
    <w:rsid w:val="007F25A6"/>
    <w:rsid w:val="007F2BE4"/>
    <w:rsid w:val="007F32E6"/>
    <w:rsid w:val="007F5E38"/>
    <w:rsid w:val="007F623F"/>
    <w:rsid w:val="007F7900"/>
    <w:rsid w:val="00800F2B"/>
    <w:rsid w:val="00801FE6"/>
    <w:rsid w:val="00802C94"/>
    <w:rsid w:val="008032D8"/>
    <w:rsid w:val="008045C7"/>
    <w:rsid w:val="008057E0"/>
    <w:rsid w:val="00806195"/>
    <w:rsid w:val="00806EFE"/>
    <w:rsid w:val="00807FFE"/>
    <w:rsid w:val="00810353"/>
    <w:rsid w:val="008108F0"/>
    <w:rsid w:val="0081093B"/>
    <w:rsid w:val="00811620"/>
    <w:rsid w:val="008120E4"/>
    <w:rsid w:val="0081267E"/>
    <w:rsid w:val="00813C0E"/>
    <w:rsid w:val="008147CE"/>
    <w:rsid w:val="00814876"/>
    <w:rsid w:val="0081531A"/>
    <w:rsid w:val="00823602"/>
    <w:rsid w:val="008249A7"/>
    <w:rsid w:val="008272DD"/>
    <w:rsid w:val="00830995"/>
    <w:rsid w:val="0083387E"/>
    <w:rsid w:val="0083465B"/>
    <w:rsid w:val="008347E8"/>
    <w:rsid w:val="00834C7C"/>
    <w:rsid w:val="00835552"/>
    <w:rsid w:val="0084040F"/>
    <w:rsid w:val="00840997"/>
    <w:rsid w:val="008429C0"/>
    <w:rsid w:val="00844EFA"/>
    <w:rsid w:val="00850D7C"/>
    <w:rsid w:val="00850F6D"/>
    <w:rsid w:val="008511FF"/>
    <w:rsid w:val="00851257"/>
    <w:rsid w:val="00853A0D"/>
    <w:rsid w:val="00854C3B"/>
    <w:rsid w:val="008551F8"/>
    <w:rsid w:val="00855330"/>
    <w:rsid w:val="00856C99"/>
    <w:rsid w:val="00857CAE"/>
    <w:rsid w:val="00857EC4"/>
    <w:rsid w:val="00860131"/>
    <w:rsid w:val="008619DE"/>
    <w:rsid w:val="0086342C"/>
    <w:rsid w:val="00863954"/>
    <w:rsid w:val="00863B9F"/>
    <w:rsid w:val="00867CE5"/>
    <w:rsid w:val="00867F11"/>
    <w:rsid w:val="00872CEE"/>
    <w:rsid w:val="00873174"/>
    <w:rsid w:val="00875AD4"/>
    <w:rsid w:val="00876F24"/>
    <w:rsid w:val="008803D6"/>
    <w:rsid w:val="008839D6"/>
    <w:rsid w:val="00884FC7"/>
    <w:rsid w:val="00885314"/>
    <w:rsid w:val="008863E8"/>
    <w:rsid w:val="00886D7B"/>
    <w:rsid w:val="00886F5D"/>
    <w:rsid w:val="00890203"/>
    <w:rsid w:val="00892EF5"/>
    <w:rsid w:val="008939CC"/>
    <w:rsid w:val="00896C7A"/>
    <w:rsid w:val="00897966"/>
    <w:rsid w:val="008A06D6"/>
    <w:rsid w:val="008A15D3"/>
    <w:rsid w:val="008A3C1D"/>
    <w:rsid w:val="008A3C3C"/>
    <w:rsid w:val="008A3FEA"/>
    <w:rsid w:val="008A5401"/>
    <w:rsid w:val="008A627D"/>
    <w:rsid w:val="008A7D10"/>
    <w:rsid w:val="008B172B"/>
    <w:rsid w:val="008B3017"/>
    <w:rsid w:val="008B470A"/>
    <w:rsid w:val="008B4C74"/>
    <w:rsid w:val="008B65F5"/>
    <w:rsid w:val="008C2748"/>
    <w:rsid w:val="008C3E3F"/>
    <w:rsid w:val="008C6F65"/>
    <w:rsid w:val="008D152B"/>
    <w:rsid w:val="008D4A31"/>
    <w:rsid w:val="008D4B6F"/>
    <w:rsid w:val="008D74E9"/>
    <w:rsid w:val="008D7965"/>
    <w:rsid w:val="008D7F0C"/>
    <w:rsid w:val="008E0093"/>
    <w:rsid w:val="008E540A"/>
    <w:rsid w:val="008E57C9"/>
    <w:rsid w:val="008E61E1"/>
    <w:rsid w:val="008E637C"/>
    <w:rsid w:val="008F058B"/>
    <w:rsid w:val="008F2F82"/>
    <w:rsid w:val="008F3779"/>
    <w:rsid w:val="008F69EE"/>
    <w:rsid w:val="00900AF1"/>
    <w:rsid w:val="00901795"/>
    <w:rsid w:val="009025F3"/>
    <w:rsid w:val="009031F8"/>
    <w:rsid w:val="00904E48"/>
    <w:rsid w:val="00907BDB"/>
    <w:rsid w:val="009104FC"/>
    <w:rsid w:val="00911245"/>
    <w:rsid w:val="0091137D"/>
    <w:rsid w:val="00911EB3"/>
    <w:rsid w:val="00912D43"/>
    <w:rsid w:val="0091689F"/>
    <w:rsid w:val="00920D75"/>
    <w:rsid w:val="009229D9"/>
    <w:rsid w:val="00922E77"/>
    <w:rsid w:val="009243EB"/>
    <w:rsid w:val="009254DE"/>
    <w:rsid w:val="009310F4"/>
    <w:rsid w:val="009328BD"/>
    <w:rsid w:val="00933771"/>
    <w:rsid w:val="00934BDA"/>
    <w:rsid w:val="00935AEE"/>
    <w:rsid w:val="00935B4E"/>
    <w:rsid w:val="009373DC"/>
    <w:rsid w:val="00942B4D"/>
    <w:rsid w:val="00944F2D"/>
    <w:rsid w:val="009464BB"/>
    <w:rsid w:val="009465EB"/>
    <w:rsid w:val="00946635"/>
    <w:rsid w:val="009470D1"/>
    <w:rsid w:val="00947E0B"/>
    <w:rsid w:val="0095383D"/>
    <w:rsid w:val="00953AE1"/>
    <w:rsid w:val="00953F35"/>
    <w:rsid w:val="00954129"/>
    <w:rsid w:val="00954723"/>
    <w:rsid w:val="00956F0B"/>
    <w:rsid w:val="00963B85"/>
    <w:rsid w:val="0096496E"/>
    <w:rsid w:val="009704E2"/>
    <w:rsid w:val="00970F86"/>
    <w:rsid w:val="00971B47"/>
    <w:rsid w:val="00971DE7"/>
    <w:rsid w:val="00974055"/>
    <w:rsid w:val="0098297D"/>
    <w:rsid w:val="00984378"/>
    <w:rsid w:val="00986062"/>
    <w:rsid w:val="00993262"/>
    <w:rsid w:val="00995AB6"/>
    <w:rsid w:val="00995D1D"/>
    <w:rsid w:val="00996A8F"/>
    <w:rsid w:val="00997CFF"/>
    <w:rsid w:val="009A20F4"/>
    <w:rsid w:val="009A30A9"/>
    <w:rsid w:val="009A5E32"/>
    <w:rsid w:val="009A61C4"/>
    <w:rsid w:val="009A7EB4"/>
    <w:rsid w:val="009B05D4"/>
    <w:rsid w:val="009B21CA"/>
    <w:rsid w:val="009B226C"/>
    <w:rsid w:val="009B3C76"/>
    <w:rsid w:val="009B3DA6"/>
    <w:rsid w:val="009B54F8"/>
    <w:rsid w:val="009B60B3"/>
    <w:rsid w:val="009B6511"/>
    <w:rsid w:val="009B6D99"/>
    <w:rsid w:val="009C0207"/>
    <w:rsid w:val="009C1FB5"/>
    <w:rsid w:val="009C388E"/>
    <w:rsid w:val="009C3CCB"/>
    <w:rsid w:val="009C4FAD"/>
    <w:rsid w:val="009C5074"/>
    <w:rsid w:val="009C6217"/>
    <w:rsid w:val="009C6465"/>
    <w:rsid w:val="009C7BD0"/>
    <w:rsid w:val="009D0B35"/>
    <w:rsid w:val="009D0D95"/>
    <w:rsid w:val="009D2726"/>
    <w:rsid w:val="009D3B2F"/>
    <w:rsid w:val="009D3F82"/>
    <w:rsid w:val="009D4427"/>
    <w:rsid w:val="009D4B8A"/>
    <w:rsid w:val="009D5412"/>
    <w:rsid w:val="009D73DC"/>
    <w:rsid w:val="009E228D"/>
    <w:rsid w:val="009E37E6"/>
    <w:rsid w:val="009E3A74"/>
    <w:rsid w:val="009E4888"/>
    <w:rsid w:val="009E53D9"/>
    <w:rsid w:val="009E62C5"/>
    <w:rsid w:val="009E6909"/>
    <w:rsid w:val="009F1601"/>
    <w:rsid w:val="009F2541"/>
    <w:rsid w:val="009F3C84"/>
    <w:rsid w:val="009F457E"/>
    <w:rsid w:val="009F51F4"/>
    <w:rsid w:val="00A01411"/>
    <w:rsid w:val="00A01BB0"/>
    <w:rsid w:val="00A03163"/>
    <w:rsid w:val="00A0490C"/>
    <w:rsid w:val="00A05848"/>
    <w:rsid w:val="00A05DED"/>
    <w:rsid w:val="00A06371"/>
    <w:rsid w:val="00A06CCE"/>
    <w:rsid w:val="00A072D2"/>
    <w:rsid w:val="00A10803"/>
    <w:rsid w:val="00A1176C"/>
    <w:rsid w:val="00A13C67"/>
    <w:rsid w:val="00A16663"/>
    <w:rsid w:val="00A21BA6"/>
    <w:rsid w:val="00A22400"/>
    <w:rsid w:val="00A22B4E"/>
    <w:rsid w:val="00A2384F"/>
    <w:rsid w:val="00A2715C"/>
    <w:rsid w:val="00A30BF0"/>
    <w:rsid w:val="00A3243E"/>
    <w:rsid w:val="00A3257C"/>
    <w:rsid w:val="00A33BC3"/>
    <w:rsid w:val="00A3440E"/>
    <w:rsid w:val="00A34981"/>
    <w:rsid w:val="00A34B93"/>
    <w:rsid w:val="00A34D90"/>
    <w:rsid w:val="00A419DB"/>
    <w:rsid w:val="00A44BCA"/>
    <w:rsid w:val="00A4535B"/>
    <w:rsid w:val="00A45AA8"/>
    <w:rsid w:val="00A4649F"/>
    <w:rsid w:val="00A51129"/>
    <w:rsid w:val="00A52FAC"/>
    <w:rsid w:val="00A53F2C"/>
    <w:rsid w:val="00A55578"/>
    <w:rsid w:val="00A56653"/>
    <w:rsid w:val="00A56B45"/>
    <w:rsid w:val="00A61D7C"/>
    <w:rsid w:val="00A624AC"/>
    <w:rsid w:val="00A62DBC"/>
    <w:rsid w:val="00A65874"/>
    <w:rsid w:val="00A6744C"/>
    <w:rsid w:val="00A67550"/>
    <w:rsid w:val="00A701B3"/>
    <w:rsid w:val="00A711F8"/>
    <w:rsid w:val="00A7145A"/>
    <w:rsid w:val="00A71CAD"/>
    <w:rsid w:val="00A72DA9"/>
    <w:rsid w:val="00A72E4D"/>
    <w:rsid w:val="00A73B1B"/>
    <w:rsid w:val="00A76085"/>
    <w:rsid w:val="00A804C0"/>
    <w:rsid w:val="00A81015"/>
    <w:rsid w:val="00A8493B"/>
    <w:rsid w:val="00A86622"/>
    <w:rsid w:val="00A86783"/>
    <w:rsid w:val="00A901B5"/>
    <w:rsid w:val="00A932C1"/>
    <w:rsid w:val="00A93441"/>
    <w:rsid w:val="00A946E6"/>
    <w:rsid w:val="00A952C6"/>
    <w:rsid w:val="00A9569E"/>
    <w:rsid w:val="00A9578D"/>
    <w:rsid w:val="00A9652C"/>
    <w:rsid w:val="00AA0B91"/>
    <w:rsid w:val="00AA17FC"/>
    <w:rsid w:val="00AA1892"/>
    <w:rsid w:val="00AA1E11"/>
    <w:rsid w:val="00AA3088"/>
    <w:rsid w:val="00AA3F33"/>
    <w:rsid w:val="00AA623B"/>
    <w:rsid w:val="00AA70B8"/>
    <w:rsid w:val="00AA7C6B"/>
    <w:rsid w:val="00AA7D4C"/>
    <w:rsid w:val="00AB255C"/>
    <w:rsid w:val="00AB3381"/>
    <w:rsid w:val="00AB36F9"/>
    <w:rsid w:val="00AB5A6E"/>
    <w:rsid w:val="00AB675F"/>
    <w:rsid w:val="00AC3C4F"/>
    <w:rsid w:val="00AC5089"/>
    <w:rsid w:val="00AC58DC"/>
    <w:rsid w:val="00AC605F"/>
    <w:rsid w:val="00AC6500"/>
    <w:rsid w:val="00AC76D2"/>
    <w:rsid w:val="00AD0A88"/>
    <w:rsid w:val="00AD439E"/>
    <w:rsid w:val="00AD585F"/>
    <w:rsid w:val="00AD599C"/>
    <w:rsid w:val="00AD70B5"/>
    <w:rsid w:val="00AE0465"/>
    <w:rsid w:val="00AE2AA5"/>
    <w:rsid w:val="00AE321D"/>
    <w:rsid w:val="00AE49E7"/>
    <w:rsid w:val="00AE4B27"/>
    <w:rsid w:val="00AE5258"/>
    <w:rsid w:val="00AE5A6D"/>
    <w:rsid w:val="00AE666F"/>
    <w:rsid w:val="00AF0B4E"/>
    <w:rsid w:val="00AF115B"/>
    <w:rsid w:val="00AF32C7"/>
    <w:rsid w:val="00AF3610"/>
    <w:rsid w:val="00AF368C"/>
    <w:rsid w:val="00AF6558"/>
    <w:rsid w:val="00AF76FA"/>
    <w:rsid w:val="00AF7DE8"/>
    <w:rsid w:val="00B010AB"/>
    <w:rsid w:val="00B011C0"/>
    <w:rsid w:val="00B012F7"/>
    <w:rsid w:val="00B025AA"/>
    <w:rsid w:val="00B02D4F"/>
    <w:rsid w:val="00B06A99"/>
    <w:rsid w:val="00B13BC5"/>
    <w:rsid w:val="00B13DE5"/>
    <w:rsid w:val="00B141DC"/>
    <w:rsid w:val="00B145E9"/>
    <w:rsid w:val="00B150F2"/>
    <w:rsid w:val="00B16A41"/>
    <w:rsid w:val="00B20437"/>
    <w:rsid w:val="00B212DE"/>
    <w:rsid w:val="00B22339"/>
    <w:rsid w:val="00B249E0"/>
    <w:rsid w:val="00B26A3F"/>
    <w:rsid w:val="00B272B2"/>
    <w:rsid w:val="00B30231"/>
    <w:rsid w:val="00B3026D"/>
    <w:rsid w:val="00B308ED"/>
    <w:rsid w:val="00B313DD"/>
    <w:rsid w:val="00B324DF"/>
    <w:rsid w:val="00B32EAF"/>
    <w:rsid w:val="00B35B1D"/>
    <w:rsid w:val="00B37117"/>
    <w:rsid w:val="00B375CE"/>
    <w:rsid w:val="00B408F1"/>
    <w:rsid w:val="00B40BBF"/>
    <w:rsid w:val="00B410D8"/>
    <w:rsid w:val="00B410FC"/>
    <w:rsid w:val="00B43168"/>
    <w:rsid w:val="00B43CF8"/>
    <w:rsid w:val="00B45CC8"/>
    <w:rsid w:val="00B45CEA"/>
    <w:rsid w:val="00B46688"/>
    <w:rsid w:val="00B4688B"/>
    <w:rsid w:val="00B46AF3"/>
    <w:rsid w:val="00B56C16"/>
    <w:rsid w:val="00B56D1F"/>
    <w:rsid w:val="00B56FBE"/>
    <w:rsid w:val="00B57254"/>
    <w:rsid w:val="00B6021D"/>
    <w:rsid w:val="00B60358"/>
    <w:rsid w:val="00B622A4"/>
    <w:rsid w:val="00B63189"/>
    <w:rsid w:val="00B63671"/>
    <w:rsid w:val="00B63A5A"/>
    <w:rsid w:val="00B63C3C"/>
    <w:rsid w:val="00B64AF5"/>
    <w:rsid w:val="00B65427"/>
    <w:rsid w:val="00B65818"/>
    <w:rsid w:val="00B66D0C"/>
    <w:rsid w:val="00B67A8B"/>
    <w:rsid w:val="00B67F59"/>
    <w:rsid w:val="00B67F84"/>
    <w:rsid w:val="00B716F0"/>
    <w:rsid w:val="00B71DA8"/>
    <w:rsid w:val="00B73B6F"/>
    <w:rsid w:val="00B761DF"/>
    <w:rsid w:val="00B762DB"/>
    <w:rsid w:val="00B80E4D"/>
    <w:rsid w:val="00B80FFD"/>
    <w:rsid w:val="00B81B0A"/>
    <w:rsid w:val="00B81F50"/>
    <w:rsid w:val="00B86DA4"/>
    <w:rsid w:val="00B91A2F"/>
    <w:rsid w:val="00B92152"/>
    <w:rsid w:val="00B92689"/>
    <w:rsid w:val="00B96640"/>
    <w:rsid w:val="00B96702"/>
    <w:rsid w:val="00BA02F4"/>
    <w:rsid w:val="00BA13B0"/>
    <w:rsid w:val="00BA46A0"/>
    <w:rsid w:val="00BA5B0A"/>
    <w:rsid w:val="00BA7F39"/>
    <w:rsid w:val="00BB0481"/>
    <w:rsid w:val="00BB0646"/>
    <w:rsid w:val="00BB1F78"/>
    <w:rsid w:val="00BB2149"/>
    <w:rsid w:val="00BB355A"/>
    <w:rsid w:val="00BB421A"/>
    <w:rsid w:val="00BB4403"/>
    <w:rsid w:val="00BB50F7"/>
    <w:rsid w:val="00BB51CD"/>
    <w:rsid w:val="00BB5714"/>
    <w:rsid w:val="00BB595D"/>
    <w:rsid w:val="00BB78B7"/>
    <w:rsid w:val="00BC2777"/>
    <w:rsid w:val="00BC3539"/>
    <w:rsid w:val="00BC37DD"/>
    <w:rsid w:val="00BC5217"/>
    <w:rsid w:val="00BC5A69"/>
    <w:rsid w:val="00BC5D7C"/>
    <w:rsid w:val="00BC6708"/>
    <w:rsid w:val="00BC706C"/>
    <w:rsid w:val="00BC7364"/>
    <w:rsid w:val="00BD01F6"/>
    <w:rsid w:val="00BD0796"/>
    <w:rsid w:val="00BD09A3"/>
    <w:rsid w:val="00BD15F0"/>
    <w:rsid w:val="00BD2C1B"/>
    <w:rsid w:val="00BD4D6B"/>
    <w:rsid w:val="00BE12DE"/>
    <w:rsid w:val="00BE1BE3"/>
    <w:rsid w:val="00BE29C5"/>
    <w:rsid w:val="00BF07A3"/>
    <w:rsid w:val="00BF35C8"/>
    <w:rsid w:val="00BF5189"/>
    <w:rsid w:val="00BF5332"/>
    <w:rsid w:val="00BF5B0A"/>
    <w:rsid w:val="00BF5E73"/>
    <w:rsid w:val="00BF7663"/>
    <w:rsid w:val="00C008FA"/>
    <w:rsid w:val="00C02226"/>
    <w:rsid w:val="00C0246B"/>
    <w:rsid w:val="00C04D00"/>
    <w:rsid w:val="00C05406"/>
    <w:rsid w:val="00C05F92"/>
    <w:rsid w:val="00C0666E"/>
    <w:rsid w:val="00C07826"/>
    <w:rsid w:val="00C07E96"/>
    <w:rsid w:val="00C11AD6"/>
    <w:rsid w:val="00C1259A"/>
    <w:rsid w:val="00C13E17"/>
    <w:rsid w:val="00C2050B"/>
    <w:rsid w:val="00C23A82"/>
    <w:rsid w:val="00C255B7"/>
    <w:rsid w:val="00C2723F"/>
    <w:rsid w:val="00C32B5B"/>
    <w:rsid w:val="00C34189"/>
    <w:rsid w:val="00C412D7"/>
    <w:rsid w:val="00C428D4"/>
    <w:rsid w:val="00C45B29"/>
    <w:rsid w:val="00C50364"/>
    <w:rsid w:val="00C5228A"/>
    <w:rsid w:val="00C5321F"/>
    <w:rsid w:val="00C54318"/>
    <w:rsid w:val="00C54899"/>
    <w:rsid w:val="00C57F6E"/>
    <w:rsid w:val="00C6031A"/>
    <w:rsid w:val="00C60803"/>
    <w:rsid w:val="00C6217D"/>
    <w:rsid w:val="00C62266"/>
    <w:rsid w:val="00C63652"/>
    <w:rsid w:val="00C63678"/>
    <w:rsid w:val="00C649D9"/>
    <w:rsid w:val="00C64F33"/>
    <w:rsid w:val="00C6665E"/>
    <w:rsid w:val="00C67097"/>
    <w:rsid w:val="00C70083"/>
    <w:rsid w:val="00C7203A"/>
    <w:rsid w:val="00C73193"/>
    <w:rsid w:val="00C733A5"/>
    <w:rsid w:val="00C734CF"/>
    <w:rsid w:val="00C737B9"/>
    <w:rsid w:val="00C7669A"/>
    <w:rsid w:val="00C7781E"/>
    <w:rsid w:val="00C77B0A"/>
    <w:rsid w:val="00C842F3"/>
    <w:rsid w:val="00C84DDB"/>
    <w:rsid w:val="00C850F5"/>
    <w:rsid w:val="00C86378"/>
    <w:rsid w:val="00C868C6"/>
    <w:rsid w:val="00C877BC"/>
    <w:rsid w:val="00C87A63"/>
    <w:rsid w:val="00C90710"/>
    <w:rsid w:val="00C90B69"/>
    <w:rsid w:val="00C93DC3"/>
    <w:rsid w:val="00C97A1D"/>
    <w:rsid w:val="00CA132D"/>
    <w:rsid w:val="00CA1364"/>
    <w:rsid w:val="00CA196D"/>
    <w:rsid w:val="00CA27C2"/>
    <w:rsid w:val="00CA2AD8"/>
    <w:rsid w:val="00CA2F36"/>
    <w:rsid w:val="00CA36AC"/>
    <w:rsid w:val="00CA493D"/>
    <w:rsid w:val="00CA5900"/>
    <w:rsid w:val="00CA622E"/>
    <w:rsid w:val="00CB0B8A"/>
    <w:rsid w:val="00CB1101"/>
    <w:rsid w:val="00CB1503"/>
    <w:rsid w:val="00CB17A5"/>
    <w:rsid w:val="00CB1F22"/>
    <w:rsid w:val="00CB303F"/>
    <w:rsid w:val="00CB4005"/>
    <w:rsid w:val="00CB4DEB"/>
    <w:rsid w:val="00CB62AC"/>
    <w:rsid w:val="00CB74BC"/>
    <w:rsid w:val="00CB7A7E"/>
    <w:rsid w:val="00CB7D5E"/>
    <w:rsid w:val="00CC216E"/>
    <w:rsid w:val="00CC2226"/>
    <w:rsid w:val="00CC29B7"/>
    <w:rsid w:val="00CC2AF0"/>
    <w:rsid w:val="00CC65EF"/>
    <w:rsid w:val="00CC6CF9"/>
    <w:rsid w:val="00CC6FAC"/>
    <w:rsid w:val="00CD1040"/>
    <w:rsid w:val="00CD391B"/>
    <w:rsid w:val="00CD4E4B"/>
    <w:rsid w:val="00CD576B"/>
    <w:rsid w:val="00CD60DD"/>
    <w:rsid w:val="00CD7E81"/>
    <w:rsid w:val="00CE01B5"/>
    <w:rsid w:val="00CE322F"/>
    <w:rsid w:val="00CE499F"/>
    <w:rsid w:val="00CE6064"/>
    <w:rsid w:val="00CE6B9E"/>
    <w:rsid w:val="00CF3EB7"/>
    <w:rsid w:val="00CF5094"/>
    <w:rsid w:val="00CF7D80"/>
    <w:rsid w:val="00D024FE"/>
    <w:rsid w:val="00D02E7D"/>
    <w:rsid w:val="00D05D6E"/>
    <w:rsid w:val="00D0741F"/>
    <w:rsid w:val="00D11BD1"/>
    <w:rsid w:val="00D132D1"/>
    <w:rsid w:val="00D1358B"/>
    <w:rsid w:val="00D13F9D"/>
    <w:rsid w:val="00D15555"/>
    <w:rsid w:val="00D22395"/>
    <w:rsid w:val="00D239C6"/>
    <w:rsid w:val="00D250A7"/>
    <w:rsid w:val="00D26A5B"/>
    <w:rsid w:val="00D31479"/>
    <w:rsid w:val="00D3197B"/>
    <w:rsid w:val="00D351DD"/>
    <w:rsid w:val="00D3548E"/>
    <w:rsid w:val="00D37377"/>
    <w:rsid w:val="00D37506"/>
    <w:rsid w:val="00D37DCB"/>
    <w:rsid w:val="00D42455"/>
    <w:rsid w:val="00D43477"/>
    <w:rsid w:val="00D51EEB"/>
    <w:rsid w:val="00D53603"/>
    <w:rsid w:val="00D554B7"/>
    <w:rsid w:val="00D56C19"/>
    <w:rsid w:val="00D608AC"/>
    <w:rsid w:val="00D6287E"/>
    <w:rsid w:val="00D63AE1"/>
    <w:rsid w:val="00D63F28"/>
    <w:rsid w:val="00D646EB"/>
    <w:rsid w:val="00D670A8"/>
    <w:rsid w:val="00D702FA"/>
    <w:rsid w:val="00D71DAA"/>
    <w:rsid w:val="00D73281"/>
    <w:rsid w:val="00D735C6"/>
    <w:rsid w:val="00D73DB3"/>
    <w:rsid w:val="00D74FFE"/>
    <w:rsid w:val="00D762B1"/>
    <w:rsid w:val="00D765A0"/>
    <w:rsid w:val="00D76A32"/>
    <w:rsid w:val="00D80D6C"/>
    <w:rsid w:val="00D82046"/>
    <w:rsid w:val="00D82803"/>
    <w:rsid w:val="00D8338E"/>
    <w:rsid w:val="00D84902"/>
    <w:rsid w:val="00D858DF"/>
    <w:rsid w:val="00D85BFD"/>
    <w:rsid w:val="00D865CD"/>
    <w:rsid w:val="00D8676D"/>
    <w:rsid w:val="00D87878"/>
    <w:rsid w:val="00D91453"/>
    <w:rsid w:val="00D9244F"/>
    <w:rsid w:val="00D92501"/>
    <w:rsid w:val="00D94440"/>
    <w:rsid w:val="00D94F7A"/>
    <w:rsid w:val="00D952B6"/>
    <w:rsid w:val="00D9618D"/>
    <w:rsid w:val="00D9719E"/>
    <w:rsid w:val="00DA11C3"/>
    <w:rsid w:val="00DA1F54"/>
    <w:rsid w:val="00DA25EA"/>
    <w:rsid w:val="00DA40B6"/>
    <w:rsid w:val="00DA6A55"/>
    <w:rsid w:val="00DA7FE4"/>
    <w:rsid w:val="00DB0321"/>
    <w:rsid w:val="00DB10D3"/>
    <w:rsid w:val="00DB246E"/>
    <w:rsid w:val="00DB4DBE"/>
    <w:rsid w:val="00DC0AF2"/>
    <w:rsid w:val="00DC156C"/>
    <w:rsid w:val="00DC2948"/>
    <w:rsid w:val="00DC3791"/>
    <w:rsid w:val="00DC674F"/>
    <w:rsid w:val="00DC7381"/>
    <w:rsid w:val="00DD13C3"/>
    <w:rsid w:val="00DD3885"/>
    <w:rsid w:val="00DD42BB"/>
    <w:rsid w:val="00DD475D"/>
    <w:rsid w:val="00DD498E"/>
    <w:rsid w:val="00DD4AE1"/>
    <w:rsid w:val="00DD5F74"/>
    <w:rsid w:val="00DD6F4D"/>
    <w:rsid w:val="00DE03A0"/>
    <w:rsid w:val="00DE49EB"/>
    <w:rsid w:val="00DE5472"/>
    <w:rsid w:val="00DE6F71"/>
    <w:rsid w:val="00DE7775"/>
    <w:rsid w:val="00DF066B"/>
    <w:rsid w:val="00DF1017"/>
    <w:rsid w:val="00DF4908"/>
    <w:rsid w:val="00DF4E97"/>
    <w:rsid w:val="00DF781B"/>
    <w:rsid w:val="00E000B4"/>
    <w:rsid w:val="00E00DE2"/>
    <w:rsid w:val="00E02B6D"/>
    <w:rsid w:val="00E030EA"/>
    <w:rsid w:val="00E03A0F"/>
    <w:rsid w:val="00E04B8B"/>
    <w:rsid w:val="00E1087F"/>
    <w:rsid w:val="00E1200D"/>
    <w:rsid w:val="00E130F2"/>
    <w:rsid w:val="00E138D5"/>
    <w:rsid w:val="00E14A67"/>
    <w:rsid w:val="00E14EE4"/>
    <w:rsid w:val="00E15041"/>
    <w:rsid w:val="00E16243"/>
    <w:rsid w:val="00E17A70"/>
    <w:rsid w:val="00E205F5"/>
    <w:rsid w:val="00E20F29"/>
    <w:rsid w:val="00E222D9"/>
    <w:rsid w:val="00E223E4"/>
    <w:rsid w:val="00E224F9"/>
    <w:rsid w:val="00E253F7"/>
    <w:rsid w:val="00E26263"/>
    <w:rsid w:val="00E26E41"/>
    <w:rsid w:val="00E274B1"/>
    <w:rsid w:val="00E2752E"/>
    <w:rsid w:val="00E2759F"/>
    <w:rsid w:val="00E2794A"/>
    <w:rsid w:val="00E27ADA"/>
    <w:rsid w:val="00E3147B"/>
    <w:rsid w:val="00E3367B"/>
    <w:rsid w:val="00E34CF2"/>
    <w:rsid w:val="00E34E67"/>
    <w:rsid w:val="00E356F0"/>
    <w:rsid w:val="00E46734"/>
    <w:rsid w:val="00E4734A"/>
    <w:rsid w:val="00E524FF"/>
    <w:rsid w:val="00E53453"/>
    <w:rsid w:val="00E53DFB"/>
    <w:rsid w:val="00E56384"/>
    <w:rsid w:val="00E57B74"/>
    <w:rsid w:val="00E57C30"/>
    <w:rsid w:val="00E57FC3"/>
    <w:rsid w:val="00E605F6"/>
    <w:rsid w:val="00E60B72"/>
    <w:rsid w:val="00E61D11"/>
    <w:rsid w:val="00E62AD4"/>
    <w:rsid w:val="00E63B9F"/>
    <w:rsid w:val="00E64611"/>
    <w:rsid w:val="00E64A74"/>
    <w:rsid w:val="00E65ED2"/>
    <w:rsid w:val="00E71E17"/>
    <w:rsid w:val="00E72782"/>
    <w:rsid w:val="00E73500"/>
    <w:rsid w:val="00E74690"/>
    <w:rsid w:val="00E74A3D"/>
    <w:rsid w:val="00E751FF"/>
    <w:rsid w:val="00E760F9"/>
    <w:rsid w:val="00E76905"/>
    <w:rsid w:val="00E816A7"/>
    <w:rsid w:val="00E81907"/>
    <w:rsid w:val="00E826B2"/>
    <w:rsid w:val="00E82E2B"/>
    <w:rsid w:val="00E83410"/>
    <w:rsid w:val="00E835A7"/>
    <w:rsid w:val="00E839B0"/>
    <w:rsid w:val="00E83E46"/>
    <w:rsid w:val="00E8503F"/>
    <w:rsid w:val="00E85528"/>
    <w:rsid w:val="00E87DCE"/>
    <w:rsid w:val="00E90C54"/>
    <w:rsid w:val="00E9190F"/>
    <w:rsid w:val="00E93EBF"/>
    <w:rsid w:val="00E94814"/>
    <w:rsid w:val="00E95060"/>
    <w:rsid w:val="00E950B5"/>
    <w:rsid w:val="00E97973"/>
    <w:rsid w:val="00EA0C92"/>
    <w:rsid w:val="00EA0CE3"/>
    <w:rsid w:val="00EA0EBF"/>
    <w:rsid w:val="00EA2C2D"/>
    <w:rsid w:val="00EA4176"/>
    <w:rsid w:val="00EA44B0"/>
    <w:rsid w:val="00EA4AA5"/>
    <w:rsid w:val="00EA4FB6"/>
    <w:rsid w:val="00EA59D3"/>
    <w:rsid w:val="00EA6350"/>
    <w:rsid w:val="00EB0318"/>
    <w:rsid w:val="00EB0803"/>
    <w:rsid w:val="00EB34AC"/>
    <w:rsid w:val="00EB475A"/>
    <w:rsid w:val="00EB567A"/>
    <w:rsid w:val="00EB5CAC"/>
    <w:rsid w:val="00EB6F3D"/>
    <w:rsid w:val="00EB77A2"/>
    <w:rsid w:val="00EC0DAE"/>
    <w:rsid w:val="00EC4E3C"/>
    <w:rsid w:val="00EC53F2"/>
    <w:rsid w:val="00EC67E0"/>
    <w:rsid w:val="00EC6ACE"/>
    <w:rsid w:val="00EC7763"/>
    <w:rsid w:val="00EC780A"/>
    <w:rsid w:val="00EC78FE"/>
    <w:rsid w:val="00ED1E04"/>
    <w:rsid w:val="00ED2279"/>
    <w:rsid w:val="00ED456C"/>
    <w:rsid w:val="00ED5DE3"/>
    <w:rsid w:val="00EE2380"/>
    <w:rsid w:val="00EE2A9A"/>
    <w:rsid w:val="00EE304C"/>
    <w:rsid w:val="00EE538D"/>
    <w:rsid w:val="00EE5404"/>
    <w:rsid w:val="00EE6E34"/>
    <w:rsid w:val="00EE7E66"/>
    <w:rsid w:val="00EF00D3"/>
    <w:rsid w:val="00EF0EC0"/>
    <w:rsid w:val="00EF0F22"/>
    <w:rsid w:val="00EF119F"/>
    <w:rsid w:val="00EF5A36"/>
    <w:rsid w:val="00EF642A"/>
    <w:rsid w:val="00EF6BC5"/>
    <w:rsid w:val="00EF72F2"/>
    <w:rsid w:val="00F0019F"/>
    <w:rsid w:val="00F005F2"/>
    <w:rsid w:val="00F01428"/>
    <w:rsid w:val="00F0153B"/>
    <w:rsid w:val="00F0315D"/>
    <w:rsid w:val="00F033D9"/>
    <w:rsid w:val="00F04965"/>
    <w:rsid w:val="00F05F02"/>
    <w:rsid w:val="00F07397"/>
    <w:rsid w:val="00F11E41"/>
    <w:rsid w:val="00F1207F"/>
    <w:rsid w:val="00F13EAA"/>
    <w:rsid w:val="00F15138"/>
    <w:rsid w:val="00F16B2E"/>
    <w:rsid w:val="00F17308"/>
    <w:rsid w:val="00F204F3"/>
    <w:rsid w:val="00F20BA8"/>
    <w:rsid w:val="00F20BBC"/>
    <w:rsid w:val="00F21415"/>
    <w:rsid w:val="00F21501"/>
    <w:rsid w:val="00F23C2F"/>
    <w:rsid w:val="00F24A93"/>
    <w:rsid w:val="00F25BAE"/>
    <w:rsid w:val="00F332B2"/>
    <w:rsid w:val="00F341DF"/>
    <w:rsid w:val="00F35223"/>
    <w:rsid w:val="00F35954"/>
    <w:rsid w:val="00F365B7"/>
    <w:rsid w:val="00F40EBD"/>
    <w:rsid w:val="00F4212F"/>
    <w:rsid w:val="00F43F66"/>
    <w:rsid w:val="00F45415"/>
    <w:rsid w:val="00F4590D"/>
    <w:rsid w:val="00F46611"/>
    <w:rsid w:val="00F46A0D"/>
    <w:rsid w:val="00F47D3B"/>
    <w:rsid w:val="00F503B2"/>
    <w:rsid w:val="00F51AB3"/>
    <w:rsid w:val="00F52661"/>
    <w:rsid w:val="00F53C42"/>
    <w:rsid w:val="00F543EE"/>
    <w:rsid w:val="00F563F3"/>
    <w:rsid w:val="00F60B4C"/>
    <w:rsid w:val="00F62C2B"/>
    <w:rsid w:val="00F63687"/>
    <w:rsid w:val="00F65439"/>
    <w:rsid w:val="00F66BD7"/>
    <w:rsid w:val="00F6723C"/>
    <w:rsid w:val="00F6740C"/>
    <w:rsid w:val="00F67892"/>
    <w:rsid w:val="00F7062B"/>
    <w:rsid w:val="00F72B4C"/>
    <w:rsid w:val="00F7350A"/>
    <w:rsid w:val="00F75422"/>
    <w:rsid w:val="00F7797A"/>
    <w:rsid w:val="00F80718"/>
    <w:rsid w:val="00F82FC0"/>
    <w:rsid w:val="00F83737"/>
    <w:rsid w:val="00F84299"/>
    <w:rsid w:val="00F84CA3"/>
    <w:rsid w:val="00F852B9"/>
    <w:rsid w:val="00F857D3"/>
    <w:rsid w:val="00F86529"/>
    <w:rsid w:val="00F86728"/>
    <w:rsid w:val="00F86FD6"/>
    <w:rsid w:val="00F87F0B"/>
    <w:rsid w:val="00F929DF"/>
    <w:rsid w:val="00F92DFB"/>
    <w:rsid w:val="00F94092"/>
    <w:rsid w:val="00F94B30"/>
    <w:rsid w:val="00F95172"/>
    <w:rsid w:val="00F95230"/>
    <w:rsid w:val="00F95C09"/>
    <w:rsid w:val="00F95E82"/>
    <w:rsid w:val="00F97253"/>
    <w:rsid w:val="00F978B7"/>
    <w:rsid w:val="00FA00ED"/>
    <w:rsid w:val="00FA1F71"/>
    <w:rsid w:val="00FA27A7"/>
    <w:rsid w:val="00FA36DB"/>
    <w:rsid w:val="00FA4497"/>
    <w:rsid w:val="00FA5E06"/>
    <w:rsid w:val="00FA64BC"/>
    <w:rsid w:val="00FB0E7E"/>
    <w:rsid w:val="00FB1B27"/>
    <w:rsid w:val="00FB26D8"/>
    <w:rsid w:val="00FB2A77"/>
    <w:rsid w:val="00FB5753"/>
    <w:rsid w:val="00FB661F"/>
    <w:rsid w:val="00FC2094"/>
    <w:rsid w:val="00FC213E"/>
    <w:rsid w:val="00FC256A"/>
    <w:rsid w:val="00FC4985"/>
    <w:rsid w:val="00FC49E7"/>
    <w:rsid w:val="00FC6ED1"/>
    <w:rsid w:val="00FC74E4"/>
    <w:rsid w:val="00FD0254"/>
    <w:rsid w:val="00FD068F"/>
    <w:rsid w:val="00FD2073"/>
    <w:rsid w:val="00FD2968"/>
    <w:rsid w:val="00FD30F0"/>
    <w:rsid w:val="00FE09EE"/>
    <w:rsid w:val="00FE106F"/>
    <w:rsid w:val="00FE55E7"/>
    <w:rsid w:val="00FE61ED"/>
    <w:rsid w:val="00FF0EC3"/>
    <w:rsid w:val="00FF1DF1"/>
    <w:rsid w:val="00FF394D"/>
    <w:rsid w:val="00FF4D38"/>
    <w:rsid w:val="00FF71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04B9"/>
  <w15:chartTrackingRefBased/>
  <w15:docId w15:val="{3FA26C8A-C437-478F-B578-09E4E4D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7C"/>
    <w:pPr>
      <w:spacing w:before="0" w:after="240" w:line="280" w:lineRule="exact"/>
    </w:pPr>
    <w:rPr>
      <w:rFonts w:eastAsiaTheme="minorEastAsia"/>
      <w:sz w:val="22"/>
      <w:szCs w:val="24"/>
    </w:rPr>
  </w:style>
  <w:style w:type="paragraph" w:styleId="Heading1">
    <w:name w:val="heading 1"/>
    <w:basedOn w:val="Title"/>
    <w:next w:val="Normal"/>
    <w:link w:val="Heading1Char"/>
    <w:uiPriority w:val="9"/>
    <w:qFormat/>
    <w:rsid w:val="005A47AC"/>
    <w:pPr>
      <w:keepNext/>
      <w:keepLines/>
      <w:spacing w:after="0"/>
      <w:contextualSpacing w:val="0"/>
      <w:outlineLvl w:val="0"/>
    </w:pPr>
    <w:rPr>
      <w:rFonts w:cstheme="majorBidi"/>
      <w:b w:val="0"/>
      <w:color w:val="853C85"/>
      <w:spacing w:val="0"/>
      <w:kern w:val="0"/>
      <w:sz w:val="40"/>
      <w:szCs w:val="32"/>
      <w:lang w:val="en-US"/>
    </w:rPr>
  </w:style>
  <w:style w:type="paragraph" w:styleId="Heading2">
    <w:name w:val="heading 2"/>
    <w:basedOn w:val="Heading1"/>
    <w:next w:val="Normal"/>
    <w:link w:val="Heading2Char"/>
    <w:uiPriority w:val="6"/>
    <w:qFormat/>
    <w:rsid w:val="003B183A"/>
    <w:pPr>
      <w:numPr>
        <w:ilvl w:val="1"/>
        <w:numId w:val="8"/>
      </w:numPr>
      <w:spacing w:before="360"/>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outlineLvl w:val="2"/>
    </w:pPr>
    <w:rPr>
      <w:bCs/>
      <w:sz w:val="32"/>
    </w:rPr>
  </w:style>
  <w:style w:type="paragraph" w:styleId="Heading4">
    <w:name w:val="heading 4"/>
    <w:basedOn w:val="Heading3"/>
    <w:next w:val="Normal"/>
    <w:link w:val="Heading4Char"/>
    <w:uiPriority w:val="9"/>
    <w:qFormat/>
    <w:rsid w:val="003B183A"/>
    <w:pPr>
      <w:numPr>
        <w:ilvl w:val="3"/>
      </w:numPr>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421E42"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421E42"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B30"/>
    <w:pPr>
      <w:spacing w:before="60" w:after="0"/>
    </w:pPr>
    <w:rPr>
      <w:b/>
    </w:rPr>
  </w:style>
  <w:style w:type="character" w:customStyle="1" w:styleId="HeaderChar">
    <w:name w:val="Header Char"/>
    <w:basedOn w:val="DefaultParagraphFont"/>
    <w:link w:val="Header"/>
    <w:uiPriority w:val="99"/>
    <w:rsid w:val="00F94B30"/>
    <w:rPr>
      <w:b/>
      <w:sz w:val="19"/>
    </w:rPr>
  </w:style>
  <w:style w:type="paragraph" w:styleId="Footer">
    <w:name w:val="footer"/>
    <w:basedOn w:val="Normal"/>
    <w:link w:val="FooterChar"/>
    <w:uiPriority w:val="99"/>
    <w:rsid w:val="00B96702"/>
    <w:pPr>
      <w:spacing w:before="60" w:after="0"/>
    </w:pPr>
    <w:rPr>
      <w:sz w:val="16"/>
    </w:rPr>
  </w:style>
  <w:style w:type="character" w:customStyle="1" w:styleId="FooterChar">
    <w:name w:val="Footer Char"/>
    <w:basedOn w:val="DefaultParagraphFont"/>
    <w:link w:val="Footer"/>
    <w:uiPriority w:val="99"/>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9"/>
    <w:rsid w:val="005A47AC"/>
    <w:rPr>
      <w:rFonts w:eastAsiaTheme="majorEastAsia" w:cstheme="majorBidi"/>
      <w:bCs/>
      <w:color w:val="853C85"/>
      <w:sz w:val="40"/>
      <w:szCs w:val="32"/>
      <w:lang w:val="en-US"/>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ind w:left="851" w:hanging="851"/>
    </w:pPr>
    <w:rPr>
      <w:b/>
      <w:noProof/>
      <w:sz w:val="28"/>
    </w:rPr>
  </w:style>
  <w:style w:type="character" w:styleId="Hyperlink">
    <w:name w:val="Hyperlink"/>
    <w:basedOn w:val="DefaultParagraphFont"/>
    <w:uiPriority w:val="99"/>
    <w:rsid w:val="002D15D1"/>
    <w:rPr>
      <w:rFonts w:ascii="Arial" w:hAnsi="Arial"/>
      <w:color w:val="339E8A" w:themeColor="accent3"/>
      <w:sz w:val="20"/>
      <w:u w:val="single"/>
    </w:rPr>
  </w:style>
  <w:style w:type="character" w:customStyle="1" w:styleId="Heading2Char">
    <w:name w:val="Heading 2 Char"/>
    <w:basedOn w:val="DefaultParagraphFont"/>
    <w:link w:val="Heading2"/>
    <w:uiPriority w:val="6"/>
    <w:rsid w:val="003B183A"/>
    <w:rPr>
      <w:rFonts w:eastAsiaTheme="majorEastAsia" w:cs="Arial"/>
      <w:bCs/>
      <w:spacing w:val="5"/>
      <w:kern w:val="28"/>
      <w:sz w:val="36"/>
      <w:szCs w:val="26"/>
    </w:rPr>
  </w:style>
  <w:style w:type="paragraph" w:customStyle="1" w:styleId="Heading1introtext">
    <w:name w:val="Heading 1 intro text"/>
    <w:basedOn w:val="Heading2"/>
    <w:next w:val="Normal"/>
    <w:uiPriority w:val="5"/>
    <w:qFormat/>
    <w:rsid w:val="00697513"/>
    <w:pPr>
      <w:numPr>
        <w:ilvl w:val="0"/>
        <w:numId w:val="0"/>
      </w:numPr>
      <w:ind w:left="432" w:hanging="432"/>
    </w:pPr>
    <w:rPr>
      <w:b/>
      <w:color w:val="4A4F55"/>
      <w:sz w:val="40"/>
    </w:rPr>
  </w:style>
  <w:style w:type="character" w:customStyle="1" w:styleId="Heading3Char">
    <w:name w:val="Heading 3 Char"/>
    <w:basedOn w:val="DefaultParagraphFont"/>
    <w:link w:val="Heading3"/>
    <w:uiPriority w:val="6"/>
    <w:rsid w:val="003B183A"/>
    <w:rPr>
      <w:rFonts w:eastAsiaTheme="majorEastAsia" w:cs="Arial"/>
      <w:spacing w:val="5"/>
      <w:kern w:val="28"/>
      <w:sz w:val="32"/>
      <w:szCs w:val="26"/>
    </w:rPr>
  </w:style>
  <w:style w:type="character" w:customStyle="1" w:styleId="Heading4Char">
    <w:name w:val="Heading 4 Char"/>
    <w:basedOn w:val="DefaultParagraphFont"/>
    <w:link w:val="Heading4"/>
    <w:uiPriority w:val="9"/>
    <w:rsid w:val="003B183A"/>
    <w:rPr>
      <w:rFonts w:eastAsiaTheme="majorEastAsia" w:cs="Arial"/>
      <w:bCs/>
      <w:iCs/>
      <w:spacing w:val="5"/>
      <w:kern w:val="28"/>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rsid w:val="00585DCD"/>
    <w:rPr>
      <w:szCs w:val="20"/>
    </w:rPr>
  </w:style>
  <w:style w:type="character" w:customStyle="1" w:styleId="EndnoteTextChar">
    <w:name w:val="Endnote Text Char"/>
    <w:basedOn w:val="DefaultParagraphFont"/>
    <w:link w:val="EndnoteText"/>
    <w:uiPriority w:val="99"/>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35"/>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421E42"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421E42"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954F72"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outlineLvl w:val="2"/>
    </w:pPr>
    <w:rPr>
      <w:rFonts w:eastAsia="Times New Roman" w:cs="Times New Roman"/>
      <w:b/>
      <w:bCs/>
      <w:sz w:val="32"/>
    </w:rPr>
  </w:style>
  <w:style w:type="paragraph" w:customStyle="1" w:styleId="AppendixHeading4">
    <w:name w:val="Appendix Heading 4"/>
    <w:basedOn w:val="Normal"/>
    <w:uiPriority w:val="25"/>
    <w:qFormat/>
    <w:rsid w:val="003B183A"/>
    <w:pPr>
      <w:spacing w:before="240"/>
      <w:outlineLvl w:val="3"/>
    </w:pPr>
    <w:rPr>
      <w:rFonts w:eastAsia="Times New Roman" w:cs="Times New Roman"/>
      <w:b/>
      <w:sz w:val="28"/>
      <w:szCs w:val="20"/>
    </w:rPr>
  </w:style>
  <w:style w:type="paragraph" w:styleId="Title">
    <w:name w:val="Title"/>
    <w:basedOn w:val="Normal"/>
    <w:next w:val="Normal"/>
    <w:link w:val="TitleChar"/>
    <w:uiPriority w:val="10"/>
    <w:qFormat/>
    <w:rsid w:val="0079597C"/>
    <w:pPr>
      <w:spacing w:line="240" w:lineRule="auto"/>
      <w:contextualSpacing/>
    </w:pPr>
    <w:rPr>
      <w:rFonts w:eastAsiaTheme="majorEastAsia" w:cs="Arial"/>
      <w:b/>
      <w:bCs/>
      <w:color w:val="DE6237"/>
      <w:spacing w:val="5"/>
      <w:kern w:val="28"/>
      <w:sz w:val="56"/>
      <w:szCs w:val="56"/>
    </w:rPr>
  </w:style>
  <w:style w:type="character" w:customStyle="1" w:styleId="TitleChar">
    <w:name w:val="Title Char"/>
    <w:basedOn w:val="DefaultParagraphFont"/>
    <w:link w:val="Title"/>
    <w:uiPriority w:val="10"/>
    <w:rsid w:val="0079597C"/>
    <w:rPr>
      <w:rFonts w:eastAsiaTheme="majorEastAsia" w:cs="Arial"/>
      <w:b/>
      <w:bCs/>
      <w:color w:val="DE6237"/>
      <w:spacing w:val="5"/>
      <w:kern w:val="28"/>
      <w:sz w:val="56"/>
      <w:szCs w:val="56"/>
    </w:rPr>
  </w:style>
  <w:style w:type="paragraph" w:styleId="Subtitle">
    <w:name w:val="Subtitle"/>
    <w:basedOn w:val="Normal"/>
    <w:next w:val="Normal"/>
    <w:link w:val="SubtitleChar"/>
    <w:uiPriority w:val="11"/>
    <w:qFormat/>
    <w:rsid w:val="0079597C"/>
    <w:pPr>
      <w:spacing w:line="240" w:lineRule="auto"/>
    </w:pPr>
    <w:rPr>
      <w:rFonts w:cs="Arial"/>
      <w:sz w:val="36"/>
      <w:szCs w:val="36"/>
    </w:rPr>
  </w:style>
  <w:style w:type="character" w:customStyle="1" w:styleId="SubtitleChar">
    <w:name w:val="Subtitle Char"/>
    <w:basedOn w:val="DefaultParagraphFont"/>
    <w:link w:val="Subtitle"/>
    <w:uiPriority w:val="11"/>
    <w:rsid w:val="0079597C"/>
    <w:rPr>
      <w:rFonts w:eastAsiaTheme="minorEastAsia" w:cs="Arial"/>
      <w:sz w:val="36"/>
      <w:szCs w:val="36"/>
    </w:rPr>
  </w:style>
  <w:style w:type="character" w:styleId="PageNumber">
    <w:name w:val="page number"/>
    <w:basedOn w:val="DefaultParagraphFont"/>
    <w:uiPriority w:val="99"/>
    <w:semiHidden/>
    <w:unhideWhenUsed/>
    <w:rsid w:val="0079597C"/>
  </w:style>
  <w:style w:type="paragraph" w:styleId="NormalWeb">
    <w:name w:val="Normal (Web)"/>
    <w:basedOn w:val="Normal"/>
    <w:uiPriority w:val="99"/>
    <w:unhideWhenUsed/>
    <w:rsid w:val="0079597C"/>
    <w:pPr>
      <w:spacing w:before="100" w:beforeAutospacing="1" w:after="100" w:afterAutospacing="1" w:line="240" w:lineRule="auto"/>
    </w:pPr>
    <w:rPr>
      <w:rFonts w:ascii="Times New Roman" w:hAnsi="Times New Roman" w:cs="Times New Roman"/>
      <w:sz w:val="24"/>
      <w:lang w:eastAsia="en-AU"/>
    </w:rPr>
  </w:style>
  <w:style w:type="paragraph" w:styleId="NoSpacing">
    <w:name w:val="No Spacing"/>
    <w:uiPriority w:val="1"/>
    <w:qFormat/>
    <w:rsid w:val="0079597C"/>
    <w:pPr>
      <w:spacing w:before="0" w:after="0"/>
    </w:pPr>
    <w:rPr>
      <w:rFonts w:eastAsiaTheme="minorEastAsia"/>
      <w:sz w:val="22"/>
      <w:szCs w:val="24"/>
    </w:rPr>
  </w:style>
  <w:style w:type="character" w:styleId="UnresolvedMention">
    <w:name w:val="Unresolved Mention"/>
    <w:basedOn w:val="DefaultParagraphFont"/>
    <w:uiPriority w:val="99"/>
    <w:semiHidden/>
    <w:unhideWhenUsed/>
    <w:rsid w:val="0032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53C85"/>
      </a:accent1>
      <a:accent2>
        <a:srgbClr val="A979B5"/>
      </a:accent2>
      <a:accent3>
        <a:srgbClr val="339E8A"/>
      </a:accent3>
      <a:accent4>
        <a:srgbClr val="FFDD49"/>
      </a:accent4>
      <a:accent5>
        <a:srgbClr val="A3CF62"/>
      </a:accent5>
      <a:accent6>
        <a:srgbClr val="64C2C0"/>
      </a:accent6>
      <a:hlink>
        <a:srgbClr val="0563C1"/>
      </a:hlink>
      <a:folHlink>
        <a:srgbClr val="954F72"/>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6956</TotalTime>
  <Pages>13</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Housing and older queenslanders</vt:lpstr>
    </vt:vector>
  </TitlesOfParts>
  <Manager/>
  <Company/>
  <LinksUpToDate>false</LinksUpToDate>
  <CharactersWithSpaces>21192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older queenslanders</dc:title>
  <dc:subject>Seniors</dc:subject>
  <dc:creator>Queensland Government</dc:creator>
  <cp:keywords>seniors; age-friendly; housing; queensland;</cp:keywords>
  <dc:description/>
  <cp:lastModifiedBy>Tanya z Campbell</cp:lastModifiedBy>
  <cp:revision>589</cp:revision>
  <cp:lastPrinted>2015-02-09T23:19:00Z</cp:lastPrinted>
  <dcterms:created xsi:type="dcterms:W3CDTF">2024-01-06T19:45:00Z</dcterms:created>
  <dcterms:modified xsi:type="dcterms:W3CDTF">2024-08-06T22:10:00Z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083577-197b-450c-831d-654cf3f56dc2_Enabled">
    <vt:lpwstr>true</vt:lpwstr>
  </property>
  <property fmtid="{D5CDD505-2E9C-101B-9397-08002B2CF9AE}" pid="3" name="MSIP_Label_5b083577-197b-450c-831d-654cf3f56dc2_SetDate">
    <vt:lpwstr>2024-01-05T07:45:01Z</vt:lpwstr>
  </property>
  <property fmtid="{D5CDD505-2E9C-101B-9397-08002B2CF9AE}" pid="4" name="MSIP_Label_5b083577-197b-450c-831d-654cf3f56dc2_Method">
    <vt:lpwstr>Standard</vt:lpwstr>
  </property>
  <property fmtid="{D5CDD505-2E9C-101B-9397-08002B2CF9AE}" pid="5" name="MSIP_Label_5b083577-197b-450c-831d-654cf3f56dc2_Name">
    <vt:lpwstr>OFFICIAL</vt:lpwstr>
  </property>
  <property fmtid="{D5CDD505-2E9C-101B-9397-08002B2CF9AE}" pid="6" name="MSIP_Label_5b083577-197b-450c-831d-654cf3f56dc2_SiteId">
    <vt:lpwstr>823bfb03-da26-4cbf-a7d6-f02dbfdf182e</vt:lpwstr>
  </property>
  <property fmtid="{D5CDD505-2E9C-101B-9397-08002B2CF9AE}" pid="7" name="MSIP_Label_5b083577-197b-450c-831d-654cf3f56dc2_ActionId">
    <vt:lpwstr>c73b3126-39bb-45bb-8970-b5f575298420</vt:lpwstr>
  </property>
  <property fmtid="{D5CDD505-2E9C-101B-9397-08002B2CF9AE}" pid="8" name="MSIP_Label_5b083577-197b-450c-831d-654cf3f56dc2_ContentBits">
    <vt:lpwstr>0</vt:lpwstr>
  </property>
  <property fmtid="{D5CDD505-2E9C-101B-9397-08002B2CF9AE}" pid="9" name="MediaServiceImageTags">
    <vt:lpwstr/>
  </property>
</Properties>
</file>