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3DE4" w14:textId="6A18CDB5" w:rsidR="00615C0F" w:rsidRPr="00B665D9" w:rsidRDefault="00615C0F" w:rsidP="00B665D9">
      <w:pPr>
        <w:pStyle w:val="Heading1"/>
      </w:pPr>
      <w:r w:rsidRPr="00B665D9">
        <w:t>C</w:t>
      </w:r>
      <w:r w:rsidR="0054158C">
        <w:t>hild Safety</w:t>
      </w:r>
    </w:p>
    <w:p w14:paraId="002042BA" w14:textId="77777777" w:rsidR="00615C0F" w:rsidRPr="00B665D9" w:rsidRDefault="00615C0F" w:rsidP="00B665D9">
      <w:pPr>
        <w:pStyle w:val="Heading1"/>
      </w:pPr>
      <w:r w:rsidRPr="00B665D9">
        <w:t xml:space="preserve">POLICY </w:t>
      </w:r>
    </w:p>
    <w:p w14:paraId="70AC8673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25AEE26A" w14:textId="31C54E32" w:rsidR="00615C0F" w:rsidRPr="0054158C" w:rsidRDefault="00615C0F" w:rsidP="00615C0F">
      <w:pPr>
        <w:tabs>
          <w:tab w:val="left" w:pos="2552"/>
        </w:tabs>
        <w:rPr>
          <w:rFonts w:eastAsia="Arial"/>
          <w:bCs/>
          <w:color w:val="000000"/>
          <w:spacing w:val="-1"/>
          <w:sz w:val="28"/>
        </w:rPr>
      </w:pPr>
      <w:r w:rsidRPr="0054158C">
        <w:rPr>
          <w:b/>
          <w:sz w:val="28"/>
          <w:szCs w:val="28"/>
        </w:rPr>
        <w:t>Title:</w:t>
      </w:r>
      <w:r w:rsidRPr="0054158C">
        <w:rPr>
          <w:bCs/>
          <w:sz w:val="28"/>
          <w:szCs w:val="28"/>
        </w:rPr>
        <w:t xml:space="preserve"> </w:t>
      </w:r>
      <w:r w:rsidRPr="0054158C">
        <w:rPr>
          <w:bCs/>
          <w:sz w:val="28"/>
          <w:szCs w:val="28"/>
        </w:rPr>
        <w:tab/>
      </w:r>
      <w:r w:rsidR="0054158C" w:rsidRPr="0054158C">
        <w:rPr>
          <w:rFonts w:eastAsia="Arial"/>
          <w:bCs/>
          <w:color w:val="000000"/>
          <w:spacing w:val="-1"/>
          <w:sz w:val="28"/>
        </w:rPr>
        <w:t xml:space="preserve">Support </w:t>
      </w:r>
      <w:r w:rsidR="0054158C" w:rsidRPr="0054158C">
        <w:rPr>
          <w:rFonts w:eastAsia="Arial"/>
          <w:bCs/>
          <w:color w:val="000000"/>
          <w:spacing w:val="-1"/>
          <w:sz w:val="28"/>
        </w:rPr>
        <w:t>s</w:t>
      </w:r>
      <w:r w:rsidR="0054158C" w:rsidRPr="0054158C">
        <w:rPr>
          <w:rFonts w:eastAsia="Arial"/>
          <w:bCs/>
          <w:color w:val="000000"/>
          <w:spacing w:val="-1"/>
          <w:sz w:val="28"/>
        </w:rPr>
        <w:t xml:space="preserve">ervice </w:t>
      </w:r>
      <w:r w:rsidR="0054158C" w:rsidRPr="0054158C">
        <w:rPr>
          <w:rFonts w:eastAsia="Arial"/>
          <w:bCs/>
          <w:color w:val="000000"/>
          <w:spacing w:val="-1"/>
          <w:sz w:val="28"/>
        </w:rPr>
        <w:t>c</w:t>
      </w:r>
      <w:r w:rsidR="0054158C" w:rsidRPr="0054158C">
        <w:rPr>
          <w:rFonts w:eastAsia="Arial"/>
          <w:bCs/>
          <w:color w:val="000000"/>
          <w:spacing w:val="-1"/>
          <w:sz w:val="28"/>
        </w:rPr>
        <w:t>ase</w:t>
      </w:r>
    </w:p>
    <w:p w14:paraId="7942FFF1" w14:textId="03092A5A" w:rsidR="0054158C" w:rsidRPr="0054158C" w:rsidRDefault="0054158C" w:rsidP="00615C0F">
      <w:pPr>
        <w:tabs>
          <w:tab w:val="left" w:pos="2552"/>
        </w:tabs>
        <w:rPr>
          <w:b/>
          <w:sz w:val="28"/>
          <w:szCs w:val="28"/>
        </w:rPr>
      </w:pPr>
      <w:r w:rsidRPr="0054158C">
        <w:rPr>
          <w:b/>
          <w:sz w:val="28"/>
          <w:szCs w:val="28"/>
        </w:rPr>
        <w:t>Policy N</w:t>
      </w:r>
      <w:r>
        <w:rPr>
          <w:b/>
          <w:sz w:val="28"/>
          <w:szCs w:val="28"/>
        </w:rPr>
        <w:t>o:</w:t>
      </w:r>
      <w:r>
        <w:rPr>
          <w:b/>
          <w:sz w:val="28"/>
          <w:szCs w:val="28"/>
        </w:rPr>
        <w:tab/>
      </w:r>
      <w:r w:rsidRPr="0054158C">
        <w:rPr>
          <w:bCs/>
          <w:sz w:val="28"/>
          <w:szCs w:val="28"/>
        </w:rPr>
        <w:t>406-6</w:t>
      </w:r>
    </w:p>
    <w:p w14:paraId="4130CF4E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088DB22A" w14:textId="77777777" w:rsidR="00615C0F" w:rsidRPr="00B665D9" w:rsidRDefault="00615C0F" w:rsidP="00B665D9">
      <w:pPr>
        <w:pStyle w:val="Heading4"/>
      </w:pPr>
      <w:r w:rsidRPr="00B665D9">
        <w:t>Policy Statement:</w:t>
      </w:r>
    </w:p>
    <w:p w14:paraId="35A0E9F4" w14:textId="77777777" w:rsidR="0054158C" w:rsidRDefault="0054158C" w:rsidP="0054158C">
      <w:pPr>
        <w:spacing w:before="116" w:line="253" w:lineRule="exact"/>
        <w:ind w:right="792"/>
        <w:jc w:val="both"/>
        <w:textAlignment w:val="baseline"/>
        <w:rPr>
          <w:rFonts w:eastAsia="Arial"/>
          <w:color w:val="000000"/>
          <w:spacing w:val="-1"/>
        </w:rPr>
      </w:pPr>
      <w:r>
        <w:rPr>
          <w:rFonts w:eastAsia="Arial"/>
          <w:color w:val="000000"/>
          <w:spacing w:val="-1"/>
        </w:rPr>
        <w:t xml:space="preserve">The Department of Children, Youth </w:t>
      </w:r>
      <w:proofErr w:type="gramStart"/>
      <w:r>
        <w:rPr>
          <w:rFonts w:eastAsia="Arial"/>
          <w:color w:val="000000"/>
          <w:spacing w:val="-1"/>
        </w:rPr>
        <w:t>Justice</w:t>
      </w:r>
      <w:proofErr w:type="gramEnd"/>
      <w:r>
        <w:rPr>
          <w:rFonts w:eastAsia="Arial"/>
          <w:color w:val="000000"/>
          <w:spacing w:val="-1"/>
        </w:rPr>
        <w:t xml:space="preserve"> and Multicultural Affairs (Child Safety) is committed to providing, or helping provide, preventative and support services to strengthen and support families.</w:t>
      </w:r>
    </w:p>
    <w:p w14:paraId="793C0B82" w14:textId="77777777" w:rsidR="0054158C" w:rsidRDefault="0054158C" w:rsidP="0054158C">
      <w:pPr>
        <w:spacing w:before="122" w:line="253" w:lineRule="exact"/>
        <w:ind w:right="792"/>
        <w:jc w:val="both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>Child Safety has a responsibility to offer a support service case to a pregnant woman when it is determined that an unborn child will be a child in need of protection after he or she is born, or to a young person after their 18</w:t>
      </w:r>
      <w:r>
        <w:rPr>
          <w:rFonts w:eastAsia="Arial"/>
          <w:color w:val="000000"/>
          <w:vertAlign w:val="superscript"/>
        </w:rPr>
        <w:t>th</w:t>
      </w:r>
      <w:r>
        <w:rPr>
          <w:rFonts w:eastAsia="Arial"/>
          <w:color w:val="000000"/>
        </w:rPr>
        <w:t xml:space="preserve"> birthday, who was previously in care, to support them to transition to adulthood. A support service case is short-term and supportive in nature and requires the consent of the pregnant woman or young person.</w:t>
      </w:r>
    </w:p>
    <w:p w14:paraId="0F927137" w14:textId="77777777" w:rsidR="0054158C" w:rsidRDefault="0054158C" w:rsidP="0054158C">
      <w:pPr>
        <w:spacing w:before="120" w:line="253" w:lineRule="exact"/>
        <w:ind w:right="792"/>
        <w:jc w:val="both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The safe care and connection of Aboriginal and Torres Strait Islander children with family, community, </w:t>
      </w:r>
      <w:proofErr w:type="gramStart"/>
      <w:r>
        <w:rPr>
          <w:rFonts w:eastAsia="Arial"/>
          <w:color w:val="000000"/>
        </w:rPr>
        <w:t>culture</w:t>
      </w:r>
      <w:proofErr w:type="gramEnd"/>
      <w:r>
        <w:rPr>
          <w:rFonts w:eastAsia="Arial"/>
          <w:color w:val="000000"/>
        </w:rPr>
        <w:t xml:space="preserve"> and country will be a key consideration when undertaking a support service case for an Aboriginal or Torres Strait Islander unborn child or young person.</w:t>
      </w:r>
    </w:p>
    <w:p w14:paraId="000E0F8B" w14:textId="77777777" w:rsidR="0054158C" w:rsidRDefault="0054158C" w:rsidP="0054158C">
      <w:pPr>
        <w:spacing w:before="119" w:line="253" w:lineRule="exact"/>
        <w:ind w:right="792"/>
        <w:jc w:val="both"/>
        <w:textAlignment w:val="baseline"/>
        <w:rPr>
          <w:rFonts w:eastAsia="Arial"/>
          <w:color w:val="000000"/>
          <w:spacing w:val="-3"/>
        </w:rPr>
      </w:pPr>
      <w:r>
        <w:rPr>
          <w:rFonts w:eastAsia="Arial"/>
          <w:color w:val="000000"/>
          <w:spacing w:val="-3"/>
        </w:rPr>
        <w:t xml:space="preserve">Child Safety is committed to respecting, </w:t>
      </w:r>
      <w:proofErr w:type="gramStart"/>
      <w:r>
        <w:rPr>
          <w:rFonts w:eastAsia="Arial"/>
          <w:color w:val="000000"/>
          <w:spacing w:val="-3"/>
        </w:rPr>
        <w:t>protecting</w:t>
      </w:r>
      <w:proofErr w:type="gramEnd"/>
      <w:r>
        <w:rPr>
          <w:rFonts w:eastAsia="Arial"/>
          <w:color w:val="000000"/>
          <w:spacing w:val="-3"/>
        </w:rPr>
        <w:t xml:space="preserve"> and promoting human rights. Under the </w:t>
      </w:r>
      <w:r>
        <w:rPr>
          <w:rFonts w:eastAsia="Arial"/>
          <w:i/>
          <w:color w:val="000000"/>
          <w:spacing w:val="-3"/>
        </w:rPr>
        <w:t xml:space="preserve">Human Rights Act 2019, </w:t>
      </w:r>
      <w:r>
        <w:rPr>
          <w:rFonts w:eastAsia="Arial"/>
          <w:color w:val="000000"/>
          <w:spacing w:val="-3"/>
        </w:rPr>
        <w:t xml:space="preserve">Child Safety has an obligation to act and make decisions in a way that is compatible with human rights and, when </w:t>
      </w:r>
      <w:proofErr w:type="gramStart"/>
      <w:r>
        <w:rPr>
          <w:rFonts w:eastAsia="Arial"/>
          <w:color w:val="000000"/>
          <w:spacing w:val="-3"/>
        </w:rPr>
        <w:t>making a decision</w:t>
      </w:r>
      <w:proofErr w:type="gramEnd"/>
      <w:r>
        <w:rPr>
          <w:rFonts w:eastAsia="Arial"/>
          <w:color w:val="000000"/>
          <w:spacing w:val="-3"/>
        </w:rPr>
        <w:t>, to give proper consideration to human rights.</w:t>
      </w:r>
    </w:p>
    <w:p w14:paraId="64EC8047" w14:textId="77777777" w:rsidR="00615C0F" w:rsidRPr="002C0759" w:rsidRDefault="00615C0F" w:rsidP="00B665D9"/>
    <w:p w14:paraId="600207AC" w14:textId="77777777" w:rsidR="00615C0F" w:rsidRPr="00B665D9" w:rsidRDefault="00615C0F" w:rsidP="00B665D9">
      <w:pPr>
        <w:pStyle w:val="Heading4"/>
      </w:pPr>
      <w:r w:rsidRPr="00B665D9">
        <w:t>Principles:</w:t>
      </w:r>
    </w:p>
    <w:p w14:paraId="5F379A99" w14:textId="77777777" w:rsidR="0054158C" w:rsidRDefault="0054158C" w:rsidP="006F0A0D">
      <w:pPr>
        <w:numPr>
          <w:ilvl w:val="0"/>
          <w:numId w:val="2"/>
        </w:numPr>
        <w:tabs>
          <w:tab w:val="clear" w:pos="360"/>
          <w:tab w:val="left" w:pos="432"/>
        </w:tabs>
        <w:spacing w:before="119" w:after="0" w:line="269" w:lineRule="exact"/>
        <w:ind w:left="432" w:hanging="360"/>
        <w:jc w:val="center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>The preferred way of ensuring a child’s wellbeing is through the support of the child’s family.</w:t>
      </w:r>
    </w:p>
    <w:p w14:paraId="7332BB84" w14:textId="77777777" w:rsidR="0054158C" w:rsidRDefault="0054158C" w:rsidP="0054158C">
      <w:pPr>
        <w:numPr>
          <w:ilvl w:val="0"/>
          <w:numId w:val="2"/>
        </w:numPr>
        <w:tabs>
          <w:tab w:val="clear" w:pos="360"/>
          <w:tab w:val="left" w:pos="432"/>
        </w:tabs>
        <w:spacing w:before="131" w:after="0" w:line="253" w:lineRule="exact"/>
        <w:ind w:left="432" w:right="792" w:hanging="360"/>
        <w:jc w:val="both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Families have the primary responsibility for the upbringing, </w:t>
      </w:r>
      <w:proofErr w:type="gramStart"/>
      <w:r>
        <w:rPr>
          <w:rFonts w:eastAsia="Arial"/>
          <w:color w:val="000000"/>
        </w:rPr>
        <w:t>protection</w:t>
      </w:r>
      <w:proofErr w:type="gramEnd"/>
      <w:r>
        <w:rPr>
          <w:rFonts w:eastAsia="Arial"/>
          <w:color w:val="000000"/>
        </w:rPr>
        <w:t xml:space="preserve"> and development of their children.</w:t>
      </w:r>
    </w:p>
    <w:p w14:paraId="7C50B248" w14:textId="77777777" w:rsidR="0054158C" w:rsidRDefault="0054158C" w:rsidP="0054158C">
      <w:pPr>
        <w:numPr>
          <w:ilvl w:val="0"/>
          <w:numId w:val="2"/>
        </w:numPr>
        <w:tabs>
          <w:tab w:val="clear" w:pos="360"/>
          <w:tab w:val="left" w:pos="432"/>
        </w:tabs>
        <w:spacing w:before="138" w:after="0" w:line="253" w:lineRule="exact"/>
        <w:ind w:left="432" w:right="792" w:hanging="360"/>
        <w:jc w:val="both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In taking action to decrease the likelihood an unborn child will </w:t>
      </w:r>
      <w:proofErr w:type="gramStart"/>
      <w:r>
        <w:rPr>
          <w:rFonts w:eastAsia="Arial"/>
          <w:color w:val="000000"/>
        </w:rPr>
        <w:t>be in need of</w:t>
      </w:r>
      <w:proofErr w:type="gramEnd"/>
      <w:r>
        <w:rPr>
          <w:rFonts w:eastAsia="Arial"/>
          <w:color w:val="000000"/>
        </w:rPr>
        <w:t xml:space="preserve"> protection after their birth, Child Safety will respect and uphold the rights and liberties of the pregnant woman.</w:t>
      </w:r>
    </w:p>
    <w:p w14:paraId="3ED473C2" w14:textId="77777777" w:rsidR="0054158C" w:rsidRDefault="0054158C" w:rsidP="0054158C">
      <w:pPr>
        <w:numPr>
          <w:ilvl w:val="0"/>
          <w:numId w:val="2"/>
        </w:numPr>
        <w:tabs>
          <w:tab w:val="clear" w:pos="360"/>
          <w:tab w:val="left" w:pos="432"/>
        </w:tabs>
        <w:spacing w:before="132" w:after="0" w:line="253" w:lineRule="exact"/>
        <w:ind w:left="432" w:right="792" w:hanging="360"/>
        <w:jc w:val="both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Support services should maintain family relationships and be supportive of individual rights and ethnic, </w:t>
      </w:r>
      <w:proofErr w:type="gramStart"/>
      <w:r>
        <w:rPr>
          <w:rFonts w:eastAsia="Arial"/>
          <w:color w:val="000000"/>
        </w:rPr>
        <w:t>religious</w:t>
      </w:r>
      <w:proofErr w:type="gramEnd"/>
      <w:r>
        <w:rPr>
          <w:rFonts w:eastAsia="Arial"/>
          <w:color w:val="000000"/>
        </w:rPr>
        <w:t xml:space="preserve"> and cultural identity and values.</w:t>
      </w:r>
    </w:p>
    <w:p w14:paraId="7769C033" w14:textId="77777777" w:rsidR="0054158C" w:rsidRDefault="0054158C" w:rsidP="0054158C">
      <w:pPr>
        <w:numPr>
          <w:ilvl w:val="0"/>
          <w:numId w:val="2"/>
        </w:numPr>
        <w:tabs>
          <w:tab w:val="clear" w:pos="360"/>
          <w:tab w:val="left" w:pos="432"/>
        </w:tabs>
        <w:spacing w:before="141" w:after="0" w:line="253" w:lineRule="exact"/>
        <w:ind w:left="432" w:hanging="360"/>
        <w:jc w:val="both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>Young people have a right to be involved in making decisions and planning for their future.</w:t>
      </w:r>
    </w:p>
    <w:p w14:paraId="2EFF65DB" w14:textId="77777777" w:rsidR="0054158C" w:rsidRDefault="0054158C" w:rsidP="0054158C">
      <w:pPr>
        <w:numPr>
          <w:ilvl w:val="0"/>
          <w:numId w:val="2"/>
        </w:numPr>
        <w:tabs>
          <w:tab w:val="clear" w:pos="360"/>
          <w:tab w:val="left" w:pos="432"/>
        </w:tabs>
        <w:spacing w:before="132" w:after="0" w:line="253" w:lineRule="exact"/>
        <w:ind w:left="432" w:right="792" w:hanging="360"/>
        <w:jc w:val="both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lastRenderedPageBreak/>
        <w:t xml:space="preserve">Young people transitioning from care to adulthood have the right to receive assistance and support </w:t>
      </w:r>
      <w:proofErr w:type="gramStart"/>
      <w:r>
        <w:rPr>
          <w:rFonts w:eastAsia="Arial"/>
          <w:color w:val="000000"/>
        </w:rPr>
        <w:t>in order to</w:t>
      </w:r>
      <w:proofErr w:type="gramEnd"/>
      <w:r>
        <w:rPr>
          <w:rFonts w:eastAsia="Arial"/>
          <w:color w:val="000000"/>
        </w:rPr>
        <w:t xml:space="preserve"> maximise their life opportunities and choices.</w:t>
      </w:r>
    </w:p>
    <w:p w14:paraId="16F349D1" w14:textId="77777777" w:rsidR="0054158C" w:rsidRDefault="0054158C" w:rsidP="0054158C">
      <w:pPr>
        <w:numPr>
          <w:ilvl w:val="0"/>
          <w:numId w:val="2"/>
        </w:numPr>
        <w:tabs>
          <w:tab w:val="clear" w:pos="360"/>
          <w:tab w:val="left" w:pos="432"/>
        </w:tabs>
        <w:spacing w:before="132" w:after="0" w:line="253" w:lineRule="exact"/>
        <w:ind w:left="432" w:right="792" w:hanging="360"/>
        <w:jc w:val="both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Child Safety will act and make decisions in a way that is compatible with human rights and obligations under the </w:t>
      </w:r>
      <w:r>
        <w:rPr>
          <w:rFonts w:eastAsia="Arial"/>
          <w:i/>
          <w:color w:val="000000"/>
        </w:rPr>
        <w:t>Human Rights Act 2019</w:t>
      </w:r>
      <w:r>
        <w:rPr>
          <w:rFonts w:eastAsia="Arial"/>
          <w:color w:val="000000"/>
        </w:rPr>
        <w:t>.</w:t>
      </w:r>
    </w:p>
    <w:p w14:paraId="4E5EB86B" w14:textId="435ACFB0" w:rsidR="00615C0F" w:rsidRPr="0054158C" w:rsidRDefault="0054158C" w:rsidP="00B665D9">
      <w:pPr>
        <w:numPr>
          <w:ilvl w:val="0"/>
          <w:numId w:val="2"/>
        </w:numPr>
        <w:tabs>
          <w:tab w:val="clear" w:pos="360"/>
          <w:tab w:val="left" w:pos="432"/>
        </w:tabs>
        <w:spacing w:before="138" w:after="613" w:line="253" w:lineRule="exact"/>
        <w:ind w:left="432" w:right="792" w:hanging="360"/>
        <w:jc w:val="both"/>
        <w:textAlignment w:val="baseline"/>
        <w:rPr>
          <w:rFonts w:eastAsia="Arial"/>
          <w:color w:val="000000"/>
          <w:spacing w:val="-3"/>
        </w:rPr>
      </w:pPr>
      <w:r>
        <w:rPr>
          <w:rFonts w:eastAsia="Arial"/>
          <w:color w:val="000000"/>
          <w:spacing w:val="-3"/>
        </w:rPr>
        <w:t xml:space="preserve">The five elements of the Aboriginal and Torres Strait Islander Child Placement Principle (prevention, partnership, placement, </w:t>
      </w:r>
      <w:proofErr w:type="gramStart"/>
      <w:r>
        <w:rPr>
          <w:rFonts w:eastAsia="Arial"/>
          <w:color w:val="000000"/>
          <w:spacing w:val="-3"/>
        </w:rPr>
        <w:t>participation</w:t>
      </w:r>
      <w:proofErr w:type="gramEnd"/>
      <w:r>
        <w:rPr>
          <w:rFonts w:eastAsia="Arial"/>
          <w:color w:val="000000"/>
          <w:spacing w:val="-3"/>
        </w:rPr>
        <w:t xml:space="preserve"> and connection) under the </w:t>
      </w:r>
      <w:r>
        <w:rPr>
          <w:rFonts w:eastAsia="Arial"/>
          <w:i/>
          <w:color w:val="000000"/>
          <w:spacing w:val="-3"/>
        </w:rPr>
        <w:t>Child Protection Act</w:t>
      </w:r>
      <w:r>
        <w:rPr>
          <w:rFonts w:eastAsia="Arial"/>
          <w:i/>
          <w:color w:val="000000"/>
          <w:spacing w:val="-3"/>
        </w:rPr>
        <w:t xml:space="preserve"> 1999</w:t>
      </w:r>
      <w:r>
        <w:rPr>
          <w:rFonts w:eastAsia="Arial"/>
          <w:color w:val="000000"/>
        </w:rPr>
        <w:t>, section 5C, apply to any processes, decisions and actions taken for an Aboriginal or Torres Strait Islander child.</w:t>
      </w:r>
    </w:p>
    <w:p w14:paraId="22D5BAF0" w14:textId="77777777" w:rsidR="00615C0F" w:rsidRPr="00B665D9" w:rsidRDefault="00615C0F" w:rsidP="00B665D9">
      <w:pPr>
        <w:pStyle w:val="Heading4"/>
      </w:pPr>
      <w:r w:rsidRPr="00B665D9">
        <w:t>Objectives:</w:t>
      </w:r>
    </w:p>
    <w:p w14:paraId="3BBE0BFD" w14:textId="77777777" w:rsidR="0054158C" w:rsidRDefault="0054158C" w:rsidP="0054158C">
      <w:pPr>
        <w:spacing w:before="115" w:line="253" w:lineRule="exact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>This policy aims to ensure that preventative and supportive services are offered by Child Safety to:</w:t>
      </w:r>
    </w:p>
    <w:p w14:paraId="04DEAA07" w14:textId="77777777" w:rsidR="0054158C" w:rsidRDefault="0054158C" w:rsidP="0054158C">
      <w:pPr>
        <w:numPr>
          <w:ilvl w:val="0"/>
          <w:numId w:val="2"/>
        </w:numPr>
        <w:tabs>
          <w:tab w:val="clear" w:pos="360"/>
          <w:tab w:val="left" w:pos="792"/>
        </w:tabs>
        <w:spacing w:before="137" w:after="0" w:line="253" w:lineRule="exact"/>
        <w:ind w:left="792" w:right="792" w:hanging="360"/>
        <w:jc w:val="both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a pregnant woman, to decrease the likelihood of future harm to an unborn child following their </w:t>
      </w:r>
      <w:proofErr w:type="gramStart"/>
      <w:r>
        <w:rPr>
          <w:rFonts w:eastAsia="Arial"/>
          <w:color w:val="000000"/>
        </w:rPr>
        <w:t>birth</w:t>
      </w:r>
      <w:proofErr w:type="gramEnd"/>
    </w:p>
    <w:p w14:paraId="6D2D7C19" w14:textId="77777777" w:rsidR="0054158C" w:rsidRDefault="0054158C" w:rsidP="0054158C">
      <w:pPr>
        <w:numPr>
          <w:ilvl w:val="0"/>
          <w:numId w:val="2"/>
        </w:numPr>
        <w:tabs>
          <w:tab w:val="clear" w:pos="360"/>
          <w:tab w:val="left" w:pos="792"/>
        </w:tabs>
        <w:spacing w:before="134" w:after="0" w:line="253" w:lineRule="exact"/>
        <w:ind w:left="792" w:hanging="360"/>
        <w:jc w:val="both"/>
        <w:textAlignment w:val="baseline"/>
        <w:rPr>
          <w:rFonts w:eastAsia="Arial"/>
          <w:color w:val="000000"/>
          <w:spacing w:val="-2"/>
        </w:rPr>
      </w:pPr>
      <w:r>
        <w:rPr>
          <w:rFonts w:eastAsia="Arial"/>
          <w:color w:val="000000"/>
          <w:spacing w:val="-2"/>
        </w:rPr>
        <w:t>a young person, following their 18</w:t>
      </w:r>
      <w:r>
        <w:rPr>
          <w:rFonts w:eastAsia="Arial"/>
          <w:color w:val="000000"/>
          <w:spacing w:val="-2"/>
          <w:vertAlign w:val="superscript"/>
        </w:rPr>
        <w:t>th</w:t>
      </w:r>
      <w:r>
        <w:rPr>
          <w:rFonts w:eastAsia="Arial"/>
          <w:color w:val="000000"/>
          <w:spacing w:val="-2"/>
        </w:rPr>
        <w:t xml:space="preserve"> birthday, to help and support their transition to adulthood.</w:t>
      </w:r>
    </w:p>
    <w:p w14:paraId="2119C172" w14:textId="77777777" w:rsidR="00615C0F" w:rsidRPr="002C0759" w:rsidRDefault="00615C0F" w:rsidP="00B665D9"/>
    <w:p w14:paraId="741F01C3" w14:textId="77777777" w:rsidR="00615C0F" w:rsidRPr="00B665D9" w:rsidRDefault="00615C0F" w:rsidP="00B665D9">
      <w:pPr>
        <w:pStyle w:val="Heading4"/>
      </w:pPr>
      <w:r w:rsidRPr="00B665D9">
        <w:t>Scope:</w:t>
      </w:r>
    </w:p>
    <w:p w14:paraId="3DA817A5" w14:textId="77777777" w:rsidR="0054158C" w:rsidRDefault="0054158C" w:rsidP="0054158C">
      <w:pPr>
        <w:spacing w:before="119" w:line="253" w:lineRule="exact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>This policy refers to service provision by Child Safety, with consent, where:</w:t>
      </w:r>
    </w:p>
    <w:p w14:paraId="749FF812" w14:textId="77777777" w:rsidR="0054158C" w:rsidRDefault="0054158C" w:rsidP="0054158C">
      <w:pPr>
        <w:numPr>
          <w:ilvl w:val="0"/>
          <w:numId w:val="2"/>
        </w:numPr>
        <w:tabs>
          <w:tab w:val="clear" w:pos="360"/>
          <w:tab w:val="left" w:pos="792"/>
        </w:tabs>
        <w:spacing w:before="136" w:after="0" w:line="253" w:lineRule="exact"/>
        <w:ind w:left="792" w:hanging="360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an unborn child has been assessed as needing protection after his or her </w:t>
      </w:r>
      <w:proofErr w:type="gramStart"/>
      <w:r>
        <w:rPr>
          <w:rFonts w:eastAsia="Arial"/>
          <w:color w:val="000000"/>
        </w:rPr>
        <w:t>birth</w:t>
      </w:r>
      <w:proofErr w:type="gramEnd"/>
    </w:p>
    <w:p w14:paraId="37FCB04B" w14:textId="2D3C0DB2" w:rsidR="0054158C" w:rsidRDefault="0054158C" w:rsidP="0054158C">
      <w:pPr>
        <w:numPr>
          <w:ilvl w:val="0"/>
          <w:numId w:val="2"/>
        </w:numPr>
        <w:tabs>
          <w:tab w:val="clear" w:pos="360"/>
          <w:tab w:val="left" w:pos="792"/>
        </w:tabs>
        <w:spacing w:before="136" w:after="100" w:afterAutospacing="1" w:line="253" w:lineRule="exact"/>
        <w:ind w:left="792" w:hanging="360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>a young person requires support to transition to adulthood.</w:t>
      </w:r>
    </w:p>
    <w:p w14:paraId="5E875E6E" w14:textId="77777777" w:rsidR="0054158C" w:rsidRPr="0054158C" w:rsidRDefault="0054158C" w:rsidP="0054158C">
      <w:pPr>
        <w:spacing w:before="114" w:line="253" w:lineRule="exact"/>
        <w:ind w:right="792"/>
        <w:jc w:val="both"/>
        <w:textAlignment w:val="baseline"/>
        <w:rPr>
          <w:rFonts w:eastAsia="Arial"/>
          <w:color w:val="000000"/>
        </w:rPr>
      </w:pPr>
      <w:r w:rsidRPr="0054158C">
        <w:rPr>
          <w:rFonts w:eastAsia="Arial"/>
          <w:color w:val="000000"/>
        </w:rPr>
        <w:t>Note: A young person may have been subject to a child protection order granting custody or guardianship to the chief executive, or previously subject to a child protection order where an approved carer was subsequently granted the long-term guardianship of the child.</w:t>
      </w:r>
    </w:p>
    <w:p w14:paraId="0A3E78F5" w14:textId="77777777" w:rsidR="0054158C" w:rsidRPr="0054158C" w:rsidRDefault="0054158C" w:rsidP="0054158C">
      <w:pPr>
        <w:spacing w:before="121" w:line="253" w:lineRule="exact"/>
        <w:ind w:right="792"/>
        <w:jc w:val="both"/>
        <w:textAlignment w:val="baseline"/>
        <w:rPr>
          <w:rFonts w:eastAsia="Arial"/>
          <w:color w:val="000000"/>
        </w:rPr>
      </w:pPr>
      <w:r w:rsidRPr="0054158C">
        <w:rPr>
          <w:rFonts w:eastAsia="Arial"/>
          <w:color w:val="000000"/>
        </w:rPr>
        <w:t>When a support service case is opened, a support plan is developed with the pregnant woman or young person. The support plan outlines the goals and actions required for the intervention, and is reviewed six-monthly, or more often if required. Support service cases are not subject to case planning and review requirements that are required for a child in need of protection.</w:t>
      </w:r>
    </w:p>
    <w:p w14:paraId="093E405F" w14:textId="77777777" w:rsidR="00615C0F" w:rsidRPr="002C0759" w:rsidRDefault="00615C0F" w:rsidP="00B665D9"/>
    <w:p w14:paraId="3438243A" w14:textId="77777777" w:rsidR="00615C0F" w:rsidRPr="00B665D9" w:rsidRDefault="00615C0F" w:rsidP="00B665D9">
      <w:pPr>
        <w:pStyle w:val="Heading4"/>
      </w:pPr>
      <w:r w:rsidRPr="00B665D9">
        <w:t>Roles and Responsibilities:</w:t>
      </w:r>
    </w:p>
    <w:p w14:paraId="27A40F9D" w14:textId="77777777" w:rsidR="0054158C" w:rsidRDefault="0054158C" w:rsidP="0054158C">
      <w:pPr>
        <w:spacing w:before="121" w:line="253" w:lineRule="exact"/>
        <w:ind w:right="792"/>
        <w:jc w:val="both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>The roles and responsibilities of Child Safety staff in relation to support service cases are outlined in the Child Safety Practice Manual and associated resources.</w:t>
      </w:r>
    </w:p>
    <w:p w14:paraId="6EF412AF" w14:textId="1EFE757C" w:rsidR="00615C0F" w:rsidRPr="002C0759" w:rsidRDefault="00615C0F" w:rsidP="00B665D9"/>
    <w:p w14:paraId="247DA3B6" w14:textId="5E2E67BF" w:rsidR="00615C0F" w:rsidRDefault="00615C0F" w:rsidP="00615C0F">
      <w:pPr>
        <w:rPr>
          <w:rStyle w:val="Heading4Char"/>
        </w:rPr>
      </w:pPr>
      <w:r w:rsidRPr="00B665D9">
        <w:rPr>
          <w:rStyle w:val="Heading4Char"/>
        </w:rPr>
        <w:t>Authority:</w:t>
      </w:r>
    </w:p>
    <w:p w14:paraId="326D6A84" w14:textId="77777777" w:rsidR="0054158C" w:rsidRDefault="0054158C" w:rsidP="0054158C">
      <w:pPr>
        <w:spacing w:before="120" w:line="253" w:lineRule="exact"/>
        <w:textAlignment w:val="baseline"/>
        <w:rPr>
          <w:rFonts w:eastAsia="Arial"/>
          <w:i/>
          <w:color w:val="000000"/>
        </w:rPr>
      </w:pPr>
      <w:r>
        <w:rPr>
          <w:rFonts w:eastAsia="Arial"/>
          <w:i/>
          <w:color w:val="000000"/>
        </w:rPr>
        <w:t>Child Protection Act 1999</w:t>
      </w:r>
      <w:r>
        <w:rPr>
          <w:rFonts w:eastAsia="Arial"/>
          <w:color w:val="000000"/>
        </w:rPr>
        <w:t>, section 7(b)</w:t>
      </w:r>
    </w:p>
    <w:p w14:paraId="6CE005C9" w14:textId="77777777" w:rsidR="00615C0F" w:rsidRDefault="00615C0F" w:rsidP="00B665D9"/>
    <w:p w14:paraId="694AD998" w14:textId="77777777" w:rsidR="00615C0F" w:rsidRPr="00B665D9" w:rsidRDefault="00615C0F" w:rsidP="00B665D9">
      <w:pPr>
        <w:pStyle w:val="Heading4"/>
      </w:pPr>
      <w:r w:rsidRPr="00B665D9">
        <w:lastRenderedPageBreak/>
        <w:t>Delegations:</w:t>
      </w:r>
    </w:p>
    <w:p w14:paraId="18EDCBF2" w14:textId="3BEC3AAD" w:rsidR="00615C0F" w:rsidRDefault="0054158C" w:rsidP="00615C0F">
      <w:pPr>
        <w:pBdr>
          <w:bottom w:val="single" w:sz="4" w:space="1" w:color="auto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>Refer to the instruments of delegation for delegations relevant to support service cases.</w:t>
      </w:r>
    </w:p>
    <w:p w14:paraId="7093C0DB" w14:textId="77777777" w:rsidR="0054158C" w:rsidRPr="000F3089" w:rsidRDefault="0054158C" w:rsidP="00615C0F">
      <w:pPr>
        <w:pBdr>
          <w:bottom w:val="single" w:sz="4" w:space="1" w:color="auto"/>
        </w:pBdr>
        <w:rPr>
          <w:szCs w:val="22"/>
        </w:rPr>
      </w:pPr>
    </w:p>
    <w:p w14:paraId="75B5D40F" w14:textId="58B51B1E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Records File No.:</w:t>
      </w:r>
      <w:r w:rsidRPr="000F3089">
        <w:rPr>
          <w:szCs w:val="22"/>
        </w:rPr>
        <w:t xml:space="preserve"> </w:t>
      </w:r>
      <w:r w:rsidRPr="000F3089">
        <w:rPr>
          <w:szCs w:val="22"/>
        </w:rPr>
        <w:tab/>
      </w:r>
      <w:r w:rsidR="0054158C">
        <w:rPr>
          <w:szCs w:val="22"/>
        </w:rPr>
        <w:t xml:space="preserve">Not </w:t>
      </w:r>
      <w:r w:rsidRPr="000F3089">
        <w:rPr>
          <w:szCs w:val="22"/>
        </w:rPr>
        <w:t>applicable</w:t>
      </w:r>
    </w:p>
    <w:p w14:paraId="5B9538C9" w14:textId="4C4CDFB7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of approval:</w:t>
      </w:r>
      <w:r w:rsidRPr="000F3089">
        <w:rPr>
          <w:szCs w:val="22"/>
        </w:rPr>
        <w:tab/>
      </w:r>
      <w:r w:rsidR="0054158C">
        <w:rPr>
          <w:szCs w:val="22"/>
        </w:rPr>
        <w:t>08 July 2022</w:t>
      </w:r>
    </w:p>
    <w:p w14:paraId="06B0623F" w14:textId="6DDC15B8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of operation:</w:t>
      </w:r>
      <w:r w:rsidRPr="000F3089">
        <w:rPr>
          <w:szCs w:val="22"/>
        </w:rPr>
        <w:tab/>
      </w:r>
      <w:r w:rsidR="0054158C">
        <w:rPr>
          <w:szCs w:val="22"/>
        </w:rPr>
        <w:t>08 July 2022</w:t>
      </w:r>
    </w:p>
    <w:p w14:paraId="37B5BB97" w14:textId="6BCF19AE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to be reviewed:</w:t>
      </w:r>
      <w:r w:rsidRPr="000F3089">
        <w:rPr>
          <w:szCs w:val="22"/>
        </w:rPr>
        <w:tab/>
      </w:r>
      <w:r w:rsidR="0054158C">
        <w:rPr>
          <w:szCs w:val="22"/>
        </w:rPr>
        <w:t>08 July 202</w:t>
      </w:r>
      <w:r w:rsidR="0054158C">
        <w:rPr>
          <w:szCs w:val="22"/>
        </w:rPr>
        <w:t>5</w:t>
      </w:r>
    </w:p>
    <w:p w14:paraId="51EA6C3E" w14:textId="77777777" w:rsidR="00615C0F" w:rsidRPr="000F3089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29475EF1" w14:textId="39EFA48C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Office:</w:t>
      </w:r>
      <w:r w:rsidRPr="000F3089">
        <w:rPr>
          <w:szCs w:val="22"/>
        </w:rPr>
        <w:tab/>
      </w:r>
      <w:r w:rsidR="0054158C">
        <w:rPr>
          <w:rFonts w:eastAsia="Arial"/>
          <w:color w:val="000000"/>
        </w:rPr>
        <w:t>Office of the Chief Practitioner</w:t>
      </w:r>
    </w:p>
    <w:p w14:paraId="321203EA" w14:textId="3E0C481A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Help Contact:</w:t>
      </w:r>
      <w:r w:rsidRPr="000F3089">
        <w:rPr>
          <w:szCs w:val="22"/>
        </w:rPr>
        <w:tab/>
      </w:r>
      <w:r w:rsidR="0054158C">
        <w:rPr>
          <w:szCs w:val="22"/>
        </w:rPr>
        <w:t>Child Protection Practice</w:t>
      </w:r>
    </w:p>
    <w:p w14:paraId="782D02F8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71D7D190" w14:textId="77777777" w:rsidR="00615C0F" w:rsidRPr="000F3089" w:rsidRDefault="00615C0F" w:rsidP="00615C0F">
      <w:pPr>
        <w:rPr>
          <w:b/>
          <w:szCs w:val="22"/>
        </w:rPr>
      </w:pPr>
      <w:r w:rsidRPr="000F3089">
        <w:rPr>
          <w:b/>
          <w:szCs w:val="22"/>
        </w:rPr>
        <w:t>Links:</w:t>
      </w:r>
    </w:p>
    <w:p w14:paraId="65863A3F" w14:textId="77777777" w:rsidR="0054158C" w:rsidRDefault="0054158C" w:rsidP="0054158C">
      <w:pPr>
        <w:spacing w:before="118" w:line="247" w:lineRule="exact"/>
        <w:textAlignment w:val="baseline"/>
        <w:rPr>
          <w:rFonts w:eastAsia="Arial"/>
          <w:b/>
          <w:color w:val="000000"/>
          <w:spacing w:val="-1"/>
        </w:rPr>
      </w:pPr>
      <w:r>
        <w:rPr>
          <w:rFonts w:eastAsia="Arial"/>
          <w:b/>
          <w:color w:val="000000"/>
          <w:spacing w:val="-1"/>
        </w:rPr>
        <w:t>Procedure</w:t>
      </w:r>
    </w:p>
    <w:p w14:paraId="69757B5F" w14:textId="77777777" w:rsidR="0054158C" w:rsidRDefault="0054158C" w:rsidP="0054158C">
      <w:pPr>
        <w:spacing w:before="128" w:line="247" w:lineRule="exact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>Child Safety Practice Manual</w:t>
      </w:r>
    </w:p>
    <w:p w14:paraId="5B0AC859" w14:textId="77777777" w:rsidR="0054158C" w:rsidRDefault="0054158C" w:rsidP="0054158C">
      <w:pPr>
        <w:spacing w:before="497" w:line="247" w:lineRule="exact"/>
        <w:textAlignment w:val="baseline"/>
        <w:rPr>
          <w:rFonts w:eastAsia="Arial"/>
          <w:b/>
          <w:color w:val="000000"/>
          <w:spacing w:val="-1"/>
        </w:rPr>
      </w:pPr>
      <w:r>
        <w:rPr>
          <w:rFonts w:eastAsia="Arial"/>
          <w:b/>
          <w:color w:val="000000"/>
          <w:spacing w:val="-1"/>
        </w:rPr>
        <w:t>Related policies</w:t>
      </w:r>
    </w:p>
    <w:p w14:paraId="47B4DA32" w14:textId="77777777" w:rsidR="0054158C" w:rsidRDefault="0054158C" w:rsidP="0054158C">
      <w:pPr>
        <w:spacing w:before="127" w:line="247" w:lineRule="exact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>Investigation and assessment (386)</w:t>
      </w:r>
    </w:p>
    <w:p w14:paraId="00237E2B" w14:textId="77777777" w:rsidR="0054158C" w:rsidRDefault="0054158C" w:rsidP="0054158C">
      <w:pPr>
        <w:spacing w:before="128" w:line="247" w:lineRule="exact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>Supporting children in the care of long-term guardians (607)</w:t>
      </w:r>
    </w:p>
    <w:p w14:paraId="6CABEE77" w14:textId="77777777" w:rsidR="0054158C" w:rsidRDefault="0054158C" w:rsidP="0054158C">
      <w:pPr>
        <w:spacing w:before="497" w:line="247" w:lineRule="exact"/>
        <w:textAlignment w:val="baseline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Related Legislation or Standard</w:t>
      </w:r>
    </w:p>
    <w:p w14:paraId="1AE849F0" w14:textId="77777777" w:rsidR="0054158C" w:rsidRDefault="0054158C" w:rsidP="0054158C">
      <w:pPr>
        <w:spacing w:before="127" w:line="251" w:lineRule="exact"/>
        <w:textAlignment w:val="baseline"/>
        <w:rPr>
          <w:rFonts w:eastAsia="Arial"/>
          <w:i/>
          <w:color w:val="000000"/>
        </w:rPr>
      </w:pPr>
      <w:r>
        <w:rPr>
          <w:rFonts w:eastAsia="Arial"/>
          <w:i/>
          <w:color w:val="000000"/>
        </w:rPr>
        <w:t>Human Rights Act 2019</w:t>
      </w:r>
    </w:p>
    <w:p w14:paraId="5C69440B" w14:textId="77777777" w:rsidR="0054158C" w:rsidRDefault="0054158C" w:rsidP="0054158C">
      <w:pPr>
        <w:spacing w:before="123" w:line="251" w:lineRule="exact"/>
        <w:textAlignment w:val="baseline"/>
        <w:rPr>
          <w:rFonts w:eastAsia="Arial"/>
          <w:i/>
          <w:color w:val="000000"/>
        </w:rPr>
      </w:pPr>
      <w:r>
        <w:rPr>
          <w:rFonts w:eastAsia="Arial"/>
          <w:i/>
          <w:color w:val="000000"/>
        </w:rPr>
        <w:t>Public Guardian Act 2014</w:t>
      </w:r>
    </w:p>
    <w:p w14:paraId="4D643B41" w14:textId="77777777" w:rsidR="0054158C" w:rsidRDefault="0054158C" w:rsidP="0054158C">
      <w:pPr>
        <w:spacing w:before="119" w:line="251" w:lineRule="exact"/>
        <w:textAlignment w:val="baseline"/>
        <w:rPr>
          <w:rFonts w:eastAsia="Arial"/>
          <w:i/>
          <w:color w:val="000000"/>
        </w:rPr>
      </w:pPr>
      <w:r>
        <w:rPr>
          <w:rFonts w:eastAsia="Arial"/>
          <w:i/>
          <w:color w:val="000000"/>
        </w:rPr>
        <w:t>Queensland Civil and Administrative Tribunal Act 2009</w:t>
      </w:r>
    </w:p>
    <w:p w14:paraId="1941FD9D" w14:textId="77777777" w:rsidR="0054158C" w:rsidRDefault="0054158C" w:rsidP="0054158C">
      <w:pPr>
        <w:spacing w:before="498" w:line="247" w:lineRule="exact"/>
        <w:textAlignment w:val="baseline"/>
        <w:rPr>
          <w:rFonts w:eastAsia="Arial"/>
          <w:b/>
          <w:color w:val="000000"/>
          <w:spacing w:val="-4"/>
        </w:rPr>
      </w:pPr>
      <w:r>
        <w:rPr>
          <w:rFonts w:eastAsia="Arial"/>
          <w:b/>
          <w:color w:val="000000"/>
          <w:spacing w:val="-4"/>
        </w:rPr>
        <w:t>Forms</w:t>
      </w:r>
    </w:p>
    <w:p w14:paraId="13AB3113" w14:textId="77777777" w:rsidR="0054158C" w:rsidRDefault="0054158C" w:rsidP="0054158C">
      <w:pPr>
        <w:spacing w:before="122" w:line="247" w:lineRule="exact"/>
        <w:textAlignment w:val="baseline"/>
        <w:rPr>
          <w:rFonts w:eastAsia="Arial"/>
          <w:color w:val="000000"/>
          <w:spacing w:val="-1"/>
        </w:rPr>
      </w:pPr>
      <w:r>
        <w:rPr>
          <w:rFonts w:eastAsia="Arial"/>
          <w:color w:val="000000"/>
          <w:spacing w:val="-1"/>
        </w:rPr>
        <w:t>Support plan</w:t>
      </w:r>
    </w:p>
    <w:p w14:paraId="298672DB" w14:textId="77777777" w:rsidR="0054158C" w:rsidRDefault="0054158C" w:rsidP="0054158C">
      <w:pPr>
        <w:spacing w:before="502" w:line="247" w:lineRule="exact"/>
        <w:textAlignment w:val="baseline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Rescinded Policy</w:t>
      </w:r>
    </w:p>
    <w:p w14:paraId="25F103F1" w14:textId="4ED8D3DE" w:rsidR="0054158C" w:rsidRDefault="0054158C" w:rsidP="0054158C">
      <w:pPr>
        <w:spacing w:before="123" w:after="314" w:line="247" w:lineRule="exact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>406-</w:t>
      </w:r>
      <w:r>
        <w:rPr>
          <w:rFonts w:eastAsia="Arial"/>
          <w:color w:val="000000"/>
        </w:rPr>
        <w:t>5</w:t>
      </w:r>
      <w:r>
        <w:rPr>
          <w:rFonts w:eastAsia="Arial"/>
          <w:color w:val="000000"/>
        </w:rPr>
        <w:t xml:space="preserve"> Support service case</w:t>
      </w:r>
    </w:p>
    <w:p w14:paraId="05AFBED4" w14:textId="77777777" w:rsidR="00615C0F" w:rsidRPr="000F3089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423871AE" w14:textId="77777777" w:rsidR="00615C0F" w:rsidRPr="000F3089" w:rsidRDefault="00615C0F" w:rsidP="00B665D9"/>
    <w:p w14:paraId="0A6DEF90" w14:textId="33BFF392" w:rsidR="00AF308E" w:rsidRDefault="00AE5782" w:rsidP="00B665D9">
      <w:r>
        <w:t>Deidre Mulkerin</w:t>
      </w:r>
    </w:p>
    <w:p w14:paraId="368C2880" w14:textId="77777777" w:rsidR="00AF308E" w:rsidRPr="00223BE7" w:rsidRDefault="00AF308E" w:rsidP="00B665D9">
      <w:r w:rsidRPr="000F3089">
        <w:t>Director-General</w:t>
      </w:r>
    </w:p>
    <w:p w14:paraId="39FA9164" w14:textId="77777777" w:rsidR="00AF44CE" w:rsidRDefault="00AF44CE" w:rsidP="00B665D9">
      <w:pPr>
        <w:rPr>
          <w:lang w:val="en-US"/>
        </w:rPr>
        <w:sectPr w:rsidR="00AF44CE" w:rsidSect="00393EF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985" w:right="1134" w:bottom="1418" w:left="1134" w:header="709" w:footer="567" w:gutter="0"/>
          <w:cols w:space="709"/>
          <w:titlePg/>
          <w:docGrid w:linePitch="360"/>
        </w:sectPr>
      </w:pPr>
    </w:p>
    <w:p w14:paraId="5CA86977" w14:textId="77777777" w:rsidR="00A72C57" w:rsidRPr="00A72C57" w:rsidRDefault="00A72C57" w:rsidP="00B665D9">
      <w:pPr>
        <w:rPr>
          <w:lang w:val="en-US"/>
        </w:rPr>
      </w:pPr>
    </w:p>
    <w:sectPr w:rsidR="00A72C57" w:rsidRPr="00A72C57" w:rsidSect="00AF44CE">
      <w:type w:val="continuous"/>
      <w:pgSz w:w="11906" w:h="16838"/>
      <w:pgMar w:top="2268" w:right="1134" w:bottom="1701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8E7E" w14:textId="77777777" w:rsidR="00BC3AF0" w:rsidRDefault="00BC3AF0">
      <w:r>
        <w:separator/>
      </w:r>
    </w:p>
  </w:endnote>
  <w:endnote w:type="continuationSeparator" w:id="0">
    <w:p w14:paraId="1F10F77C" w14:textId="77777777" w:rsidR="00BC3AF0" w:rsidRDefault="00BC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C800" w14:textId="16C03265" w:rsidR="00C45FE8" w:rsidRPr="00025C5C" w:rsidRDefault="00025C5C" w:rsidP="00025C5C">
    <w:pPr>
      <w:pStyle w:val="Footer"/>
    </w:pPr>
    <w:r w:rsidRPr="00025C5C">
      <w:tab/>
    </w:r>
    <w:r w:rsidRPr="00025C5C">
      <w:fldChar w:fldCharType="begin"/>
    </w:r>
    <w:r w:rsidRPr="00025C5C">
      <w:instrText xml:space="preserve"> PAGE   \* MERGEFORMAT </w:instrText>
    </w:r>
    <w:r w:rsidRPr="00025C5C">
      <w:fldChar w:fldCharType="separate"/>
    </w:r>
    <w:r w:rsidRPr="00025C5C">
      <w:t>1</w:t>
    </w:r>
    <w:r w:rsidRPr="00025C5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0CA8" w14:textId="6A2FB874" w:rsidR="00025C5C" w:rsidRDefault="00025C5C" w:rsidP="00025C5C">
    <w:pPr>
      <w:pStyle w:val="Footer"/>
      <w:jc w:val="righ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3C41DA5" wp14:editId="4FA5F7F0">
          <wp:simplePos x="0" y="0"/>
          <wp:positionH relativeFrom="column">
            <wp:posOffset>4765675</wp:posOffset>
          </wp:positionH>
          <wp:positionV relativeFrom="paragraph">
            <wp:posOffset>-341983</wp:posOffset>
          </wp:positionV>
          <wp:extent cx="1652400" cy="540000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2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587A" w14:textId="77777777" w:rsidR="00BC3AF0" w:rsidRDefault="00BC3AF0">
      <w:r>
        <w:separator/>
      </w:r>
    </w:p>
  </w:footnote>
  <w:footnote w:type="continuationSeparator" w:id="0">
    <w:p w14:paraId="52824D9C" w14:textId="77777777" w:rsidR="00BC3AF0" w:rsidRDefault="00BC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EA7A" w14:textId="74C1AC60" w:rsidR="00B21459" w:rsidRDefault="00F35699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4FEE6A5" wp14:editId="6056FCEC">
          <wp:simplePos x="0" y="0"/>
          <wp:positionH relativeFrom="column">
            <wp:posOffset>-718270</wp:posOffset>
          </wp:positionH>
          <wp:positionV relativeFrom="paragraph">
            <wp:posOffset>-461010</wp:posOffset>
          </wp:positionV>
          <wp:extent cx="7560000" cy="1180800"/>
          <wp:effectExtent l="0" t="0" r="0" b="63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48843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3AE2" w14:textId="721FCC90" w:rsidR="00F35699" w:rsidRDefault="00F35699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3AA2F6B" wp14:editId="17CEC9C9">
          <wp:simplePos x="0" y="0"/>
          <wp:positionH relativeFrom="column">
            <wp:posOffset>-719282</wp:posOffset>
          </wp:positionH>
          <wp:positionV relativeFrom="paragraph">
            <wp:posOffset>-446405</wp:posOffset>
          </wp:positionV>
          <wp:extent cx="7560000" cy="1360800"/>
          <wp:effectExtent l="0" t="0" r="0" b="0"/>
          <wp:wrapNone/>
          <wp:docPr id="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7C7F25" w14:textId="037CDADF" w:rsidR="00F35699" w:rsidRDefault="00F35699">
    <w:pPr>
      <w:pStyle w:val="Header"/>
    </w:pPr>
  </w:p>
  <w:p w14:paraId="3447865C" w14:textId="413C78B3" w:rsidR="00F35699" w:rsidRDefault="00F35699">
    <w:pPr>
      <w:pStyle w:val="Header"/>
    </w:pPr>
  </w:p>
  <w:p w14:paraId="3A267EDE" w14:textId="3AFE64BD" w:rsidR="00F35699" w:rsidRDefault="00F35699">
    <w:pPr>
      <w:pStyle w:val="Header"/>
    </w:pPr>
  </w:p>
  <w:p w14:paraId="696537A4" w14:textId="77777777" w:rsidR="00F35699" w:rsidRDefault="00F35699">
    <w:pPr>
      <w:pStyle w:val="Header"/>
    </w:pPr>
  </w:p>
  <w:p w14:paraId="09D118B8" w14:textId="77777777" w:rsidR="00F35699" w:rsidRDefault="00F35699">
    <w:pPr>
      <w:pStyle w:val="Header"/>
    </w:pPr>
  </w:p>
  <w:p w14:paraId="515E2961" w14:textId="3838B260" w:rsidR="00025C5C" w:rsidRDefault="00025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42D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121DFB"/>
    <w:multiLevelType w:val="multilevel"/>
    <w:tmpl w:val="BEE630E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2583092">
    <w:abstractNumId w:val="0"/>
  </w:num>
  <w:num w:numId="2" w16cid:durableId="33515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5C5C"/>
    <w:rsid w:val="0002752A"/>
    <w:rsid w:val="000279FC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147A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2981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884"/>
    <w:rsid w:val="001F7A51"/>
    <w:rsid w:val="00202FF5"/>
    <w:rsid w:val="0020536F"/>
    <w:rsid w:val="002056E6"/>
    <w:rsid w:val="00205967"/>
    <w:rsid w:val="0020637E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4D90"/>
    <w:rsid w:val="00385392"/>
    <w:rsid w:val="00386445"/>
    <w:rsid w:val="00387977"/>
    <w:rsid w:val="00387E72"/>
    <w:rsid w:val="00390F37"/>
    <w:rsid w:val="00393B3D"/>
    <w:rsid w:val="00393B64"/>
    <w:rsid w:val="00393EF9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E7C50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57AA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58C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0D92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5C0F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0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0A0D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1F2A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659E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77329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782"/>
    <w:rsid w:val="00AE61E2"/>
    <w:rsid w:val="00AE6D22"/>
    <w:rsid w:val="00AE6FDE"/>
    <w:rsid w:val="00AF0F41"/>
    <w:rsid w:val="00AF1635"/>
    <w:rsid w:val="00AF29D8"/>
    <w:rsid w:val="00AF308E"/>
    <w:rsid w:val="00AF3602"/>
    <w:rsid w:val="00AF3C02"/>
    <w:rsid w:val="00AF44CE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6D6A"/>
    <w:rsid w:val="00B572C8"/>
    <w:rsid w:val="00B62F06"/>
    <w:rsid w:val="00B632EF"/>
    <w:rsid w:val="00B64085"/>
    <w:rsid w:val="00B665D9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3AF0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6EBE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1BD1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45FE8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2C47"/>
    <w:rsid w:val="00CA54E0"/>
    <w:rsid w:val="00CA5CC6"/>
    <w:rsid w:val="00CB253F"/>
    <w:rsid w:val="00CB2D98"/>
    <w:rsid w:val="00CB307C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0614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4D24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5699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4E91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EC368"/>
  <w14:defaultImageDpi w14:val="300"/>
  <w15:docId w15:val="{C0703116-A898-F740-98BC-E69424F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5D9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B665D9"/>
    <w:pPr>
      <w:keepNext/>
      <w:spacing w:before="120" w:after="120"/>
      <w:jc w:val="center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665D9"/>
    <w:pPr>
      <w:outlineLvl w:val="3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5C5C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025C5C"/>
    <w:pPr>
      <w:tabs>
        <w:tab w:val="right" w:pos="9638"/>
      </w:tabs>
      <w:spacing w:after="0"/>
    </w:pPr>
    <w:rPr>
      <w:sz w:val="20"/>
      <w:szCs w:val="22"/>
    </w:r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rsid w:val="00B665D9"/>
    <w:rPr>
      <w:rFonts w:ascii="Arial" w:hAnsi="Arial"/>
      <w:b/>
      <w:sz w:val="24"/>
      <w:szCs w:val="24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025C5C"/>
    <w:rPr>
      <w:rFonts w:ascii="Arial" w:hAnsi="Arial"/>
      <w:szCs w:val="24"/>
    </w:rPr>
  </w:style>
  <w:style w:type="paragraph" w:styleId="BodyText">
    <w:name w:val="Body Text"/>
    <w:basedOn w:val="Normal"/>
    <w:link w:val="BodyTextChar"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B665D9"/>
    <w:pPr>
      <w:spacing w:after="0"/>
    </w:pPr>
    <w:rPr>
      <w:i/>
      <w:szCs w:val="22"/>
    </w:rPr>
  </w:style>
  <w:style w:type="character" w:customStyle="1" w:styleId="BodyText2Char">
    <w:name w:val="Body Text 2 Char"/>
    <w:link w:val="BodyText2"/>
    <w:rsid w:val="00B665D9"/>
    <w:rPr>
      <w:rFonts w:ascii="Arial" w:hAnsi="Arial"/>
      <w:i/>
      <w:sz w:val="22"/>
      <w:szCs w:val="22"/>
    </w:rPr>
  </w:style>
  <w:style w:type="paragraph" w:styleId="BalloonText">
    <w:name w:val="Balloon Text"/>
    <w:basedOn w:val="Normal"/>
    <w:link w:val="BalloonTextChar"/>
    <w:rsid w:val="001D29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98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54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footer2.xml" Type="http://schemas.openxmlformats.org/officeDocument/2006/relationships/footer"/>
<Relationship Id="rId11" Target="fontTable.xml" Type="http://schemas.openxmlformats.org/officeDocument/2006/relationships/fontTable"/>
<Relationship Id="rId12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oter1.xml" Type="http://schemas.openxmlformats.org/officeDocument/2006/relationships/footer"/>
<Relationship Id="rId9" Target="header2.xml" Type="http://schemas.openxmlformats.org/officeDocument/2006/relationships/header"/>
</Relationships>

</file>

<file path=word/_rels/footer2.xml.rels><?xml version="1.0" encoding="UTF-8" standalone="yes"?>
<Relationships xmlns="http://schemas.openxmlformats.org/package/2006/relationships">
<Relationship Id="rId1" Target="media/image3.jp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service case</vt:lpstr>
    </vt:vector>
  </TitlesOfParts>
  <Manager>Department of Child Safety, Seniors and Disability Services</Manager>
  <Company>Queensland Government</Company>
  <LinksUpToDate>false</LinksUpToDate>
  <CharactersWithSpaces>4662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2059</vt:i4>
      </vt:variant>
      <vt:variant>
        <vt:i4>1</vt:i4>
      </vt:variant>
      <vt:variant>
        <vt:lpwstr>HeaderFooters-1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template</cp:category>
  <dcterms:created xsi:type="dcterms:W3CDTF">2023-09-07T23:49:00Z</dcterms:created>
  <dc:creator>Queensland Government</dc:creator>
  <cp:keywords>operational policy;support service;policy;ssc;support service case</cp:keywords>
  <cp:lastModifiedBy>Carol Strawbridge</cp:lastModifiedBy>
  <dcterms:modified xsi:type="dcterms:W3CDTF">2023-09-07T23:49:00Z</dcterms:modified>
  <cp:revision>2</cp:revision>
  <dc:subject>Policy for support service cases</dc:subject>
  <dc:title>Support service case</dc:title>
</cp:coreProperties>
</file>