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4BC3" w14:textId="215845CC" w:rsidR="006B4AD6" w:rsidRPr="006B4AD6" w:rsidRDefault="009F443C" w:rsidP="006B4AD6">
      <w:pPr>
        <w:jc w:val="center"/>
        <w:rPr>
          <w:rFonts w:ascii="MetaBold-Roman" w:hAnsi="MetaBold-Roman"/>
          <w:color w:val="055772"/>
          <w:sz w:val="28"/>
          <w:szCs w:val="28"/>
          <w:lang w:val="en-US"/>
        </w:rPr>
      </w:pPr>
      <w:r>
        <w:rPr>
          <w:rFonts w:ascii="MetaBold-Roman" w:hAnsi="MetaBold-Roman"/>
          <w:color w:val="055772"/>
          <w:sz w:val="28"/>
          <w:szCs w:val="28"/>
          <w:lang w:val="en-US"/>
        </w:rPr>
        <w:t>CHILD SAFETY</w:t>
      </w:r>
      <w:r w:rsidR="006B4AD6" w:rsidRPr="006B4AD6">
        <w:rPr>
          <w:rFonts w:ascii="MetaBold-Roman" w:hAnsi="MetaBold-Roman"/>
          <w:color w:val="055772"/>
          <w:sz w:val="28"/>
          <w:szCs w:val="28"/>
          <w:lang w:val="en-US"/>
        </w:rPr>
        <w:t xml:space="preserve"> DATA</w:t>
      </w:r>
    </w:p>
    <w:p w14:paraId="2DB2FFF2" w14:textId="0AC3BD56" w:rsidR="006B4AD6" w:rsidRPr="006B4AD6" w:rsidRDefault="006B4AD6" w:rsidP="006B4AD6">
      <w:pPr>
        <w:rPr>
          <w:color w:val="055772"/>
          <w:sz w:val="24"/>
          <w:szCs w:val="24"/>
        </w:rPr>
      </w:pPr>
      <w:r w:rsidRPr="006B4AD6">
        <w:rPr>
          <w:color w:val="055772"/>
          <w:sz w:val="24"/>
          <w:szCs w:val="24"/>
        </w:rPr>
        <w:t>INTRODUCTION</w:t>
      </w:r>
    </w:p>
    <w:p w14:paraId="4711B98F" w14:textId="41D19F92" w:rsidR="006B4AD6" w:rsidRPr="006B4AD6" w:rsidRDefault="006B4AD6" w:rsidP="006B4AD6">
      <w:r w:rsidRPr="006B4AD6">
        <w:t xml:space="preserve">This document provides an overview of the standard data files used by </w:t>
      </w:r>
      <w:r w:rsidR="00804594">
        <w:t>Child Safety Performance Reporting and Analytics</w:t>
      </w:r>
      <w:r w:rsidRPr="006B4AD6">
        <w:t xml:space="preserve"> that may be available to researchers.  </w:t>
      </w:r>
    </w:p>
    <w:p w14:paraId="0E088A34" w14:textId="42802DC4" w:rsidR="006B4AD6" w:rsidRPr="006B4AD6" w:rsidRDefault="006B4AD6" w:rsidP="006B4AD6">
      <w:r w:rsidRPr="006B4AD6">
        <w:t xml:space="preserve">The level of detail provided will allow researchers to assess whether datasets available from </w:t>
      </w:r>
      <w:r w:rsidR="00804594">
        <w:t>C</w:t>
      </w:r>
      <w:r w:rsidR="00913971">
        <w:t xml:space="preserve">hild </w:t>
      </w:r>
      <w:r w:rsidR="00804594">
        <w:t>S</w:t>
      </w:r>
      <w:r w:rsidR="00913971">
        <w:t>afety</w:t>
      </w:r>
      <w:r w:rsidRPr="006B4AD6">
        <w:t xml:space="preserve"> are likely to meet their needs.  More detailed information is available upon request through the </w:t>
      </w:r>
      <w:r w:rsidR="00913971">
        <w:t>Child Safety</w:t>
      </w:r>
      <w:r w:rsidRPr="006B4AD6">
        <w:t xml:space="preserve"> Research</w:t>
      </w:r>
      <w:r w:rsidR="00633C85">
        <w:t xml:space="preserve"> team</w:t>
      </w:r>
      <w:r w:rsidRPr="006B4AD6">
        <w:t>.</w:t>
      </w:r>
    </w:p>
    <w:p w14:paraId="4691B3E7" w14:textId="644F1E3C" w:rsidR="006B4AD6" w:rsidRPr="006B4AD6" w:rsidRDefault="00A246D8" w:rsidP="006B4AD6">
      <w:r>
        <w:t xml:space="preserve">Child </w:t>
      </w:r>
      <w:r w:rsidR="00804594">
        <w:t>S</w:t>
      </w:r>
      <w:r>
        <w:t>afety</w:t>
      </w:r>
      <w:r w:rsidR="006B4AD6" w:rsidRPr="006B4AD6">
        <w:t xml:space="preserve"> do not have permission to provide data from other departments and agencies (</w:t>
      </w:r>
      <w:proofErr w:type="gramStart"/>
      <w:r w:rsidR="006B4AD6" w:rsidRPr="006B4AD6">
        <w:t>e.g.</w:t>
      </w:r>
      <w:proofErr w:type="gramEnd"/>
      <w:r w:rsidR="006B4AD6" w:rsidRPr="006B4AD6">
        <w:t xml:space="preserve"> </w:t>
      </w:r>
      <w:r w:rsidR="00804594">
        <w:t>Education</w:t>
      </w:r>
      <w:r w:rsidR="006B4AD6" w:rsidRPr="006B4AD6">
        <w:t>) to third parties. Researchers need to contact other departments directly and seek permission to access their data.</w:t>
      </w:r>
    </w:p>
    <w:p w14:paraId="5EAF8FD7" w14:textId="77777777" w:rsidR="006B4AD6" w:rsidRPr="006B4AD6" w:rsidRDefault="006B4AD6" w:rsidP="006B4AD6">
      <w:pPr>
        <w:spacing w:after="240"/>
      </w:pPr>
      <w:r w:rsidRPr="006B4AD6">
        <w:t>Researchers interested in linking data files across government departments should contact Queensland Government Statisticians Office (QGSO) for availability and costings.</w:t>
      </w:r>
    </w:p>
    <w:p w14:paraId="102E0CAA" w14:textId="77777777" w:rsidR="006B4AD6" w:rsidRPr="006B4AD6" w:rsidRDefault="006B4AD6" w:rsidP="006B4AD6">
      <w:pPr>
        <w:rPr>
          <w:color w:val="055772"/>
          <w:sz w:val="24"/>
          <w:szCs w:val="24"/>
        </w:rPr>
      </w:pPr>
      <w:r w:rsidRPr="006B4AD6">
        <w:rPr>
          <w:color w:val="055772"/>
          <w:sz w:val="24"/>
          <w:szCs w:val="24"/>
        </w:rPr>
        <w:t>DATA CONTENT</w:t>
      </w:r>
    </w:p>
    <w:p w14:paraId="51A89C44" w14:textId="3EC4168F" w:rsidR="006B4AD6" w:rsidRPr="006B4AD6" w:rsidRDefault="006B4AD6" w:rsidP="006B4AD6">
      <w:pPr>
        <w:numPr>
          <w:ilvl w:val="0"/>
          <w:numId w:val="6"/>
        </w:numPr>
      </w:pPr>
      <w:r w:rsidRPr="006B4AD6">
        <w:rPr>
          <w:i/>
          <w:iCs/>
        </w:rPr>
        <w:t>Unique identifiers</w:t>
      </w:r>
      <w:r w:rsidRPr="006B4AD6">
        <w:rPr>
          <w:b/>
          <w:bCs/>
          <w:i/>
          <w:iCs/>
        </w:rPr>
        <w:t xml:space="preserve">:  </w:t>
      </w:r>
      <w:r w:rsidR="00C9786F">
        <w:t xml:space="preserve">child ICMS </w:t>
      </w:r>
      <w:r w:rsidRPr="006B4AD6">
        <w:t>ID (masked</w:t>
      </w:r>
      <w:r w:rsidR="00804594">
        <w:t>)</w:t>
      </w:r>
      <w:r w:rsidRPr="006B4AD6">
        <w:t xml:space="preserve"> </w:t>
      </w:r>
    </w:p>
    <w:p w14:paraId="4C7FB39F" w14:textId="4DC458AF" w:rsidR="006B4AD6" w:rsidRPr="006B4AD6" w:rsidRDefault="006B4AD6" w:rsidP="006B4AD6">
      <w:pPr>
        <w:numPr>
          <w:ilvl w:val="0"/>
          <w:numId w:val="6"/>
        </w:numPr>
      </w:pPr>
      <w:r w:rsidRPr="006B4AD6">
        <w:rPr>
          <w:i/>
          <w:iCs/>
        </w:rPr>
        <w:t xml:space="preserve">Demographic characteristics of </w:t>
      </w:r>
      <w:r w:rsidR="000E0800">
        <w:rPr>
          <w:i/>
          <w:iCs/>
        </w:rPr>
        <w:t xml:space="preserve">children, </w:t>
      </w:r>
      <w:r w:rsidRPr="006B4AD6">
        <w:rPr>
          <w:i/>
          <w:iCs/>
        </w:rPr>
        <w:t>young people</w:t>
      </w:r>
      <w:r w:rsidR="000E0800">
        <w:rPr>
          <w:i/>
          <w:iCs/>
        </w:rPr>
        <w:t xml:space="preserve"> and carers</w:t>
      </w:r>
      <w:r w:rsidRPr="006B4AD6">
        <w:rPr>
          <w:i/>
          <w:iCs/>
        </w:rPr>
        <w:t>:</w:t>
      </w:r>
      <w:r w:rsidRPr="006B4AD6">
        <w:t xml:space="preserve">  age, sex</w:t>
      </w:r>
      <w:r w:rsidR="000E0800">
        <w:t>,</w:t>
      </w:r>
      <w:r w:rsidR="00705F0B">
        <w:t xml:space="preserve"> and</w:t>
      </w:r>
      <w:r w:rsidRPr="006B4AD6">
        <w:t xml:space="preserve"> Aboriginal and Torres Strait Islander identification</w:t>
      </w:r>
      <w:r w:rsidR="000E0800">
        <w:t xml:space="preserve">. </w:t>
      </w:r>
      <w:r w:rsidR="00804594">
        <w:t>The m</w:t>
      </w:r>
      <w:r w:rsidR="000E0800">
        <w:t>ajority of the below data can be provided with this demographic breakdown.</w:t>
      </w:r>
    </w:p>
    <w:p w14:paraId="5A1AA936" w14:textId="3627C7FB" w:rsidR="006B4AD6" w:rsidRPr="006B4AD6" w:rsidRDefault="00D91C99" w:rsidP="006B4AD6">
      <w:pPr>
        <w:numPr>
          <w:ilvl w:val="0"/>
          <w:numId w:val="6"/>
        </w:numPr>
      </w:pPr>
      <w:r>
        <w:rPr>
          <w:i/>
          <w:iCs/>
        </w:rPr>
        <w:t>Intake</w:t>
      </w:r>
      <w:r w:rsidR="00804594">
        <w:rPr>
          <w:i/>
          <w:iCs/>
        </w:rPr>
        <w:t xml:space="preserve"> (12 months ending reference period)</w:t>
      </w:r>
      <w:r w:rsidR="006B4AD6" w:rsidRPr="006B4AD6">
        <w:rPr>
          <w:i/>
          <w:iCs/>
        </w:rPr>
        <w:t>:</w:t>
      </w:r>
      <w:r w:rsidR="006B4AD6" w:rsidRPr="006B4AD6">
        <w:t xml:space="preserve"> date of </w:t>
      </w:r>
      <w:r>
        <w:t>intake</w:t>
      </w:r>
      <w:r w:rsidR="006B4AD6" w:rsidRPr="006B4AD6">
        <w:t xml:space="preserve">, </w:t>
      </w:r>
      <w:r>
        <w:t>intake category</w:t>
      </w:r>
      <w:r w:rsidR="00804594">
        <w:t xml:space="preserve"> outcome (child concern report or notification)</w:t>
      </w:r>
      <w:r w:rsidR="006B4AD6" w:rsidRPr="006B4AD6">
        <w:t xml:space="preserve">, </w:t>
      </w:r>
      <w:r>
        <w:t>intake source</w:t>
      </w:r>
      <w:r w:rsidR="006B4AD6" w:rsidRPr="006B4AD6">
        <w:t xml:space="preserve">, </w:t>
      </w:r>
      <w:r w:rsidR="00804594">
        <w:t xml:space="preserve">departmental </w:t>
      </w:r>
      <w:r w:rsidR="00F44EA9">
        <w:t>intake region</w:t>
      </w:r>
      <w:r w:rsidR="00804594">
        <w:t xml:space="preserve">, </w:t>
      </w:r>
      <w:r w:rsidR="00F11DEE">
        <w:t>geographic location (based on home address at the time of intake)</w:t>
      </w:r>
      <w:r w:rsidR="00804594">
        <w:t>.</w:t>
      </w:r>
    </w:p>
    <w:p w14:paraId="4BDA5D46" w14:textId="09451212" w:rsidR="006B4AD6" w:rsidRPr="006B4AD6" w:rsidRDefault="00FB2513" w:rsidP="006B4AD6">
      <w:pPr>
        <w:numPr>
          <w:ilvl w:val="0"/>
          <w:numId w:val="6"/>
        </w:numPr>
      </w:pPr>
      <w:r>
        <w:rPr>
          <w:i/>
          <w:iCs/>
        </w:rPr>
        <w:t>Investigation and/or assessment</w:t>
      </w:r>
      <w:r w:rsidR="000E0800">
        <w:rPr>
          <w:i/>
          <w:iCs/>
        </w:rPr>
        <w:t xml:space="preserve"> (I&amp;</w:t>
      </w:r>
      <w:r w:rsidR="00804594">
        <w:rPr>
          <w:i/>
          <w:iCs/>
        </w:rPr>
        <w:t>A) (12 months ending reference period)</w:t>
      </w:r>
      <w:r>
        <w:rPr>
          <w:i/>
          <w:iCs/>
        </w:rPr>
        <w:t>:</w:t>
      </w:r>
      <w:r w:rsidR="006B4AD6" w:rsidRPr="006B4AD6">
        <w:t xml:space="preserve">  </w:t>
      </w:r>
      <w:r w:rsidR="000E0800">
        <w:t xml:space="preserve">I&amp;A </w:t>
      </w:r>
      <w:r w:rsidR="00804594">
        <w:t xml:space="preserve">response </w:t>
      </w:r>
      <w:r w:rsidR="000E0800">
        <w:t xml:space="preserve">priority, </w:t>
      </w:r>
      <w:r w:rsidR="006B4AD6" w:rsidRPr="006B4AD6">
        <w:t xml:space="preserve">date of </w:t>
      </w:r>
      <w:r w:rsidR="00B774FC">
        <w:t>assessment commencement</w:t>
      </w:r>
      <w:r w:rsidR="006B4AD6" w:rsidRPr="006B4AD6">
        <w:t xml:space="preserve">, </w:t>
      </w:r>
      <w:r w:rsidR="00981DA2">
        <w:t xml:space="preserve">assessment commencement timeframes, </w:t>
      </w:r>
      <w:r w:rsidR="00B774FC">
        <w:t xml:space="preserve">date of assessment completion, outcome of </w:t>
      </w:r>
      <w:r w:rsidR="00981DA2">
        <w:t xml:space="preserve">investigation and/or </w:t>
      </w:r>
      <w:r w:rsidR="00B774FC">
        <w:t>assessment</w:t>
      </w:r>
      <w:r w:rsidR="00804594">
        <w:t>, departmental assessment region, departmental assessment district, departmental assessment child safety service centre.</w:t>
      </w:r>
    </w:p>
    <w:p w14:paraId="13392C69" w14:textId="4FC57804" w:rsidR="006B4AD6" w:rsidRPr="006B4AD6" w:rsidRDefault="002518E0" w:rsidP="006B4AD6">
      <w:pPr>
        <w:numPr>
          <w:ilvl w:val="0"/>
          <w:numId w:val="6"/>
        </w:numPr>
      </w:pPr>
      <w:r>
        <w:rPr>
          <w:i/>
          <w:iCs/>
        </w:rPr>
        <w:t>Ongoing intervention</w:t>
      </w:r>
      <w:r w:rsidR="00804594">
        <w:rPr>
          <w:i/>
          <w:iCs/>
        </w:rPr>
        <w:t xml:space="preserve"> (as at a reference date)</w:t>
      </w:r>
      <w:r>
        <w:rPr>
          <w:i/>
          <w:iCs/>
        </w:rPr>
        <w:t>:</w:t>
      </w:r>
      <w:r w:rsidR="006B4AD6" w:rsidRPr="006B4AD6">
        <w:t xml:space="preserve">  </w:t>
      </w:r>
      <w:r w:rsidR="00404539">
        <w:t xml:space="preserve">intervention type, </w:t>
      </w:r>
      <w:r w:rsidR="00E87E77">
        <w:t>child protection order type</w:t>
      </w:r>
      <w:r w:rsidR="00AD559D">
        <w:t xml:space="preserve"> and length</w:t>
      </w:r>
      <w:r w:rsidR="00804594">
        <w:t xml:space="preserve"> (where applicable), assigned departmental region, assigned departmental district, assigned departmental child safety service centre.</w:t>
      </w:r>
    </w:p>
    <w:p w14:paraId="136973CA" w14:textId="607C3355" w:rsidR="006B4AD6" w:rsidRPr="006B4AD6" w:rsidRDefault="00AD559D" w:rsidP="006B4AD6">
      <w:pPr>
        <w:numPr>
          <w:ilvl w:val="0"/>
          <w:numId w:val="6"/>
        </w:numPr>
      </w:pPr>
      <w:r>
        <w:rPr>
          <w:i/>
          <w:iCs/>
        </w:rPr>
        <w:t>Living arrangements</w:t>
      </w:r>
      <w:r w:rsidR="00A577C3">
        <w:rPr>
          <w:i/>
          <w:iCs/>
        </w:rPr>
        <w:t xml:space="preserve"> of children and young people</w:t>
      </w:r>
      <w:r w:rsidR="00804594">
        <w:rPr>
          <w:i/>
          <w:iCs/>
        </w:rPr>
        <w:t xml:space="preserve"> (as at a reference date):</w:t>
      </w:r>
      <w:r w:rsidR="00804594" w:rsidRPr="006B4AD6">
        <w:t xml:space="preserve"> </w:t>
      </w:r>
      <w:r w:rsidR="00CF1F65">
        <w:t>placement type</w:t>
      </w:r>
      <w:r w:rsidR="00804594">
        <w:t xml:space="preserve"> (e.g., foster care, kinship care, residential care)</w:t>
      </w:r>
      <w:r w:rsidR="00CF1F65">
        <w:t>, length of time in placement,</w:t>
      </w:r>
      <w:r w:rsidR="00E03A1A">
        <w:t xml:space="preserve"> whether they are placed with sibling</w:t>
      </w:r>
      <w:r w:rsidR="002B6303">
        <w:t xml:space="preserve">/s, </w:t>
      </w:r>
      <w:r w:rsidR="00804594">
        <w:t>assigned departmental region, assigned departmental district, assigned departmental child safety service centre.</w:t>
      </w:r>
    </w:p>
    <w:p w14:paraId="4F8BD656" w14:textId="2B9DB46A" w:rsidR="006B4AD6" w:rsidRPr="006B4AD6" w:rsidRDefault="0066115B" w:rsidP="006B4AD6">
      <w:pPr>
        <w:numPr>
          <w:ilvl w:val="0"/>
          <w:numId w:val="6"/>
        </w:numPr>
      </w:pPr>
      <w:r>
        <w:rPr>
          <w:i/>
          <w:iCs/>
        </w:rPr>
        <w:t>Carer</w:t>
      </w:r>
      <w:r w:rsidR="00A577C3">
        <w:rPr>
          <w:i/>
          <w:iCs/>
        </w:rPr>
        <w:t xml:space="preserve"> families</w:t>
      </w:r>
      <w:r w:rsidR="00804594">
        <w:rPr>
          <w:i/>
          <w:iCs/>
        </w:rPr>
        <w:t xml:space="preserve"> (as at a reference date):</w:t>
      </w:r>
      <w:r w:rsidR="006B4AD6" w:rsidRPr="006B4AD6">
        <w:t xml:space="preserve"> </w:t>
      </w:r>
      <w:r>
        <w:t xml:space="preserve">carer approval type, first time carers, </w:t>
      </w:r>
      <w:r w:rsidR="000E0800">
        <w:t>carer approval start date</w:t>
      </w:r>
      <w:r>
        <w:t xml:space="preserve">, </w:t>
      </w:r>
      <w:r w:rsidR="00D36031">
        <w:t xml:space="preserve">whether they are grandparent carers, </w:t>
      </w:r>
      <w:r w:rsidR="00D8746D">
        <w:t xml:space="preserve">length of time as a </w:t>
      </w:r>
      <w:proofErr w:type="spellStart"/>
      <w:r w:rsidR="00D8746D">
        <w:t>carer</w:t>
      </w:r>
      <w:proofErr w:type="spellEnd"/>
      <w:r w:rsidR="000E0800">
        <w:t>, number of children and young people placed with carer</w:t>
      </w:r>
      <w:r w:rsidR="00804594">
        <w:t>,</w:t>
      </w:r>
      <w:r w:rsidR="00804594" w:rsidRPr="00804594">
        <w:t xml:space="preserve"> </w:t>
      </w:r>
      <w:r w:rsidR="00804594">
        <w:t>assigned departmental region, assigned departmental district, assigned departmental child safety service centre.</w:t>
      </w:r>
    </w:p>
    <w:p w14:paraId="236D7CFA" w14:textId="6B8F4CCA" w:rsidR="006B4AD6" w:rsidRPr="006B4AD6" w:rsidRDefault="008E3A91" w:rsidP="008E3A91">
      <w:pPr>
        <w:tabs>
          <w:tab w:val="left" w:pos="5021"/>
        </w:tabs>
      </w:pPr>
      <w:r>
        <w:tab/>
      </w:r>
    </w:p>
    <w:p w14:paraId="25D5601C" w14:textId="28B02C60" w:rsidR="006B4AD6" w:rsidRDefault="006B4AD6" w:rsidP="006B4AD6"/>
    <w:p w14:paraId="091F8797" w14:textId="77777777" w:rsidR="006B4AD6" w:rsidRPr="006B4AD6" w:rsidRDefault="006B4AD6" w:rsidP="006B4AD6">
      <w:pPr>
        <w:rPr>
          <w:color w:val="055772"/>
          <w:sz w:val="24"/>
          <w:szCs w:val="24"/>
        </w:rPr>
      </w:pPr>
      <w:r w:rsidRPr="006B4AD6">
        <w:rPr>
          <w:color w:val="055772"/>
          <w:sz w:val="24"/>
          <w:szCs w:val="24"/>
        </w:rPr>
        <w:t>DATE RANGES </w:t>
      </w:r>
    </w:p>
    <w:p w14:paraId="19A1603C" w14:textId="02153D42" w:rsidR="006B4AD6" w:rsidRPr="006B4AD6" w:rsidRDefault="006B4AD6" w:rsidP="006B4AD6">
      <w:r w:rsidRPr="006B4AD6">
        <w:t>Start of period:  Data is generally available back to 2010</w:t>
      </w:r>
    </w:p>
    <w:p w14:paraId="5EF58FFF" w14:textId="55F29B89" w:rsidR="006B4AD6" w:rsidRPr="006B4AD6" w:rsidRDefault="006B4AD6" w:rsidP="006B4AD6">
      <w:r w:rsidRPr="006B4AD6">
        <w:t xml:space="preserve">End of period:  Data is </w:t>
      </w:r>
      <w:r w:rsidR="00C46DDB">
        <w:t>generally</w:t>
      </w:r>
      <w:r w:rsidRPr="006B4AD6">
        <w:t xml:space="preserve"> available </w:t>
      </w:r>
      <w:r w:rsidR="00C91915">
        <w:t>three</w:t>
      </w:r>
      <w:r w:rsidR="00C91915" w:rsidRPr="006B4AD6">
        <w:t xml:space="preserve"> </w:t>
      </w:r>
      <w:r w:rsidRPr="006B4AD6">
        <w:t xml:space="preserve">months </w:t>
      </w:r>
      <w:r w:rsidR="00AD4CFC">
        <w:t>after</w:t>
      </w:r>
      <w:r w:rsidRPr="006B4AD6">
        <w:t xml:space="preserve"> the </w:t>
      </w:r>
      <w:r w:rsidR="00C46DDB">
        <w:t xml:space="preserve">reference </w:t>
      </w:r>
      <w:r w:rsidRPr="006B4AD6">
        <w:t>date</w:t>
      </w:r>
      <w:r w:rsidR="00C46DDB">
        <w:t xml:space="preserve"> e.g.,</w:t>
      </w:r>
      <w:r w:rsidRPr="00AD4CFC">
        <w:t xml:space="preserve"> </w:t>
      </w:r>
      <w:r w:rsidR="00AD4CFC">
        <w:t xml:space="preserve">for the reference period 31 March, </w:t>
      </w:r>
      <w:r w:rsidR="00C46DDB">
        <w:t xml:space="preserve">data </w:t>
      </w:r>
      <w:r w:rsidR="00AD4CFC">
        <w:t>is generally available from 30 June</w:t>
      </w:r>
      <w:r w:rsidR="00C46DDB">
        <w:t>.</w:t>
      </w:r>
    </w:p>
    <w:p w14:paraId="0DA21E4E" w14:textId="7B1D80F4" w:rsidR="006B4AD6" w:rsidRPr="006B4AD6" w:rsidRDefault="006B4AD6" w:rsidP="006B4AD6">
      <w:r w:rsidRPr="006B4AD6">
        <w:t xml:space="preserve">Researchers typically request date ranges that correspond to calendar years or the standard financial year (1 July to 30 June).  </w:t>
      </w:r>
      <w:r w:rsidR="00AD4CFC">
        <w:t xml:space="preserve">Child </w:t>
      </w:r>
      <w:r w:rsidR="00C46DDB">
        <w:t>S</w:t>
      </w:r>
      <w:r w:rsidR="00AD4CFC">
        <w:t>afety data is reported with a reference date of each quarter (31 March, 30 June, 30 September and 31 December). Data at these reference points can be for either the year ending the reference date, or as at the reference date (depending on the data</w:t>
      </w:r>
      <w:r w:rsidR="00C46DDB">
        <w:t>set</w:t>
      </w:r>
      <w:r w:rsidR="00AD4CFC">
        <w:t>)</w:t>
      </w:r>
      <w:r w:rsidR="00E95DB9">
        <w:t>.</w:t>
      </w:r>
    </w:p>
    <w:p w14:paraId="1F7142B2" w14:textId="4A29B62B" w:rsidR="006B4AD6" w:rsidRPr="006B4AD6" w:rsidRDefault="006B4AD6" w:rsidP="006B4AD6">
      <w:pPr>
        <w:spacing w:after="240"/>
      </w:pPr>
      <w:r w:rsidRPr="006B4AD6">
        <w:t xml:space="preserve">Note that researchers should take into consideration </w:t>
      </w:r>
      <w:r w:rsidR="00AD4CFC">
        <w:t>the above</w:t>
      </w:r>
      <w:r w:rsidRPr="006B4AD6">
        <w:t xml:space="preserve"> time </w:t>
      </w:r>
      <w:r w:rsidR="009F5E6E">
        <w:t>frame</w:t>
      </w:r>
      <w:r w:rsidRPr="006B4AD6">
        <w:t xml:space="preserve">s, and the time required for organisational </w:t>
      </w:r>
      <w:r w:rsidR="009F5E6E">
        <w:t xml:space="preserve">data extraction and approval </w:t>
      </w:r>
      <w:r w:rsidRPr="006B4AD6">
        <w:t>processes to occur</w:t>
      </w:r>
      <w:r>
        <w:t>.</w:t>
      </w:r>
      <w:r w:rsidR="009F5E6E">
        <w:t xml:space="preserve"> For example, if the data </w:t>
      </w:r>
      <w:r w:rsidR="00A577C3">
        <w:t xml:space="preserve">requested </w:t>
      </w:r>
      <w:r w:rsidR="009F5E6E">
        <w:t xml:space="preserve">is not readily available in standard reports, </w:t>
      </w:r>
      <w:r w:rsidR="00A577C3">
        <w:t>additional timeframes will be required, d</w:t>
      </w:r>
      <w:r w:rsidR="009F5E6E">
        <w:t>epending on the complexity of the data</w:t>
      </w:r>
      <w:r w:rsidR="00A577C3">
        <w:t>.</w:t>
      </w:r>
      <w:r w:rsidR="009F5E6E">
        <w:t xml:space="preserve"> </w:t>
      </w:r>
    </w:p>
    <w:p w14:paraId="57186E85" w14:textId="174A92A5" w:rsidR="006B4AD6" w:rsidRPr="006B4AD6" w:rsidRDefault="006B4AD6" w:rsidP="006B4AD6">
      <w:pPr>
        <w:rPr>
          <w:color w:val="055772"/>
          <w:sz w:val="24"/>
          <w:szCs w:val="24"/>
        </w:rPr>
      </w:pPr>
      <w:r w:rsidRPr="006B4AD6">
        <w:rPr>
          <w:color w:val="055772"/>
          <w:sz w:val="24"/>
          <w:szCs w:val="24"/>
        </w:rPr>
        <w:t>CHANGES IN DATA OVER TIME</w:t>
      </w:r>
    </w:p>
    <w:p w14:paraId="5F54C592" w14:textId="7247B43F" w:rsidR="006B4AD6" w:rsidRPr="006B4AD6" w:rsidRDefault="006B4AD6" w:rsidP="006B4AD6">
      <w:r w:rsidRPr="006B4AD6">
        <w:t xml:space="preserve">Note that </w:t>
      </w:r>
      <w:r w:rsidR="004B2BB1">
        <w:t>significant</w:t>
      </w:r>
      <w:r w:rsidRPr="006B4AD6">
        <w:t xml:space="preserve"> changes in </w:t>
      </w:r>
      <w:r w:rsidR="004B2BB1">
        <w:t>child safety</w:t>
      </w:r>
      <w:r w:rsidRPr="006B4AD6">
        <w:t xml:space="preserve">'s structure, </w:t>
      </w:r>
      <w:r w:rsidR="004B2BB1">
        <w:t>practice (service delivery) and policies</w:t>
      </w:r>
      <w:r w:rsidRPr="006B4AD6">
        <w:t xml:space="preserve">, or the broader environment (e.g., pandemics) may constitute "breaks in </w:t>
      </w:r>
      <w:r w:rsidR="00C46DDB">
        <w:t>data time</w:t>
      </w:r>
      <w:r w:rsidRPr="006B4AD6">
        <w:t>series".  Researchers should consider these changes when examining patterns over time.  Some considerations (presented in approximate chronological order) are:</w:t>
      </w:r>
    </w:p>
    <w:p w14:paraId="45751551" w14:textId="77777777" w:rsidR="004B2BB1" w:rsidRDefault="004B2BB1" w:rsidP="006B4AD6">
      <w:pPr>
        <w:pStyle w:val="ListParagraph"/>
        <w:numPr>
          <w:ilvl w:val="0"/>
          <w:numId w:val="7"/>
        </w:numPr>
      </w:pPr>
      <w:r w:rsidRPr="004B2BB1">
        <w:t>From October 2022 - An extended review and complete strategy was implemented by a specialist centralised team to assist Child Safety Service Centres to review and prioritise investigations and assessments within available resources. This included the ability to finalise investigations with an outcome of ‘no investigation and assessment outcome’ where the investigation and assessment was open for more than 100 days, had not commenced and where no new or significant information had been reported to the department</w:t>
      </w:r>
    </w:p>
    <w:p w14:paraId="25F791EB" w14:textId="0FA198F1" w:rsidR="004B2BB1" w:rsidRDefault="004B2BB1" w:rsidP="006B4AD6">
      <w:pPr>
        <w:pStyle w:val="ListParagraph"/>
        <w:numPr>
          <w:ilvl w:val="0"/>
          <w:numId w:val="7"/>
        </w:numPr>
      </w:pPr>
      <w:r w:rsidRPr="004B2BB1">
        <w:t>September 2019 – Amendments to investigation and assessment completion timeframes commenced. From 1 September 2019, timeframes for completion of investigations and assessments were extended from 60 days to 100 days from when the notification is recorded.  This extension better reflects family led decision making processes, particularly for Aboriginal and Torres Strait Islander families; as well as increased safety planning and support now offered by Child Safety in the investigation and assessment processes</w:t>
      </w:r>
    </w:p>
    <w:p w14:paraId="58909D22" w14:textId="77777777" w:rsidR="004B2BB1" w:rsidRDefault="004B2BB1" w:rsidP="006B4AD6">
      <w:pPr>
        <w:pStyle w:val="ListParagraph"/>
        <w:numPr>
          <w:ilvl w:val="0"/>
          <w:numId w:val="7"/>
        </w:numPr>
      </w:pPr>
      <w:r w:rsidRPr="004B2BB1">
        <w:t>October 2018 — Legislative amendments enabling the Court to make a Permanent Care Order come into effect. Permanent Care Orders grant guardianship to a suitable person who is committed to preserving the child's identity, the child's connection to their culture of origin and the child's relationship with members of their family. No contact by Child Safety is required after the order is made</w:t>
      </w:r>
    </w:p>
    <w:p w14:paraId="1AA3F9C9" w14:textId="61EA15C1" w:rsidR="006B4AD6" w:rsidRPr="009F015F" w:rsidRDefault="004B2BB1" w:rsidP="006B4AD6">
      <w:pPr>
        <w:pStyle w:val="ListParagraph"/>
        <w:numPr>
          <w:ilvl w:val="0"/>
          <w:numId w:val="7"/>
        </w:numPr>
      </w:pPr>
      <w:r w:rsidRPr="004B2BB1">
        <w:t>July 2017 – Amendments to the Child Protection Act 1999 commenced. From 1 July 2017, early childhood education and care (ECEC) professionals are required to report child safety concerns where there is a reasonable suspicion that the child has suffered, is suffering, or is at unacceptable risk of suffering, significant harm caused by physical or sexual abuse, and there is not a parent willing and able to protect the child from harm</w:t>
      </w:r>
      <w:r w:rsidR="006B4AD6" w:rsidRPr="006B4AD6">
        <w:t>.</w:t>
      </w:r>
    </w:p>
    <w:p w14:paraId="170FCAD0" w14:textId="13F4350D" w:rsidR="006B4AD6" w:rsidRPr="006B4AD6" w:rsidRDefault="006B4AD6" w:rsidP="006B4AD6">
      <w:pPr>
        <w:rPr>
          <w:color w:val="055772"/>
          <w:sz w:val="24"/>
          <w:szCs w:val="24"/>
        </w:rPr>
      </w:pPr>
      <w:r w:rsidRPr="006B4AD6">
        <w:rPr>
          <w:color w:val="055772"/>
          <w:sz w:val="24"/>
          <w:szCs w:val="24"/>
        </w:rPr>
        <w:lastRenderedPageBreak/>
        <w:t>DATA STRUCTURES</w:t>
      </w:r>
    </w:p>
    <w:p w14:paraId="53E44F20" w14:textId="5F7E98D5" w:rsidR="006B4AD6" w:rsidRPr="006B4AD6" w:rsidRDefault="006B4AD6" w:rsidP="006B4AD6">
      <w:pPr>
        <w:pStyle w:val="ListParagraph"/>
        <w:numPr>
          <w:ilvl w:val="0"/>
          <w:numId w:val="8"/>
        </w:numPr>
      </w:pPr>
      <w:r w:rsidRPr="006B4AD6">
        <w:t xml:space="preserve">The data structure varies from dataset to dataset:  often datasets </w:t>
      </w:r>
      <w:r w:rsidR="00C46DDB">
        <w:t>have</w:t>
      </w:r>
      <w:r w:rsidRPr="006B4AD6">
        <w:t xml:space="preserve"> similar content but with</w:t>
      </w:r>
      <w:r w:rsidR="004B2BB1">
        <w:t xml:space="preserve"> a</w:t>
      </w:r>
      <w:r w:rsidRPr="006B4AD6">
        <w:t xml:space="preserve"> </w:t>
      </w:r>
      <w:r w:rsidR="00C46DDB" w:rsidRPr="006B4AD6">
        <w:t>different data structure</w:t>
      </w:r>
      <w:r w:rsidRPr="006B4AD6">
        <w:t xml:space="preserve"> </w:t>
      </w:r>
      <w:r w:rsidR="004B2BB1">
        <w:t>and counting rules</w:t>
      </w:r>
      <w:r w:rsidRPr="006B4AD6">
        <w:t>.</w:t>
      </w:r>
    </w:p>
    <w:p w14:paraId="78BC55FD" w14:textId="28B8B4D2" w:rsidR="006B4AD6" w:rsidRPr="006B4AD6" w:rsidRDefault="006B4AD6" w:rsidP="006B4AD6">
      <w:pPr>
        <w:pStyle w:val="ListParagraph"/>
        <w:numPr>
          <w:ilvl w:val="0"/>
          <w:numId w:val="8"/>
        </w:numPr>
      </w:pPr>
      <w:r w:rsidRPr="006B4AD6">
        <w:t xml:space="preserve">The </w:t>
      </w:r>
      <w:r w:rsidR="001F128F">
        <w:t>two</w:t>
      </w:r>
      <w:r w:rsidRPr="006B4AD6">
        <w:t xml:space="preserve"> basic structures are:</w:t>
      </w:r>
    </w:p>
    <w:p w14:paraId="6C3BC32B" w14:textId="6B125AD1" w:rsidR="006B4AD6" w:rsidRPr="006B4AD6" w:rsidRDefault="006B4AD6" w:rsidP="004B2BB1">
      <w:pPr>
        <w:pStyle w:val="ListParagraph"/>
        <w:numPr>
          <w:ilvl w:val="1"/>
          <w:numId w:val="8"/>
        </w:numPr>
      </w:pPr>
      <w:r w:rsidRPr="006B4AD6">
        <w:t xml:space="preserve">One row per </w:t>
      </w:r>
      <w:r w:rsidR="004B2BB1">
        <w:t xml:space="preserve">child or </w:t>
      </w:r>
      <w:r w:rsidRPr="006B4AD6">
        <w:t xml:space="preserve">young person </w:t>
      </w:r>
      <w:r w:rsidR="004B2BB1">
        <w:t>(</w:t>
      </w:r>
      <w:proofErr w:type="gramStart"/>
      <w:r w:rsidR="004B2BB1">
        <w:t>e.g.</w:t>
      </w:r>
      <w:proofErr w:type="gramEnd"/>
      <w:r w:rsidR="004B2BB1">
        <w:t xml:space="preserve"> “per placement record”</w:t>
      </w:r>
      <w:r w:rsidR="001F128F">
        <w:t>, “child protection order”)</w:t>
      </w:r>
    </w:p>
    <w:p w14:paraId="6839772D" w14:textId="695D4C08" w:rsidR="006B4AD6" w:rsidRPr="006B4AD6" w:rsidRDefault="006B4AD6" w:rsidP="001F128F">
      <w:pPr>
        <w:pStyle w:val="ListParagraph"/>
        <w:numPr>
          <w:ilvl w:val="1"/>
          <w:numId w:val="8"/>
        </w:numPr>
      </w:pPr>
      <w:r w:rsidRPr="006B4AD6">
        <w:t>One row per transaction or event</w:t>
      </w:r>
      <w:r w:rsidR="009F015F">
        <w:t xml:space="preserve"> per child or young person</w:t>
      </w:r>
      <w:r w:rsidRPr="006B4AD6">
        <w:t xml:space="preserve"> (e.g., "per </w:t>
      </w:r>
      <w:r w:rsidR="001F128F">
        <w:t>intake</w:t>
      </w:r>
      <w:r w:rsidRPr="006B4AD6">
        <w:t xml:space="preserve">", "per </w:t>
      </w:r>
      <w:r w:rsidR="001F128F">
        <w:t>entry into care</w:t>
      </w:r>
      <w:r w:rsidRPr="006B4AD6">
        <w:t xml:space="preserve">", "per </w:t>
      </w:r>
      <w:r w:rsidR="009F015F">
        <w:t>investigation and/or assessment</w:t>
      </w:r>
      <w:r w:rsidR="001F128F">
        <w:t xml:space="preserve"> outcome</w:t>
      </w:r>
      <w:r w:rsidRPr="006B4AD6">
        <w:t>")</w:t>
      </w:r>
    </w:p>
    <w:p w14:paraId="742BBE6A" w14:textId="06F291B9" w:rsidR="006B4AD6" w:rsidRPr="006B4AD6" w:rsidRDefault="001F128F" w:rsidP="001F128F">
      <w:pPr>
        <w:pStyle w:val="ListParagraph"/>
        <w:numPr>
          <w:ilvl w:val="0"/>
          <w:numId w:val="8"/>
        </w:numPr>
      </w:pPr>
      <w:r>
        <w:t>The Department</w:t>
      </w:r>
      <w:r w:rsidR="006B4AD6" w:rsidRPr="006B4AD6">
        <w:t xml:space="preserve"> will work with the researchers to determine the data structure that would best align with their intended analysis.</w:t>
      </w:r>
    </w:p>
    <w:p w14:paraId="54B04B2F" w14:textId="77777777" w:rsidR="006B4AD6" w:rsidRPr="006B4AD6" w:rsidRDefault="006B4AD6" w:rsidP="006B4AD6">
      <w:pPr>
        <w:ind w:left="720"/>
      </w:pPr>
    </w:p>
    <w:p w14:paraId="6CAE4269" w14:textId="77777777" w:rsidR="006B4AD6" w:rsidRDefault="006B4AD6" w:rsidP="006B4AD6"/>
    <w:p w14:paraId="61F750EC" w14:textId="67E8628C" w:rsidR="006B4AD6" w:rsidRDefault="006B4AD6" w:rsidP="006B4AD6"/>
    <w:p w14:paraId="59197584" w14:textId="40BE2EEE" w:rsidR="006B4AD6" w:rsidRDefault="006B4AD6" w:rsidP="006B4AD6"/>
    <w:p w14:paraId="5B1B4277" w14:textId="77777777" w:rsidR="006B4AD6" w:rsidRDefault="006B4AD6" w:rsidP="006B4AD6"/>
    <w:sectPr w:rsidR="006B4AD6" w:rsidSect="006B4AD6">
      <w:headerReference w:type="default" r:id="rId7"/>
      <w:foot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A68B" w14:textId="77777777" w:rsidR="00C847EE" w:rsidRDefault="00C847EE" w:rsidP="006B4AD6">
      <w:pPr>
        <w:spacing w:after="0" w:line="240" w:lineRule="auto"/>
      </w:pPr>
      <w:r>
        <w:separator/>
      </w:r>
    </w:p>
  </w:endnote>
  <w:endnote w:type="continuationSeparator" w:id="0">
    <w:p w14:paraId="6DD00D2E" w14:textId="77777777" w:rsidR="00C847EE" w:rsidRDefault="00C847EE" w:rsidP="006B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ld-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23359"/>
      <w:docPartObj>
        <w:docPartGallery w:val="Page Numbers (Bottom of Page)"/>
        <w:docPartUnique/>
      </w:docPartObj>
    </w:sdtPr>
    <w:sdtEndPr>
      <w:rPr>
        <w:noProof/>
      </w:rPr>
    </w:sdtEndPr>
    <w:sdtContent>
      <w:p w14:paraId="2A827E1A" w14:textId="6D86656B" w:rsidR="008E3A91" w:rsidRDefault="008E3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6A9CCB" w14:textId="77777777" w:rsidR="008E3A91" w:rsidRDefault="008E3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6F4B" w14:textId="77777777" w:rsidR="00C847EE" w:rsidRDefault="00C847EE" w:rsidP="006B4AD6">
      <w:pPr>
        <w:spacing w:after="0" w:line="240" w:lineRule="auto"/>
      </w:pPr>
      <w:r>
        <w:separator/>
      </w:r>
    </w:p>
  </w:footnote>
  <w:footnote w:type="continuationSeparator" w:id="0">
    <w:p w14:paraId="28845A3C" w14:textId="77777777" w:rsidR="00C847EE" w:rsidRDefault="00C847EE" w:rsidP="006B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791C" w14:textId="56160B66" w:rsidR="006B4AD6" w:rsidRDefault="008E3A91" w:rsidP="000E0800">
    <w:pPr>
      <w:pStyle w:val="Header"/>
      <w:tabs>
        <w:tab w:val="clear" w:pos="4513"/>
        <w:tab w:val="clear" w:pos="9026"/>
        <w:tab w:val="left" w:pos="6855"/>
      </w:tabs>
    </w:pPr>
    <w:r>
      <w:rPr>
        <w:noProof/>
      </w:rPr>
      <w:drawing>
        <wp:anchor distT="0" distB="0" distL="114300" distR="114300" simplePos="0" relativeHeight="251659264" behindDoc="1" locked="1" layoutInCell="1" allowOverlap="1" wp14:anchorId="26C02DBC" wp14:editId="25C4020C">
          <wp:simplePos x="0" y="0"/>
          <wp:positionH relativeFrom="page">
            <wp:posOffset>-8255</wp:posOffset>
          </wp:positionH>
          <wp:positionV relativeFrom="page">
            <wp:posOffset>8255</wp:posOffset>
          </wp:positionV>
          <wp:extent cx="7570470" cy="1184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r w:rsidR="000E08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AD7"/>
    <w:multiLevelType w:val="hybridMultilevel"/>
    <w:tmpl w:val="5E94B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214E4C"/>
    <w:multiLevelType w:val="hybridMultilevel"/>
    <w:tmpl w:val="0EC88486"/>
    <w:lvl w:ilvl="0" w:tplc="AC442BC6">
      <w:start w:val="1"/>
      <w:numFmt w:val="bullet"/>
      <w:lvlText w:val=""/>
      <w:lvlJc w:val="left"/>
      <w:pPr>
        <w:tabs>
          <w:tab w:val="num" w:pos="720"/>
        </w:tabs>
        <w:ind w:left="720" w:hanging="360"/>
      </w:pPr>
      <w:rPr>
        <w:rFonts w:ascii="Symbol" w:hAnsi="Symbol" w:hint="default"/>
      </w:rPr>
    </w:lvl>
    <w:lvl w:ilvl="1" w:tplc="9DA43640" w:tentative="1">
      <w:start w:val="1"/>
      <w:numFmt w:val="bullet"/>
      <w:lvlText w:val=""/>
      <w:lvlJc w:val="left"/>
      <w:pPr>
        <w:tabs>
          <w:tab w:val="num" w:pos="1440"/>
        </w:tabs>
        <w:ind w:left="1440" w:hanging="360"/>
      </w:pPr>
      <w:rPr>
        <w:rFonts w:ascii="Symbol" w:hAnsi="Symbol" w:hint="default"/>
      </w:rPr>
    </w:lvl>
    <w:lvl w:ilvl="2" w:tplc="BA3871BE" w:tentative="1">
      <w:start w:val="1"/>
      <w:numFmt w:val="bullet"/>
      <w:lvlText w:val=""/>
      <w:lvlJc w:val="left"/>
      <w:pPr>
        <w:tabs>
          <w:tab w:val="num" w:pos="2160"/>
        </w:tabs>
        <w:ind w:left="2160" w:hanging="360"/>
      </w:pPr>
      <w:rPr>
        <w:rFonts w:ascii="Symbol" w:hAnsi="Symbol" w:hint="default"/>
      </w:rPr>
    </w:lvl>
    <w:lvl w:ilvl="3" w:tplc="12E8BAA2" w:tentative="1">
      <w:start w:val="1"/>
      <w:numFmt w:val="bullet"/>
      <w:lvlText w:val=""/>
      <w:lvlJc w:val="left"/>
      <w:pPr>
        <w:tabs>
          <w:tab w:val="num" w:pos="2880"/>
        </w:tabs>
        <w:ind w:left="2880" w:hanging="360"/>
      </w:pPr>
      <w:rPr>
        <w:rFonts w:ascii="Symbol" w:hAnsi="Symbol" w:hint="default"/>
      </w:rPr>
    </w:lvl>
    <w:lvl w:ilvl="4" w:tplc="4B4AA476" w:tentative="1">
      <w:start w:val="1"/>
      <w:numFmt w:val="bullet"/>
      <w:lvlText w:val=""/>
      <w:lvlJc w:val="left"/>
      <w:pPr>
        <w:tabs>
          <w:tab w:val="num" w:pos="3600"/>
        </w:tabs>
        <w:ind w:left="3600" w:hanging="360"/>
      </w:pPr>
      <w:rPr>
        <w:rFonts w:ascii="Symbol" w:hAnsi="Symbol" w:hint="default"/>
      </w:rPr>
    </w:lvl>
    <w:lvl w:ilvl="5" w:tplc="AEB26466" w:tentative="1">
      <w:start w:val="1"/>
      <w:numFmt w:val="bullet"/>
      <w:lvlText w:val=""/>
      <w:lvlJc w:val="left"/>
      <w:pPr>
        <w:tabs>
          <w:tab w:val="num" w:pos="4320"/>
        </w:tabs>
        <w:ind w:left="4320" w:hanging="360"/>
      </w:pPr>
      <w:rPr>
        <w:rFonts w:ascii="Symbol" w:hAnsi="Symbol" w:hint="default"/>
      </w:rPr>
    </w:lvl>
    <w:lvl w:ilvl="6" w:tplc="F8DEF4DA" w:tentative="1">
      <w:start w:val="1"/>
      <w:numFmt w:val="bullet"/>
      <w:lvlText w:val=""/>
      <w:lvlJc w:val="left"/>
      <w:pPr>
        <w:tabs>
          <w:tab w:val="num" w:pos="5040"/>
        </w:tabs>
        <w:ind w:left="5040" w:hanging="360"/>
      </w:pPr>
      <w:rPr>
        <w:rFonts w:ascii="Symbol" w:hAnsi="Symbol" w:hint="default"/>
      </w:rPr>
    </w:lvl>
    <w:lvl w:ilvl="7" w:tplc="D40C5E32" w:tentative="1">
      <w:start w:val="1"/>
      <w:numFmt w:val="bullet"/>
      <w:lvlText w:val=""/>
      <w:lvlJc w:val="left"/>
      <w:pPr>
        <w:tabs>
          <w:tab w:val="num" w:pos="5760"/>
        </w:tabs>
        <w:ind w:left="5760" w:hanging="360"/>
      </w:pPr>
      <w:rPr>
        <w:rFonts w:ascii="Symbol" w:hAnsi="Symbol" w:hint="default"/>
      </w:rPr>
    </w:lvl>
    <w:lvl w:ilvl="8" w:tplc="2F2ACF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7B43D6"/>
    <w:multiLevelType w:val="hybridMultilevel"/>
    <w:tmpl w:val="4B929DAA"/>
    <w:lvl w:ilvl="0" w:tplc="2D48934E">
      <w:start w:val="1"/>
      <w:numFmt w:val="bullet"/>
      <w:lvlText w:val=""/>
      <w:lvlJc w:val="left"/>
      <w:pPr>
        <w:tabs>
          <w:tab w:val="num" w:pos="720"/>
        </w:tabs>
        <w:ind w:left="720" w:hanging="360"/>
      </w:pPr>
      <w:rPr>
        <w:rFonts w:ascii="Symbol" w:hAnsi="Symbol" w:hint="default"/>
      </w:rPr>
    </w:lvl>
    <w:lvl w:ilvl="1" w:tplc="B8D2D716" w:tentative="1">
      <w:start w:val="1"/>
      <w:numFmt w:val="bullet"/>
      <w:lvlText w:val=""/>
      <w:lvlJc w:val="left"/>
      <w:pPr>
        <w:tabs>
          <w:tab w:val="num" w:pos="1440"/>
        </w:tabs>
        <w:ind w:left="1440" w:hanging="360"/>
      </w:pPr>
      <w:rPr>
        <w:rFonts w:ascii="Symbol" w:hAnsi="Symbol" w:hint="default"/>
      </w:rPr>
    </w:lvl>
    <w:lvl w:ilvl="2" w:tplc="19229E48" w:tentative="1">
      <w:start w:val="1"/>
      <w:numFmt w:val="bullet"/>
      <w:lvlText w:val=""/>
      <w:lvlJc w:val="left"/>
      <w:pPr>
        <w:tabs>
          <w:tab w:val="num" w:pos="2160"/>
        </w:tabs>
        <w:ind w:left="2160" w:hanging="360"/>
      </w:pPr>
      <w:rPr>
        <w:rFonts w:ascii="Symbol" w:hAnsi="Symbol" w:hint="default"/>
      </w:rPr>
    </w:lvl>
    <w:lvl w:ilvl="3" w:tplc="B5CAB59C" w:tentative="1">
      <w:start w:val="1"/>
      <w:numFmt w:val="bullet"/>
      <w:lvlText w:val=""/>
      <w:lvlJc w:val="left"/>
      <w:pPr>
        <w:tabs>
          <w:tab w:val="num" w:pos="2880"/>
        </w:tabs>
        <w:ind w:left="2880" w:hanging="360"/>
      </w:pPr>
      <w:rPr>
        <w:rFonts w:ascii="Symbol" w:hAnsi="Symbol" w:hint="default"/>
      </w:rPr>
    </w:lvl>
    <w:lvl w:ilvl="4" w:tplc="C1B03188" w:tentative="1">
      <w:start w:val="1"/>
      <w:numFmt w:val="bullet"/>
      <w:lvlText w:val=""/>
      <w:lvlJc w:val="left"/>
      <w:pPr>
        <w:tabs>
          <w:tab w:val="num" w:pos="3600"/>
        </w:tabs>
        <w:ind w:left="3600" w:hanging="360"/>
      </w:pPr>
      <w:rPr>
        <w:rFonts w:ascii="Symbol" w:hAnsi="Symbol" w:hint="default"/>
      </w:rPr>
    </w:lvl>
    <w:lvl w:ilvl="5" w:tplc="7D583F60" w:tentative="1">
      <w:start w:val="1"/>
      <w:numFmt w:val="bullet"/>
      <w:lvlText w:val=""/>
      <w:lvlJc w:val="left"/>
      <w:pPr>
        <w:tabs>
          <w:tab w:val="num" w:pos="4320"/>
        </w:tabs>
        <w:ind w:left="4320" w:hanging="360"/>
      </w:pPr>
      <w:rPr>
        <w:rFonts w:ascii="Symbol" w:hAnsi="Symbol" w:hint="default"/>
      </w:rPr>
    </w:lvl>
    <w:lvl w:ilvl="6" w:tplc="B73AA32A" w:tentative="1">
      <w:start w:val="1"/>
      <w:numFmt w:val="bullet"/>
      <w:lvlText w:val=""/>
      <w:lvlJc w:val="left"/>
      <w:pPr>
        <w:tabs>
          <w:tab w:val="num" w:pos="5040"/>
        </w:tabs>
        <w:ind w:left="5040" w:hanging="360"/>
      </w:pPr>
      <w:rPr>
        <w:rFonts w:ascii="Symbol" w:hAnsi="Symbol" w:hint="default"/>
      </w:rPr>
    </w:lvl>
    <w:lvl w:ilvl="7" w:tplc="315C0CA6" w:tentative="1">
      <w:start w:val="1"/>
      <w:numFmt w:val="bullet"/>
      <w:lvlText w:val=""/>
      <w:lvlJc w:val="left"/>
      <w:pPr>
        <w:tabs>
          <w:tab w:val="num" w:pos="5760"/>
        </w:tabs>
        <w:ind w:left="5760" w:hanging="360"/>
      </w:pPr>
      <w:rPr>
        <w:rFonts w:ascii="Symbol" w:hAnsi="Symbol" w:hint="default"/>
      </w:rPr>
    </w:lvl>
    <w:lvl w:ilvl="8" w:tplc="7888697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3F06E9"/>
    <w:multiLevelType w:val="hybridMultilevel"/>
    <w:tmpl w:val="77A219AC"/>
    <w:lvl w:ilvl="0" w:tplc="97FE6DA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442CFA"/>
    <w:multiLevelType w:val="hybridMultilevel"/>
    <w:tmpl w:val="39D645C2"/>
    <w:lvl w:ilvl="0" w:tplc="97FE6DAA">
      <w:start w:val="1"/>
      <w:numFmt w:val="bullet"/>
      <w:lvlText w:val=""/>
      <w:lvlJc w:val="left"/>
      <w:pPr>
        <w:tabs>
          <w:tab w:val="num" w:pos="720"/>
        </w:tabs>
        <w:ind w:left="720" w:hanging="360"/>
      </w:pPr>
      <w:rPr>
        <w:rFonts w:ascii="Symbol" w:hAnsi="Symbol" w:hint="default"/>
      </w:rPr>
    </w:lvl>
    <w:lvl w:ilvl="1" w:tplc="990834DC" w:tentative="1">
      <w:start w:val="1"/>
      <w:numFmt w:val="bullet"/>
      <w:lvlText w:val=""/>
      <w:lvlJc w:val="left"/>
      <w:pPr>
        <w:tabs>
          <w:tab w:val="num" w:pos="1440"/>
        </w:tabs>
        <w:ind w:left="1440" w:hanging="360"/>
      </w:pPr>
      <w:rPr>
        <w:rFonts w:ascii="Symbol" w:hAnsi="Symbol" w:hint="default"/>
      </w:rPr>
    </w:lvl>
    <w:lvl w:ilvl="2" w:tplc="65A4A278" w:tentative="1">
      <w:start w:val="1"/>
      <w:numFmt w:val="bullet"/>
      <w:lvlText w:val=""/>
      <w:lvlJc w:val="left"/>
      <w:pPr>
        <w:tabs>
          <w:tab w:val="num" w:pos="2160"/>
        </w:tabs>
        <w:ind w:left="2160" w:hanging="360"/>
      </w:pPr>
      <w:rPr>
        <w:rFonts w:ascii="Symbol" w:hAnsi="Symbol" w:hint="default"/>
      </w:rPr>
    </w:lvl>
    <w:lvl w:ilvl="3" w:tplc="598CDBAC" w:tentative="1">
      <w:start w:val="1"/>
      <w:numFmt w:val="bullet"/>
      <w:lvlText w:val=""/>
      <w:lvlJc w:val="left"/>
      <w:pPr>
        <w:tabs>
          <w:tab w:val="num" w:pos="2880"/>
        </w:tabs>
        <w:ind w:left="2880" w:hanging="360"/>
      </w:pPr>
      <w:rPr>
        <w:rFonts w:ascii="Symbol" w:hAnsi="Symbol" w:hint="default"/>
      </w:rPr>
    </w:lvl>
    <w:lvl w:ilvl="4" w:tplc="FFE8183E" w:tentative="1">
      <w:start w:val="1"/>
      <w:numFmt w:val="bullet"/>
      <w:lvlText w:val=""/>
      <w:lvlJc w:val="left"/>
      <w:pPr>
        <w:tabs>
          <w:tab w:val="num" w:pos="3600"/>
        </w:tabs>
        <w:ind w:left="3600" w:hanging="360"/>
      </w:pPr>
      <w:rPr>
        <w:rFonts w:ascii="Symbol" w:hAnsi="Symbol" w:hint="default"/>
      </w:rPr>
    </w:lvl>
    <w:lvl w:ilvl="5" w:tplc="68FCE9C2" w:tentative="1">
      <w:start w:val="1"/>
      <w:numFmt w:val="bullet"/>
      <w:lvlText w:val=""/>
      <w:lvlJc w:val="left"/>
      <w:pPr>
        <w:tabs>
          <w:tab w:val="num" w:pos="4320"/>
        </w:tabs>
        <w:ind w:left="4320" w:hanging="360"/>
      </w:pPr>
      <w:rPr>
        <w:rFonts w:ascii="Symbol" w:hAnsi="Symbol" w:hint="default"/>
      </w:rPr>
    </w:lvl>
    <w:lvl w:ilvl="6" w:tplc="51443292" w:tentative="1">
      <w:start w:val="1"/>
      <w:numFmt w:val="bullet"/>
      <w:lvlText w:val=""/>
      <w:lvlJc w:val="left"/>
      <w:pPr>
        <w:tabs>
          <w:tab w:val="num" w:pos="5040"/>
        </w:tabs>
        <w:ind w:left="5040" w:hanging="360"/>
      </w:pPr>
      <w:rPr>
        <w:rFonts w:ascii="Symbol" w:hAnsi="Symbol" w:hint="default"/>
      </w:rPr>
    </w:lvl>
    <w:lvl w:ilvl="7" w:tplc="903CE494" w:tentative="1">
      <w:start w:val="1"/>
      <w:numFmt w:val="bullet"/>
      <w:lvlText w:val=""/>
      <w:lvlJc w:val="left"/>
      <w:pPr>
        <w:tabs>
          <w:tab w:val="num" w:pos="5760"/>
        </w:tabs>
        <w:ind w:left="5760" w:hanging="360"/>
      </w:pPr>
      <w:rPr>
        <w:rFonts w:ascii="Symbol" w:hAnsi="Symbol" w:hint="default"/>
      </w:rPr>
    </w:lvl>
    <w:lvl w:ilvl="8" w:tplc="C4BC1C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E27C9F"/>
    <w:multiLevelType w:val="hybridMultilevel"/>
    <w:tmpl w:val="58843DD0"/>
    <w:lvl w:ilvl="0" w:tplc="A5869B08">
      <w:start w:val="1"/>
      <w:numFmt w:val="bullet"/>
      <w:lvlText w:val="•"/>
      <w:lvlJc w:val="left"/>
      <w:pPr>
        <w:tabs>
          <w:tab w:val="num" w:pos="720"/>
        </w:tabs>
        <w:ind w:left="720" w:hanging="360"/>
      </w:pPr>
      <w:rPr>
        <w:rFonts w:ascii="Arial" w:hAnsi="Arial" w:hint="default"/>
      </w:rPr>
    </w:lvl>
    <w:lvl w:ilvl="1" w:tplc="E7D0BC16" w:tentative="1">
      <w:start w:val="1"/>
      <w:numFmt w:val="bullet"/>
      <w:lvlText w:val="•"/>
      <w:lvlJc w:val="left"/>
      <w:pPr>
        <w:tabs>
          <w:tab w:val="num" w:pos="1440"/>
        </w:tabs>
        <w:ind w:left="1440" w:hanging="360"/>
      </w:pPr>
      <w:rPr>
        <w:rFonts w:ascii="Arial" w:hAnsi="Arial" w:hint="default"/>
      </w:rPr>
    </w:lvl>
    <w:lvl w:ilvl="2" w:tplc="4A10B204" w:tentative="1">
      <w:start w:val="1"/>
      <w:numFmt w:val="bullet"/>
      <w:lvlText w:val="•"/>
      <w:lvlJc w:val="left"/>
      <w:pPr>
        <w:tabs>
          <w:tab w:val="num" w:pos="2160"/>
        </w:tabs>
        <w:ind w:left="2160" w:hanging="360"/>
      </w:pPr>
      <w:rPr>
        <w:rFonts w:ascii="Arial" w:hAnsi="Arial" w:hint="default"/>
      </w:rPr>
    </w:lvl>
    <w:lvl w:ilvl="3" w:tplc="BA88A546" w:tentative="1">
      <w:start w:val="1"/>
      <w:numFmt w:val="bullet"/>
      <w:lvlText w:val="•"/>
      <w:lvlJc w:val="left"/>
      <w:pPr>
        <w:tabs>
          <w:tab w:val="num" w:pos="2880"/>
        </w:tabs>
        <w:ind w:left="2880" w:hanging="360"/>
      </w:pPr>
      <w:rPr>
        <w:rFonts w:ascii="Arial" w:hAnsi="Arial" w:hint="default"/>
      </w:rPr>
    </w:lvl>
    <w:lvl w:ilvl="4" w:tplc="EF5E98F4" w:tentative="1">
      <w:start w:val="1"/>
      <w:numFmt w:val="bullet"/>
      <w:lvlText w:val="•"/>
      <w:lvlJc w:val="left"/>
      <w:pPr>
        <w:tabs>
          <w:tab w:val="num" w:pos="3600"/>
        </w:tabs>
        <w:ind w:left="3600" w:hanging="360"/>
      </w:pPr>
      <w:rPr>
        <w:rFonts w:ascii="Arial" w:hAnsi="Arial" w:hint="default"/>
      </w:rPr>
    </w:lvl>
    <w:lvl w:ilvl="5" w:tplc="76DEA402" w:tentative="1">
      <w:start w:val="1"/>
      <w:numFmt w:val="bullet"/>
      <w:lvlText w:val="•"/>
      <w:lvlJc w:val="left"/>
      <w:pPr>
        <w:tabs>
          <w:tab w:val="num" w:pos="4320"/>
        </w:tabs>
        <w:ind w:left="4320" w:hanging="360"/>
      </w:pPr>
      <w:rPr>
        <w:rFonts w:ascii="Arial" w:hAnsi="Arial" w:hint="default"/>
      </w:rPr>
    </w:lvl>
    <w:lvl w:ilvl="6" w:tplc="8B1E62B6" w:tentative="1">
      <w:start w:val="1"/>
      <w:numFmt w:val="bullet"/>
      <w:lvlText w:val="•"/>
      <w:lvlJc w:val="left"/>
      <w:pPr>
        <w:tabs>
          <w:tab w:val="num" w:pos="5040"/>
        </w:tabs>
        <w:ind w:left="5040" w:hanging="360"/>
      </w:pPr>
      <w:rPr>
        <w:rFonts w:ascii="Arial" w:hAnsi="Arial" w:hint="default"/>
      </w:rPr>
    </w:lvl>
    <w:lvl w:ilvl="7" w:tplc="7F72D980" w:tentative="1">
      <w:start w:val="1"/>
      <w:numFmt w:val="bullet"/>
      <w:lvlText w:val="•"/>
      <w:lvlJc w:val="left"/>
      <w:pPr>
        <w:tabs>
          <w:tab w:val="num" w:pos="5760"/>
        </w:tabs>
        <w:ind w:left="5760" w:hanging="360"/>
      </w:pPr>
      <w:rPr>
        <w:rFonts w:ascii="Arial" w:hAnsi="Arial" w:hint="default"/>
      </w:rPr>
    </w:lvl>
    <w:lvl w:ilvl="8" w:tplc="C1C8B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473FD6"/>
    <w:multiLevelType w:val="hybridMultilevel"/>
    <w:tmpl w:val="6650AC3A"/>
    <w:lvl w:ilvl="0" w:tplc="9E2690BE">
      <w:start w:val="1"/>
      <w:numFmt w:val="bullet"/>
      <w:lvlText w:val=""/>
      <w:lvlJc w:val="left"/>
      <w:pPr>
        <w:tabs>
          <w:tab w:val="num" w:pos="720"/>
        </w:tabs>
        <w:ind w:left="720" w:hanging="360"/>
      </w:pPr>
      <w:rPr>
        <w:rFonts w:ascii="Symbol" w:hAnsi="Symbol" w:hint="default"/>
      </w:rPr>
    </w:lvl>
    <w:lvl w:ilvl="1" w:tplc="6470919A" w:tentative="1">
      <w:start w:val="1"/>
      <w:numFmt w:val="bullet"/>
      <w:lvlText w:val=""/>
      <w:lvlJc w:val="left"/>
      <w:pPr>
        <w:tabs>
          <w:tab w:val="num" w:pos="1440"/>
        </w:tabs>
        <w:ind w:left="1440" w:hanging="360"/>
      </w:pPr>
      <w:rPr>
        <w:rFonts w:ascii="Symbol" w:hAnsi="Symbol" w:hint="default"/>
      </w:rPr>
    </w:lvl>
    <w:lvl w:ilvl="2" w:tplc="43300CFE" w:tentative="1">
      <w:start w:val="1"/>
      <w:numFmt w:val="bullet"/>
      <w:lvlText w:val=""/>
      <w:lvlJc w:val="left"/>
      <w:pPr>
        <w:tabs>
          <w:tab w:val="num" w:pos="2160"/>
        </w:tabs>
        <w:ind w:left="2160" w:hanging="360"/>
      </w:pPr>
      <w:rPr>
        <w:rFonts w:ascii="Symbol" w:hAnsi="Symbol" w:hint="default"/>
      </w:rPr>
    </w:lvl>
    <w:lvl w:ilvl="3" w:tplc="CC6255EC" w:tentative="1">
      <w:start w:val="1"/>
      <w:numFmt w:val="bullet"/>
      <w:lvlText w:val=""/>
      <w:lvlJc w:val="left"/>
      <w:pPr>
        <w:tabs>
          <w:tab w:val="num" w:pos="2880"/>
        </w:tabs>
        <w:ind w:left="2880" w:hanging="360"/>
      </w:pPr>
      <w:rPr>
        <w:rFonts w:ascii="Symbol" w:hAnsi="Symbol" w:hint="default"/>
      </w:rPr>
    </w:lvl>
    <w:lvl w:ilvl="4" w:tplc="C4BAA694" w:tentative="1">
      <w:start w:val="1"/>
      <w:numFmt w:val="bullet"/>
      <w:lvlText w:val=""/>
      <w:lvlJc w:val="left"/>
      <w:pPr>
        <w:tabs>
          <w:tab w:val="num" w:pos="3600"/>
        </w:tabs>
        <w:ind w:left="3600" w:hanging="360"/>
      </w:pPr>
      <w:rPr>
        <w:rFonts w:ascii="Symbol" w:hAnsi="Symbol" w:hint="default"/>
      </w:rPr>
    </w:lvl>
    <w:lvl w:ilvl="5" w:tplc="115C43CC" w:tentative="1">
      <w:start w:val="1"/>
      <w:numFmt w:val="bullet"/>
      <w:lvlText w:val=""/>
      <w:lvlJc w:val="left"/>
      <w:pPr>
        <w:tabs>
          <w:tab w:val="num" w:pos="4320"/>
        </w:tabs>
        <w:ind w:left="4320" w:hanging="360"/>
      </w:pPr>
      <w:rPr>
        <w:rFonts w:ascii="Symbol" w:hAnsi="Symbol" w:hint="default"/>
      </w:rPr>
    </w:lvl>
    <w:lvl w:ilvl="6" w:tplc="58A2AB1C" w:tentative="1">
      <w:start w:val="1"/>
      <w:numFmt w:val="bullet"/>
      <w:lvlText w:val=""/>
      <w:lvlJc w:val="left"/>
      <w:pPr>
        <w:tabs>
          <w:tab w:val="num" w:pos="5040"/>
        </w:tabs>
        <w:ind w:left="5040" w:hanging="360"/>
      </w:pPr>
      <w:rPr>
        <w:rFonts w:ascii="Symbol" w:hAnsi="Symbol" w:hint="default"/>
      </w:rPr>
    </w:lvl>
    <w:lvl w:ilvl="7" w:tplc="0068D868" w:tentative="1">
      <w:start w:val="1"/>
      <w:numFmt w:val="bullet"/>
      <w:lvlText w:val=""/>
      <w:lvlJc w:val="left"/>
      <w:pPr>
        <w:tabs>
          <w:tab w:val="num" w:pos="5760"/>
        </w:tabs>
        <w:ind w:left="5760" w:hanging="360"/>
      </w:pPr>
      <w:rPr>
        <w:rFonts w:ascii="Symbol" w:hAnsi="Symbol" w:hint="default"/>
      </w:rPr>
    </w:lvl>
    <w:lvl w:ilvl="8" w:tplc="CBF2A4E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7616A9"/>
    <w:multiLevelType w:val="hybridMultilevel"/>
    <w:tmpl w:val="DF64B4AE"/>
    <w:lvl w:ilvl="0" w:tplc="97FE6D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06733060">
    <w:abstractNumId w:val="5"/>
  </w:num>
  <w:num w:numId="2" w16cid:durableId="1679308977">
    <w:abstractNumId w:val="6"/>
  </w:num>
  <w:num w:numId="3" w16cid:durableId="117378196">
    <w:abstractNumId w:val="4"/>
  </w:num>
  <w:num w:numId="4" w16cid:durableId="1943028779">
    <w:abstractNumId w:val="2"/>
  </w:num>
  <w:num w:numId="5" w16cid:durableId="1143934488">
    <w:abstractNumId w:val="1"/>
  </w:num>
  <w:num w:numId="6" w16cid:durableId="750934007">
    <w:abstractNumId w:val="0"/>
  </w:num>
  <w:num w:numId="7" w16cid:durableId="1575621312">
    <w:abstractNumId w:val="7"/>
  </w:num>
  <w:num w:numId="8" w16cid:durableId="168912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D6"/>
    <w:rsid w:val="000A5BAC"/>
    <w:rsid w:val="000E0800"/>
    <w:rsid w:val="00152FF9"/>
    <w:rsid w:val="001F128F"/>
    <w:rsid w:val="002206B9"/>
    <w:rsid w:val="00242E17"/>
    <w:rsid w:val="002518E0"/>
    <w:rsid w:val="002B6303"/>
    <w:rsid w:val="00303593"/>
    <w:rsid w:val="003F2804"/>
    <w:rsid w:val="00404539"/>
    <w:rsid w:val="0040643C"/>
    <w:rsid w:val="004A4767"/>
    <w:rsid w:val="004B2BB1"/>
    <w:rsid w:val="005B1012"/>
    <w:rsid w:val="006110AA"/>
    <w:rsid w:val="00633C85"/>
    <w:rsid w:val="00636E94"/>
    <w:rsid w:val="0066115B"/>
    <w:rsid w:val="006B4AD6"/>
    <w:rsid w:val="006D5357"/>
    <w:rsid w:val="00705F0B"/>
    <w:rsid w:val="007E4A9A"/>
    <w:rsid w:val="00804594"/>
    <w:rsid w:val="008E3A91"/>
    <w:rsid w:val="00913971"/>
    <w:rsid w:val="00963200"/>
    <w:rsid w:val="00981DA2"/>
    <w:rsid w:val="009F015F"/>
    <w:rsid w:val="009F443C"/>
    <w:rsid w:val="009F5E6E"/>
    <w:rsid w:val="00A246D8"/>
    <w:rsid w:val="00A577C3"/>
    <w:rsid w:val="00AD4CFC"/>
    <w:rsid w:val="00AD559D"/>
    <w:rsid w:val="00B774FC"/>
    <w:rsid w:val="00BC642E"/>
    <w:rsid w:val="00BE49A1"/>
    <w:rsid w:val="00C46DDB"/>
    <w:rsid w:val="00C847EE"/>
    <w:rsid w:val="00C91915"/>
    <w:rsid w:val="00C9786F"/>
    <w:rsid w:val="00CB0F36"/>
    <w:rsid w:val="00CD03DF"/>
    <w:rsid w:val="00CF1F65"/>
    <w:rsid w:val="00D36031"/>
    <w:rsid w:val="00D369FE"/>
    <w:rsid w:val="00D8746D"/>
    <w:rsid w:val="00D91C99"/>
    <w:rsid w:val="00DE7C27"/>
    <w:rsid w:val="00E03A1A"/>
    <w:rsid w:val="00E160F1"/>
    <w:rsid w:val="00E87E77"/>
    <w:rsid w:val="00E95DB9"/>
    <w:rsid w:val="00F11DEE"/>
    <w:rsid w:val="00F20774"/>
    <w:rsid w:val="00F44EA9"/>
    <w:rsid w:val="00FA026A"/>
    <w:rsid w:val="00FB2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47B5"/>
  <w15:chartTrackingRefBased/>
  <w15:docId w15:val="{465D63EA-7840-49F1-94E1-0CCEC2E8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AD6"/>
  </w:style>
  <w:style w:type="paragraph" w:styleId="Footer">
    <w:name w:val="footer"/>
    <w:basedOn w:val="Normal"/>
    <w:link w:val="FooterChar"/>
    <w:uiPriority w:val="99"/>
    <w:unhideWhenUsed/>
    <w:rsid w:val="006B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AD6"/>
  </w:style>
  <w:style w:type="paragraph" w:styleId="ListParagraph">
    <w:name w:val="List Paragraph"/>
    <w:basedOn w:val="Normal"/>
    <w:uiPriority w:val="34"/>
    <w:qFormat/>
    <w:rsid w:val="006B4AD6"/>
    <w:pPr>
      <w:ind w:left="720"/>
      <w:contextualSpacing/>
    </w:pPr>
  </w:style>
  <w:style w:type="paragraph" w:styleId="Revision">
    <w:name w:val="Revision"/>
    <w:hidden/>
    <w:uiPriority w:val="99"/>
    <w:semiHidden/>
    <w:rsid w:val="00BC6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3164">
      <w:bodyDiv w:val="1"/>
      <w:marLeft w:val="0"/>
      <w:marRight w:val="0"/>
      <w:marTop w:val="0"/>
      <w:marBottom w:val="0"/>
      <w:divBdr>
        <w:top w:val="none" w:sz="0" w:space="0" w:color="auto"/>
        <w:left w:val="none" w:sz="0" w:space="0" w:color="auto"/>
        <w:bottom w:val="none" w:sz="0" w:space="0" w:color="auto"/>
        <w:right w:val="none" w:sz="0" w:space="0" w:color="auto"/>
      </w:divBdr>
      <w:divsChild>
        <w:div w:id="402726044">
          <w:marLeft w:val="547"/>
          <w:marRight w:val="0"/>
          <w:marTop w:val="0"/>
          <w:marBottom w:val="60"/>
          <w:divBdr>
            <w:top w:val="none" w:sz="0" w:space="0" w:color="auto"/>
            <w:left w:val="none" w:sz="0" w:space="0" w:color="auto"/>
            <w:bottom w:val="none" w:sz="0" w:space="0" w:color="auto"/>
            <w:right w:val="none" w:sz="0" w:space="0" w:color="auto"/>
          </w:divBdr>
        </w:div>
        <w:div w:id="440809183">
          <w:marLeft w:val="547"/>
          <w:marRight w:val="0"/>
          <w:marTop w:val="0"/>
          <w:marBottom w:val="60"/>
          <w:divBdr>
            <w:top w:val="none" w:sz="0" w:space="0" w:color="auto"/>
            <w:left w:val="none" w:sz="0" w:space="0" w:color="auto"/>
            <w:bottom w:val="none" w:sz="0" w:space="0" w:color="auto"/>
            <w:right w:val="none" w:sz="0" w:space="0" w:color="auto"/>
          </w:divBdr>
        </w:div>
        <w:div w:id="1162963556">
          <w:marLeft w:val="547"/>
          <w:marRight w:val="0"/>
          <w:marTop w:val="0"/>
          <w:marBottom w:val="60"/>
          <w:divBdr>
            <w:top w:val="none" w:sz="0" w:space="0" w:color="auto"/>
            <w:left w:val="none" w:sz="0" w:space="0" w:color="auto"/>
            <w:bottom w:val="none" w:sz="0" w:space="0" w:color="auto"/>
            <w:right w:val="none" w:sz="0" w:space="0" w:color="auto"/>
          </w:divBdr>
        </w:div>
        <w:div w:id="1826167764">
          <w:marLeft w:val="547"/>
          <w:marRight w:val="0"/>
          <w:marTop w:val="0"/>
          <w:marBottom w:val="60"/>
          <w:divBdr>
            <w:top w:val="none" w:sz="0" w:space="0" w:color="auto"/>
            <w:left w:val="none" w:sz="0" w:space="0" w:color="auto"/>
            <w:bottom w:val="none" w:sz="0" w:space="0" w:color="auto"/>
            <w:right w:val="none" w:sz="0" w:space="0" w:color="auto"/>
          </w:divBdr>
        </w:div>
        <w:div w:id="729109587">
          <w:marLeft w:val="547"/>
          <w:marRight w:val="0"/>
          <w:marTop w:val="0"/>
          <w:marBottom w:val="60"/>
          <w:divBdr>
            <w:top w:val="none" w:sz="0" w:space="0" w:color="auto"/>
            <w:left w:val="none" w:sz="0" w:space="0" w:color="auto"/>
            <w:bottom w:val="none" w:sz="0" w:space="0" w:color="auto"/>
            <w:right w:val="none" w:sz="0" w:space="0" w:color="auto"/>
          </w:divBdr>
        </w:div>
        <w:div w:id="1481313653">
          <w:marLeft w:val="547"/>
          <w:marRight w:val="0"/>
          <w:marTop w:val="0"/>
          <w:marBottom w:val="60"/>
          <w:divBdr>
            <w:top w:val="none" w:sz="0" w:space="0" w:color="auto"/>
            <w:left w:val="none" w:sz="0" w:space="0" w:color="auto"/>
            <w:bottom w:val="none" w:sz="0" w:space="0" w:color="auto"/>
            <w:right w:val="none" w:sz="0" w:space="0" w:color="auto"/>
          </w:divBdr>
        </w:div>
        <w:div w:id="1252620918">
          <w:marLeft w:val="547"/>
          <w:marRight w:val="0"/>
          <w:marTop w:val="0"/>
          <w:marBottom w:val="60"/>
          <w:divBdr>
            <w:top w:val="none" w:sz="0" w:space="0" w:color="auto"/>
            <w:left w:val="none" w:sz="0" w:space="0" w:color="auto"/>
            <w:bottom w:val="none" w:sz="0" w:space="0" w:color="auto"/>
            <w:right w:val="none" w:sz="0" w:space="0" w:color="auto"/>
          </w:divBdr>
        </w:div>
      </w:divsChild>
    </w:div>
    <w:div w:id="821503590">
      <w:bodyDiv w:val="1"/>
      <w:marLeft w:val="0"/>
      <w:marRight w:val="0"/>
      <w:marTop w:val="0"/>
      <w:marBottom w:val="0"/>
      <w:divBdr>
        <w:top w:val="none" w:sz="0" w:space="0" w:color="auto"/>
        <w:left w:val="none" w:sz="0" w:space="0" w:color="auto"/>
        <w:bottom w:val="none" w:sz="0" w:space="0" w:color="auto"/>
        <w:right w:val="none" w:sz="0" w:space="0" w:color="auto"/>
      </w:divBdr>
      <w:divsChild>
        <w:div w:id="361444445">
          <w:marLeft w:val="446"/>
          <w:marRight w:val="0"/>
          <w:marTop w:val="0"/>
          <w:marBottom w:val="160"/>
          <w:divBdr>
            <w:top w:val="none" w:sz="0" w:space="0" w:color="auto"/>
            <w:left w:val="none" w:sz="0" w:space="0" w:color="auto"/>
            <w:bottom w:val="none" w:sz="0" w:space="0" w:color="auto"/>
            <w:right w:val="none" w:sz="0" w:space="0" w:color="auto"/>
          </w:divBdr>
        </w:div>
        <w:div w:id="783575231">
          <w:marLeft w:val="547"/>
          <w:marRight w:val="0"/>
          <w:marTop w:val="0"/>
          <w:marBottom w:val="60"/>
          <w:divBdr>
            <w:top w:val="none" w:sz="0" w:space="0" w:color="auto"/>
            <w:left w:val="none" w:sz="0" w:space="0" w:color="auto"/>
            <w:bottom w:val="none" w:sz="0" w:space="0" w:color="auto"/>
            <w:right w:val="none" w:sz="0" w:space="0" w:color="auto"/>
          </w:divBdr>
        </w:div>
        <w:div w:id="785581859">
          <w:marLeft w:val="547"/>
          <w:marRight w:val="0"/>
          <w:marTop w:val="0"/>
          <w:marBottom w:val="60"/>
          <w:divBdr>
            <w:top w:val="none" w:sz="0" w:space="0" w:color="auto"/>
            <w:left w:val="none" w:sz="0" w:space="0" w:color="auto"/>
            <w:bottom w:val="none" w:sz="0" w:space="0" w:color="auto"/>
            <w:right w:val="none" w:sz="0" w:space="0" w:color="auto"/>
          </w:divBdr>
        </w:div>
        <w:div w:id="922880113">
          <w:marLeft w:val="547"/>
          <w:marRight w:val="0"/>
          <w:marTop w:val="0"/>
          <w:marBottom w:val="60"/>
          <w:divBdr>
            <w:top w:val="none" w:sz="0" w:space="0" w:color="auto"/>
            <w:left w:val="none" w:sz="0" w:space="0" w:color="auto"/>
            <w:bottom w:val="none" w:sz="0" w:space="0" w:color="auto"/>
            <w:right w:val="none" w:sz="0" w:space="0" w:color="auto"/>
          </w:divBdr>
        </w:div>
        <w:div w:id="1322274972">
          <w:marLeft w:val="547"/>
          <w:marRight w:val="0"/>
          <w:marTop w:val="0"/>
          <w:marBottom w:val="60"/>
          <w:divBdr>
            <w:top w:val="none" w:sz="0" w:space="0" w:color="auto"/>
            <w:left w:val="none" w:sz="0" w:space="0" w:color="auto"/>
            <w:bottom w:val="none" w:sz="0" w:space="0" w:color="auto"/>
            <w:right w:val="none" w:sz="0" w:space="0" w:color="auto"/>
          </w:divBdr>
        </w:div>
        <w:div w:id="1411391187">
          <w:marLeft w:val="547"/>
          <w:marRight w:val="0"/>
          <w:marTop w:val="0"/>
          <w:marBottom w:val="60"/>
          <w:divBdr>
            <w:top w:val="none" w:sz="0" w:space="0" w:color="auto"/>
            <w:left w:val="none" w:sz="0" w:space="0" w:color="auto"/>
            <w:bottom w:val="none" w:sz="0" w:space="0" w:color="auto"/>
            <w:right w:val="none" w:sz="0" w:space="0" w:color="auto"/>
          </w:divBdr>
        </w:div>
        <w:div w:id="523665333">
          <w:marLeft w:val="547"/>
          <w:marRight w:val="0"/>
          <w:marTop w:val="0"/>
          <w:marBottom w:val="60"/>
          <w:divBdr>
            <w:top w:val="none" w:sz="0" w:space="0" w:color="auto"/>
            <w:left w:val="none" w:sz="0" w:space="0" w:color="auto"/>
            <w:bottom w:val="none" w:sz="0" w:space="0" w:color="auto"/>
            <w:right w:val="none" w:sz="0" w:space="0" w:color="auto"/>
          </w:divBdr>
        </w:div>
        <w:div w:id="1423381396">
          <w:marLeft w:val="547"/>
          <w:marRight w:val="0"/>
          <w:marTop w:val="0"/>
          <w:marBottom w:val="60"/>
          <w:divBdr>
            <w:top w:val="none" w:sz="0" w:space="0" w:color="auto"/>
            <w:left w:val="none" w:sz="0" w:space="0" w:color="auto"/>
            <w:bottom w:val="none" w:sz="0" w:space="0" w:color="auto"/>
            <w:right w:val="none" w:sz="0" w:space="0" w:color="auto"/>
          </w:divBdr>
        </w:div>
      </w:divsChild>
    </w:div>
    <w:div w:id="1038510773">
      <w:bodyDiv w:val="1"/>
      <w:marLeft w:val="0"/>
      <w:marRight w:val="0"/>
      <w:marTop w:val="0"/>
      <w:marBottom w:val="0"/>
      <w:divBdr>
        <w:top w:val="none" w:sz="0" w:space="0" w:color="auto"/>
        <w:left w:val="none" w:sz="0" w:space="0" w:color="auto"/>
        <w:bottom w:val="none" w:sz="0" w:space="0" w:color="auto"/>
        <w:right w:val="none" w:sz="0" w:space="0" w:color="auto"/>
      </w:divBdr>
      <w:divsChild>
        <w:div w:id="112789540">
          <w:marLeft w:val="547"/>
          <w:marRight w:val="0"/>
          <w:marTop w:val="0"/>
          <w:marBottom w:val="60"/>
          <w:divBdr>
            <w:top w:val="none" w:sz="0" w:space="0" w:color="auto"/>
            <w:left w:val="none" w:sz="0" w:space="0" w:color="auto"/>
            <w:bottom w:val="none" w:sz="0" w:space="0" w:color="auto"/>
            <w:right w:val="none" w:sz="0" w:space="0" w:color="auto"/>
          </w:divBdr>
        </w:div>
        <w:div w:id="1698851638">
          <w:marLeft w:val="547"/>
          <w:marRight w:val="0"/>
          <w:marTop w:val="0"/>
          <w:marBottom w:val="60"/>
          <w:divBdr>
            <w:top w:val="none" w:sz="0" w:space="0" w:color="auto"/>
            <w:left w:val="none" w:sz="0" w:space="0" w:color="auto"/>
            <w:bottom w:val="none" w:sz="0" w:space="0" w:color="auto"/>
            <w:right w:val="none" w:sz="0" w:space="0" w:color="auto"/>
          </w:divBdr>
        </w:div>
        <w:div w:id="1621260025">
          <w:marLeft w:val="547"/>
          <w:marRight w:val="0"/>
          <w:marTop w:val="0"/>
          <w:marBottom w:val="60"/>
          <w:divBdr>
            <w:top w:val="none" w:sz="0" w:space="0" w:color="auto"/>
            <w:left w:val="none" w:sz="0" w:space="0" w:color="auto"/>
            <w:bottom w:val="none" w:sz="0" w:space="0" w:color="auto"/>
            <w:right w:val="none" w:sz="0" w:space="0" w:color="auto"/>
          </w:divBdr>
        </w:div>
        <w:div w:id="310520117">
          <w:marLeft w:val="547"/>
          <w:marRight w:val="0"/>
          <w:marTop w:val="0"/>
          <w:marBottom w:val="60"/>
          <w:divBdr>
            <w:top w:val="none" w:sz="0" w:space="0" w:color="auto"/>
            <w:left w:val="none" w:sz="0" w:space="0" w:color="auto"/>
            <w:bottom w:val="none" w:sz="0" w:space="0" w:color="auto"/>
            <w:right w:val="none" w:sz="0" w:space="0" w:color="auto"/>
          </w:divBdr>
        </w:div>
        <w:div w:id="2041976845">
          <w:marLeft w:val="547"/>
          <w:marRight w:val="0"/>
          <w:marTop w:val="0"/>
          <w:marBottom w:val="60"/>
          <w:divBdr>
            <w:top w:val="none" w:sz="0" w:space="0" w:color="auto"/>
            <w:left w:val="none" w:sz="0" w:space="0" w:color="auto"/>
            <w:bottom w:val="none" w:sz="0" w:space="0" w:color="auto"/>
            <w:right w:val="none" w:sz="0" w:space="0" w:color="auto"/>
          </w:divBdr>
        </w:div>
        <w:div w:id="1145245050">
          <w:marLeft w:val="547"/>
          <w:marRight w:val="0"/>
          <w:marTop w:val="0"/>
          <w:marBottom w:val="60"/>
          <w:divBdr>
            <w:top w:val="none" w:sz="0" w:space="0" w:color="auto"/>
            <w:left w:val="none" w:sz="0" w:space="0" w:color="auto"/>
            <w:bottom w:val="none" w:sz="0" w:space="0" w:color="auto"/>
            <w:right w:val="none" w:sz="0" w:space="0" w:color="auto"/>
          </w:divBdr>
        </w:div>
        <w:div w:id="1038116956">
          <w:marLeft w:val="547"/>
          <w:marRight w:val="0"/>
          <w:marTop w:val="0"/>
          <w:marBottom w:val="60"/>
          <w:divBdr>
            <w:top w:val="none" w:sz="0" w:space="0" w:color="auto"/>
            <w:left w:val="none" w:sz="0" w:space="0" w:color="auto"/>
            <w:bottom w:val="none" w:sz="0" w:space="0" w:color="auto"/>
            <w:right w:val="none" w:sz="0" w:space="0" w:color="auto"/>
          </w:divBdr>
        </w:div>
        <w:div w:id="1679693350">
          <w:marLeft w:val="547"/>
          <w:marRight w:val="0"/>
          <w:marTop w:val="0"/>
          <w:marBottom w:val="60"/>
          <w:divBdr>
            <w:top w:val="none" w:sz="0" w:space="0" w:color="auto"/>
            <w:left w:val="none" w:sz="0" w:space="0" w:color="auto"/>
            <w:bottom w:val="none" w:sz="0" w:space="0" w:color="auto"/>
            <w:right w:val="none" w:sz="0" w:space="0" w:color="auto"/>
          </w:divBdr>
        </w:div>
      </w:divsChild>
    </w:div>
    <w:div w:id="20407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2023-05-28T23:23:00Z</dcterms:created>
  <dc:creator>Queensland Government</dc:creator>
  <cp:keywords>child, safety, data, overview, research, process, funding, grant</cp:keywords>
  <cp:lastModifiedBy>Ellie Mckibbin</cp:lastModifiedBy>
  <dcterms:modified xsi:type="dcterms:W3CDTF">2023-06-23T00:29:00Z</dcterms:modified>
  <cp:revision>4</cp:revision>
  <dc:subject>Data Overview </dc:subject>
  <dc:title>Child Safety Data Overview</dc:title>
</cp:coreProperties>
</file>