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90A9" w14:textId="77777777" w:rsidR="000A1003" w:rsidRDefault="000A1003" w:rsidP="000A1003">
      <w:pPr>
        <w:spacing w:after="0"/>
        <w:jc w:val="right"/>
        <w:rPr>
          <w:rFonts w:cs="Arial"/>
          <w:color w:val="FFFFFF" w:themeColor="background1"/>
          <w:sz w:val="28"/>
          <w:szCs w:val="28"/>
        </w:rPr>
      </w:pPr>
    </w:p>
    <w:p w14:paraId="1B493CCC" w14:textId="77777777" w:rsidR="000A1003" w:rsidRDefault="000A1003" w:rsidP="000A1003">
      <w:pPr>
        <w:spacing w:after="0"/>
        <w:jc w:val="right"/>
        <w:rPr>
          <w:rFonts w:cs="Arial"/>
          <w:color w:val="FFFFFF" w:themeColor="background1"/>
          <w:sz w:val="28"/>
          <w:szCs w:val="28"/>
        </w:rPr>
      </w:pPr>
    </w:p>
    <w:p w14:paraId="2B049537" w14:textId="77777777" w:rsidR="000A1003" w:rsidRDefault="000A1003" w:rsidP="000A1003">
      <w:pPr>
        <w:spacing w:after="0"/>
        <w:jc w:val="right"/>
        <w:rPr>
          <w:rFonts w:cs="Arial"/>
          <w:color w:val="FFFFFF" w:themeColor="background1"/>
          <w:sz w:val="28"/>
          <w:szCs w:val="28"/>
        </w:rPr>
      </w:pPr>
    </w:p>
    <w:p w14:paraId="61D1DBE6" w14:textId="77777777" w:rsidR="000A1003" w:rsidRDefault="000A1003" w:rsidP="000A1003">
      <w:pPr>
        <w:spacing w:after="0"/>
        <w:jc w:val="right"/>
        <w:rPr>
          <w:rFonts w:cs="Arial"/>
          <w:color w:val="FFFFFF" w:themeColor="background1"/>
          <w:sz w:val="28"/>
          <w:szCs w:val="28"/>
        </w:rPr>
      </w:pPr>
    </w:p>
    <w:p w14:paraId="236D0CDD" w14:textId="77777777" w:rsidR="000A1003" w:rsidRDefault="000A1003" w:rsidP="000A1003">
      <w:pPr>
        <w:spacing w:after="0"/>
        <w:jc w:val="right"/>
        <w:rPr>
          <w:rFonts w:cs="Arial"/>
          <w:color w:val="FFFFFF" w:themeColor="background1"/>
          <w:sz w:val="28"/>
          <w:szCs w:val="28"/>
        </w:rPr>
      </w:pPr>
    </w:p>
    <w:p w14:paraId="12AAB156" w14:textId="77777777" w:rsidR="000A1003" w:rsidRDefault="000A1003" w:rsidP="000A1003">
      <w:pPr>
        <w:spacing w:after="0"/>
        <w:jc w:val="right"/>
        <w:rPr>
          <w:rFonts w:cs="Arial"/>
          <w:color w:val="FFFFFF" w:themeColor="background1"/>
          <w:sz w:val="28"/>
          <w:szCs w:val="28"/>
        </w:rPr>
      </w:pPr>
    </w:p>
    <w:p w14:paraId="7D300714" w14:textId="77777777" w:rsidR="000A1003" w:rsidRDefault="000A1003" w:rsidP="000A1003">
      <w:pPr>
        <w:spacing w:after="0"/>
        <w:jc w:val="right"/>
        <w:rPr>
          <w:rFonts w:cs="Arial"/>
          <w:color w:val="FFFFFF" w:themeColor="background1"/>
          <w:sz w:val="28"/>
          <w:szCs w:val="28"/>
        </w:rPr>
      </w:pPr>
    </w:p>
    <w:p w14:paraId="48BFEE4E" w14:textId="77777777" w:rsidR="000A1003" w:rsidRDefault="000A1003" w:rsidP="000A1003">
      <w:pPr>
        <w:spacing w:after="0"/>
        <w:jc w:val="right"/>
        <w:rPr>
          <w:rFonts w:cs="Arial"/>
          <w:color w:val="FFFFFF" w:themeColor="background1"/>
          <w:sz w:val="28"/>
          <w:szCs w:val="28"/>
        </w:rPr>
      </w:pPr>
    </w:p>
    <w:p w14:paraId="79C4B8EF" w14:textId="1A44DEC2" w:rsidR="000A1003" w:rsidRDefault="000A1003" w:rsidP="000F7BD3">
      <w:pPr>
        <w:spacing w:after="0"/>
        <w:rPr>
          <w:rFonts w:cs="Arial"/>
          <w:color w:val="FFFFFF" w:themeColor="background1"/>
          <w:sz w:val="28"/>
          <w:szCs w:val="28"/>
        </w:rPr>
      </w:pPr>
    </w:p>
    <w:p w14:paraId="5BE54ECD" w14:textId="5F227312" w:rsidR="000A1003" w:rsidRDefault="008B00B1" w:rsidP="000A1003">
      <w:pPr>
        <w:spacing w:after="0"/>
        <w:jc w:val="right"/>
        <w:rPr>
          <w:rFonts w:cs="Arial"/>
          <w:color w:val="FFFFFF" w:themeColor="background1"/>
          <w:sz w:val="28"/>
          <w:szCs w:val="28"/>
        </w:rPr>
      </w:pPr>
      <w:r>
        <w:rPr>
          <w:noProof/>
        </w:rPr>
        <mc:AlternateContent>
          <mc:Choice Requires="wps">
            <w:drawing>
              <wp:anchor distT="0" distB="0" distL="114300" distR="114300" simplePos="0" relativeHeight="251659264" behindDoc="0" locked="0" layoutInCell="1" allowOverlap="1" wp14:anchorId="1BBF47DE" wp14:editId="442CBB71">
                <wp:simplePos x="0" y="0"/>
                <wp:positionH relativeFrom="column">
                  <wp:posOffset>-426720</wp:posOffset>
                </wp:positionH>
                <wp:positionV relativeFrom="paragraph">
                  <wp:posOffset>323850</wp:posOffset>
                </wp:positionV>
                <wp:extent cx="6221730" cy="1061720"/>
                <wp:effectExtent l="0" t="0" r="7620" b="5080"/>
                <wp:wrapNone/>
                <wp:docPr id="7" name="Text Box 7"/>
                <wp:cNvGraphicFramePr/>
                <a:graphic xmlns:a="http://schemas.openxmlformats.org/drawingml/2006/main">
                  <a:graphicData uri="http://schemas.microsoft.com/office/word/2010/wordprocessingShape">
                    <wps:wsp>
                      <wps:cNvSpPr txBox="1"/>
                      <wps:spPr>
                        <a:xfrm>
                          <a:off x="0" y="0"/>
                          <a:ext cx="6221730" cy="1061720"/>
                        </a:xfrm>
                        <a:prstGeom prst="rect">
                          <a:avLst/>
                        </a:prstGeom>
                        <a:noFill/>
                        <a:ln w="6350">
                          <a:noFill/>
                        </a:ln>
                      </wps:spPr>
                      <wps:txbx>
                        <w:txbxContent>
                          <w:p w14:paraId="7BB6D72E" w14:textId="75FE599C" w:rsidR="008C7A8C" w:rsidRPr="008B00B1" w:rsidRDefault="008B00B1" w:rsidP="008B00B1">
                            <w:pPr>
                              <w:spacing w:after="0"/>
                              <w:jc w:val="right"/>
                              <w:rPr>
                                <w:rFonts w:cs="Arial"/>
                                <w:color w:val="FFFFFF" w:themeColor="background1"/>
                                <w:spacing w:val="20"/>
                                <w:sz w:val="56"/>
                                <w:szCs w:val="56"/>
                              </w:rPr>
                            </w:pPr>
                            <w:r w:rsidRPr="008B00B1">
                              <w:rPr>
                                <w:rFonts w:cs="Arial"/>
                                <w:color w:val="FFFFFF" w:themeColor="background1"/>
                                <w:spacing w:val="20"/>
                                <w:sz w:val="56"/>
                                <w:szCs w:val="56"/>
                              </w:rPr>
                              <w:t xml:space="preserve">Addendum: </w:t>
                            </w:r>
                            <w:r w:rsidR="008C7A8C" w:rsidRPr="008B00B1">
                              <w:rPr>
                                <w:rFonts w:cs="Arial"/>
                                <w:color w:val="FFFFFF" w:themeColor="background1"/>
                                <w:spacing w:val="20"/>
                                <w:sz w:val="56"/>
                                <w:szCs w:val="56"/>
                              </w:rPr>
                              <w:t xml:space="preserve">Performance framework </w:t>
                            </w:r>
                          </w:p>
                          <w:p w14:paraId="306A06CF" w14:textId="765756FD" w:rsidR="008C7A8C" w:rsidRPr="008B00B1" w:rsidRDefault="008C7A8C" w:rsidP="008B00B1">
                            <w:pPr>
                              <w:jc w:val="right"/>
                              <w:rPr>
                                <w:rFonts w:cs="Arial"/>
                                <w:color w:val="FFFFFF" w:themeColor="background1"/>
                                <w:spacing w:val="20"/>
                                <w:sz w:val="56"/>
                                <w:szCs w:val="56"/>
                              </w:rPr>
                            </w:pPr>
                            <w:r w:rsidRPr="008B00B1">
                              <w:rPr>
                                <w:rFonts w:cs="Arial"/>
                                <w:color w:val="FFFFFF" w:themeColor="background1"/>
                                <w:spacing w:val="20"/>
                                <w:sz w:val="56"/>
                                <w:szCs w:val="56"/>
                              </w:rPr>
                              <w:t>for Intensive Family Support</w:t>
                            </w:r>
                          </w:p>
                          <w:p w14:paraId="6E93F9DB" w14:textId="77777777" w:rsidR="008C7A8C" w:rsidRDefault="008C7A8C" w:rsidP="000A10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F47DE" id="_x0000_t202" coordsize="21600,21600" o:spt="202" path="m,l,21600r21600,l21600,xe">
                <v:stroke joinstyle="miter"/>
                <v:path gradientshapeok="t" o:connecttype="rect"/>
              </v:shapetype>
              <v:shape id="Text Box 7" o:spid="_x0000_s1026" type="#_x0000_t202" style="position:absolute;left:0;text-align:left;margin-left:-33.6pt;margin-top:25.5pt;width:489.9pt;height: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" filled="f" stroked="f" strokeweight=".5pt">
                <v:textbox inset="0,0,0,0">
                  <w:txbxContent>
                    <w:p w14:paraId="7BB6D72E" w14:textId="75FE599C" w:rsidR="008C7A8C" w:rsidRPr="008B00B1" w:rsidRDefault="008B00B1" w:rsidP="008B00B1">
                      <w:pPr>
                        <w:spacing w:after="0"/>
                        <w:jc w:val="right"/>
                        <w:rPr>
                          <w:rFonts w:cs="Arial"/>
                          <w:color w:val="FFFFFF" w:themeColor="background1"/>
                          <w:spacing w:val="20"/>
                          <w:sz w:val="56"/>
                          <w:szCs w:val="56"/>
                        </w:rPr>
                      </w:pPr>
                      <w:r w:rsidRPr="008B00B1">
                        <w:rPr>
                          <w:rFonts w:cs="Arial"/>
                          <w:color w:val="FFFFFF" w:themeColor="background1"/>
                          <w:spacing w:val="20"/>
                          <w:sz w:val="56"/>
                          <w:szCs w:val="56"/>
                        </w:rPr>
                        <w:t xml:space="preserve">Addendum: </w:t>
                      </w:r>
                      <w:r w:rsidR="008C7A8C" w:rsidRPr="008B00B1">
                        <w:rPr>
                          <w:rFonts w:cs="Arial"/>
                          <w:color w:val="FFFFFF" w:themeColor="background1"/>
                          <w:spacing w:val="20"/>
                          <w:sz w:val="56"/>
                          <w:szCs w:val="56"/>
                        </w:rPr>
                        <w:t xml:space="preserve">Performance framework </w:t>
                      </w:r>
                    </w:p>
                    <w:p w14:paraId="306A06CF" w14:textId="765756FD" w:rsidR="008C7A8C" w:rsidRPr="008B00B1" w:rsidRDefault="008C7A8C" w:rsidP="008B00B1">
                      <w:pPr>
                        <w:jc w:val="right"/>
                        <w:rPr>
                          <w:rFonts w:cs="Arial"/>
                          <w:color w:val="FFFFFF" w:themeColor="background1"/>
                          <w:spacing w:val="20"/>
                          <w:sz w:val="56"/>
                          <w:szCs w:val="56"/>
                        </w:rPr>
                      </w:pPr>
                      <w:r w:rsidRPr="008B00B1">
                        <w:rPr>
                          <w:rFonts w:cs="Arial"/>
                          <w:color w:val="FFFFFF" w:themeColor="background1"/>
                          <w:spacing w:val="20"/>
                          <w:sz w:val="56"/>
                          <w:szCs w:val="56"/>
                        </w:rPr>
                        <w:t>for Intensive Family Support</w:t>
                      </w:r>
                    </w:p>
                    <w:p w14:paraId="6E93F9DB" w14:textId="77777777" w:rsidR="008C7A8C" w:rsidRDefault="008C7A8C" w:rsidP="000A1003"/>
                  </w:txbxContent>
                </v:textbox>
              </v:shape>
            </w:pict>
          </mc:Fallback>
        </mc:AlternateContent>
      </w:r>
    </w:p>
    <w:p w14:paraId="16C8A4C3" w14:textId="65574988" w:rsidR="000A1003" w:rsidRDefault="000A1003" w:rsidP="000A1003">
      <w:pPr>
        <w:spacing w:after="0"/>
        <w:jc w:val="right"/>
        <w:rPr>
          <w:rFonts w:cs="Arial"/>
          <w:color w:val="FFFFFF" w:themeColor="background1"/>
          <w:sz w:val="28"/>
          <w:szCs w:val="28"/>
        </w:rPr>
      </w:pPr>
    </w:p>
    <w:p w14:paraId="134BD15A" w14:textId="77777777" w:rsidR="000A1003" w:rsidRDefault="000A1003" w:rsidP="000A1003">
      <w:pPr>
        <w:spacing w:after="0"/>
        <w:jc w:val="right"/>
        <w:rPr>
          <w:rFonts w:cs="Arial"/>
          <w:color w:val="FFFFFF" w:themeColor="background1"/>
          <w:sz w:val="28"/>
          <w:szCs w:val="28"/>
        </w:rPr>
      </w:pPr>
    </w:p>
    <w:p w14:paraId="64D01B0F" w14:textId="77777777" w:rsidR="000A1003" w:rsidRDefault="000A1003" w:rsidP="000A1003">
      <w:pPr>
        <w:spacing w:after="0"/>
        <w:jc w:val="right"/>
        <w:rPr>
          <w:rFonts w:cs="Arial"/>
          <w:color w:val="FFFFFF" w:themeColor="background1"/>
          <w:sz w:val="28"/>
          <w:szCs w:val="28"/>
        </w:rPr>
      </w:pPr>
    </w:p>
    <w:p w14:paraId="7F021DE1" w14:textId="4C960F61" w:rsidR="000A1003" w:rsidRDefault="000A1003" w:rsidP="000F7BD3">
      <w:pPr>
        <w:spacing w:after="0"/>
        <w:rPr>
          <w:rFonts w:cs="Arial"/>
          <w:color w:val="FFFFFF" w:themeColor="background1"/>
          <w:sz w:val="28"/>
          <w:szCs w:val="28"/>
        </w:rPr>
      </w:pPr>
    </w:p>
    <w:p w14:paraId="33D8E60A" w14:textId="77777777" w:rsidR="000F7BD3" w:rsidRDefault="000F7BD3" w:rsidP="000F7BD3">
      <w:pPr>
        <w:spacing w:after="0"/>
        <w:rPr>
          <w:rFonts w:cs="Arial"/>
          <w:color w:val="FFFFFF" w:themeColor="background1"/>
          <w:sz w:val="28"/>
          <w:szCs w:val="28"/>
        </w:rPr>
      </w:pPr>
    </w:p>
    <w:p w14:paraId="575F1889" w14:textId="77777777" w:rsidR="000A1003" w:rsidRDefault="000A1003" w:rsidP="000A1003">
      <w:pPr>
        <w:spacing w:after="0"/>
        <w:jc w:val="right"/>
        <w:rPr>
          <w:rFonts w:cs="Arial"/>
          <w:color w:val="FFFFFF" w:themeColor="background1"/>
          <w:sz w:val="28"/>
          <w:szCs w:val="28"/>
        </w:rPr>
      </w:pPr>
    </w:p>
    <w:p w14:paraId="21DA2F36" w14:textId="3B59C1EA" w:rsidR="00FE2119" w:rsidRDefault="00FE2119" w:rsidP="000A1003">
      <w:pPr>
        <w:spacing w:after="0"/>
        <w:jc w:val="right"/>
        <w:rPr>
          <w:rFonts w:cs="Arial"/>
          <w:i/>
          <w:iCs/>
          <w:color w:val="FFFFFF" w:themeColor="background1"/>
          <w:sz w:val="28"/>
          <w:szCs w:val="28"/>
        </w:rPr>
      </w:pPr>
      <w:r>
        <w:rPr>
          <w:rFonts w:cs="Arial"/>
          <w:color w:val="FFFFFF" w:themeColor="background1"/>
          <w:sz w:val="28"/>
          <w:szCs w:val="28"/>
        </w:rPr>
        <w:t xml:space="preserve">Supplementary guide to the </w:t>
      </w:r>
      <w:r>
        <w:rPr>
          <w:rFonts w:cs="Arial"/>
          <w:i/>
          <w:iCs/>
          <w:color w:val="FFFFFF" w:themeColor="background1"/>
          <w:sz w:val="28"/>
          <w:szCs w:val="28"/>
        </w:rPr>
        <w:t xml:space="preserve">Performance </w:t>
      </w:r>
    </w:p>
    <w:p w14:paraId="560FC40B" w14:textId="1EDD10CC" w:rsidR="000A1003" w:rsidRPr="00516A48" w:rsidRDefault="00FE2119" w:rsidP="000A1003">
      <w:pPr>
        <w:spacing w:after="0"/>
        <w:jc w:val="right"/>
        <w:rPr>
          <w:rFonts w:cs="Arial"/>
          <w:color w:val="FFFFFF" w:themeColor="background1"/>
          <w:sz w:val="28"/>
          <w:szCs w:val="28"/>
        </w:rPr>
      </w:pPr>
      <w:r>
        <w:rPr>
          <w:rFonts w:cs="Arial"/>
          <w:i/>
          <w:iCs/>
          <w:color w:val="FFFFFF" w:themeColor="background1"/>
          <w:sz w:val="28"/>
          <w:szCs w:val="28"/>
        </w:rPr>
        <w:t>Framework for funded service providers</w:t>
      </w:r>
      <w:r w:rsidR="000A1003" w:rsidRPr="00516A48">
        <w:rPr>
          <w:rFonts w:cs="Arial"/>
          <w:color w:val="FFFFFF" w:themeColor="background1"/>
          <w:sz w:val="28"/>
          <w:szCs w:val="28"/>
        </w:rPr>
        <w:t xml:space="preserve"> </w:t>
      </w:r>
    </w:p>
    <w:p w14:paraId="08D2E53F" w14:textId="77777777" w:rsidR="000A1003" w:rsidRDefault="000A1003" w:rsidP="000A1003">
      <w:pPr>
        <w:jc w:val="right"/>
      </w:pPr>
    </w:p>
    <w:p w14:paraId="355E76E4" w14:textId="77777777" w:rsidR="000A1003" w:rsidRPr="00D11107" w:rsidRDefault="000A1003" w:rsidP="000A1003">
      <w:pPr>
        <w:jc w:val="right"/>
      </w:pPr>
    </w:p>
    <w:p w14:paraId="728C22F3" w14:textId="166B05E7" w:rsidR="00EB4973" w:rsidRDefault="008B2B2B" w:rsidP="000A1003">
      <w:pPr>
        <w:jc w:val="right"/>
        <w:rPr>
          <w:color w:val="FFFFFF" w:themeColor="background1"/>
          <w:sz w:val="28"/>
          <w:szCs w:val="28"/>
        </w:rPr>
      </w:pPr>
      <w:r>
        <w:rPr>
          <w:color w:val="FFFFFF" w:themeColor="background1"/>
          <w:sz w:val="28"/>
          <w:szCs w:val="28"/>
        </w:rPr>
        <w:t>Ma</w:t>
      </w:r>
      <w:r w:rsidR="004032DE">
        <w:rPr>
          <w:color w:val="FFFFFF" w:themeColor="background1"/>
          <w:sz w:val="28"/>
          <w:szCs w:val="28"/>
        </w:rPr>
        <w:t>y</w:t>
      </w:r>
      <w:r w:rsidR="008B00B1">
        <w:rPr>
          <w:color w:val="FFFFFF" w:themeColor="background1"/>
          <w:sz w:val="28"/>
          <w:szCs w:val="28"/>
        </w:rPr>
        <w:t xml:space="preserve"> </w:t>
      </w:r>
      <w:r w:rsidR="000A1003" w:rsidRPr="00516A48">
        <w:rPr>
          <w:color w:val="FFFFFF" w:themeColor="background1"/>
          <w:sz w:val="28"/>
          <w:szCs w:val="28"/>
        </w:rPr>
        <w:t>202</w:t>
      </w:r>
      <w:r w:rsidR="004032DE">
        <w:rPr>
          <w:color w:val="FFFFFF" w:themeColor="background1"/>
          <w:sz w:val="28"/>
          <w:szCs w:val="28"/>
        </w:rPr>
        <w:t>3</w:t>
      </w:r>
    </w:p>
    <w:p w14:paraId="2ACEE988" w14:textId="5EE1CEC9" w:rsidR="000A1003" w:rsidRDefault="000A1003">
      <w:pPr>
        <w:spacing w:before="0" w:after="0"/>
        <w:rPr>
          <w:color w:val="FFFFFF" w:themeColor="background1"/>
          <w:sz w:val="28"/>
          <w:szCs w:val="28"/>
        </w:rPr>
      </w:pPr>
      <w:r>
        <w:rPr>
          <w:color w:val="FFFFFF" w:themeColor="background1"/>
          <w:sz w:val="28"/>
          <w:szCs w:val="28"/>
        </w:rPr>
        <w:br w:type="page"/>
      </w:r>
    </w:p>
    <w:p w14:paraId="5B755815" w14:textId="22A9F017" w:rsidR="000240A1" w:rsidRPr="00657353" w:rsidRDefault="000240A1" w:rsidP="00657353">
      <w:pPr>
        <w:rPr>
          <w:noProof/>
        </w:rPr>
      </w:pPr>
    </w:p>
    <w:p w14:paraId="1BEB1CA4" w14:textId="731844FD" w:rsidR="006F30B2" w:rsidRPr="000570B8" w:rsidRDefault="006F30B2" w:rsidP="000240A1">
      <w:pPr>
        <w:pStyle w:val="Heading1"/>
        <w:rPr>
          <w:sz w:val="32"/>
          <w:szCs w:val="18"/>
        </w:rPr>
      </w:pPr>
      <w:r w:rsidRPr="000570B8">
        <w:rPr>
          <w:sz w:val="32"/>
          <w:szCs w:val="18"/>
        </w:rPr>
        <w:t>Overview</w:t>
      </w:r>
    </w:p>
    <w:p w14:paraId="25B68051" w14:textId="171BD46C" w:rsidR="006F30B2" w:rsidRDefault="00982110" w:rsidP="00577E50">
      <w:r>
        <w:rPr>
          <w:bCs/>
        </w:rPr>
        <w:t xml:space="preserve">The </w:t>
      </w:r>
      <w:r w:rsidR="006F30B2" w:rsidRPr="007A062D">
        <w:rPr>
          <w:bCs/>
          <w:i/>
          <w:iCs/>
        </w:rPr>
        <w:t>Performance framework for funded service providers</w:t>
      </w:r>
      <w:r w:rsidR="000570B8">
        <w:rPr>
          <w:bCs/>
        </w:rPr>
        <w:t xml:space="preserve"> (the performance framework)</w:t>
      </w:r>
      <w:r w:rsidR="006F30B2">
        <w:t xml:space="preserve"> sets out the </w:t>
      </w:r>
      <w:r w:rsidR="00FE2119">
        <w:t xml:space="preserve">broader </w:t>
      </w:r>
      <w:r w:rsidR="006F30B2">
        <w:t>framework through which the Department of Children, Youth Justice and Multicultural Affairs (the department) monitors and assesses all the department’s outsourced service delivery contracts.</w:t>
      </w:r>
    </w:p>
    <w:p w14:paraId="65657ADD" w14:textId="77777777" w:rsidR="006F30B2" w:rsidRDefault="006F30B2" w:rsidP="00577E50">
      <w:r>
        <w:t>The performance framework operates across a spectrum that includes:</w:t>
      </w:r>
    </w:p>
    <w:p w14:paraId="01276F84" w14:textId="77777777" w:rsidR="006F30B2" w:rsidRPr="00F1232F" w:rsidRDefault="006F30B2" w:rsidP="00577E50">
      <w:pPr>
        <w:pStyle w:val="DHHSbullet1"/>
        <w:rPr>
          <w:sz w:val="22"/>
          <w:szCs w:val="22"/>
        </w:rPr>
      </w:pPr>
      <w:r w:rsidRPr="00F1232F">
        <w:rPr>
          <w:sz w:val="22"/>
          <w:szCs w:val="22"/>
        </w:rPr>
        <w:t>measuring and monitoring performance</w:t>
      </w:r>
    </w:p>
    <w:p w14:paraId="60EDDEC3" w14:textId="77777777" w:rsidR="006F30B2" w:rsidRPr="00F1232F" w:rsidRDefault="006F30B2" w:rsidP="00577E50">
      <w:pPr>
        <w:pStyle w:val="DHHSbullet1"/>
        <w:rPr>
          <w:sz w:val="22"/>
          <w:szCs w:val="22"/>
        </w:rPr>
      </w:pPr>
      <w:r w:rsidRPr="00F1232F">
        <w:rPr>
          <w:sz w:val="22"/>
          <w:szCs w:val="22"/>
        </w:rPr>
        <w:t>developing collaborative relationships within a framework of risk management</w:t>
      </w:r>
    </w:p>
    <w:p w14:paraId="2087C771" w14:textId="77777777" w:rsidR="006F30B2" w:rsidRPr="00F1232F" w:rsidRDefault="006F30B2" w:rsidP="00577E50">
      <w:pPr>
        <w:pStyle w:val="DHHSbullet1"/>
        <w:rPr>
          <w:sz w:val="22"/>
          <w:szCs w:val="22"/>
        </w:rPr>
      </w:pPr>
      <w:r w:rsidRPr="00F1232F">
        <w:rPr>
          <w:sz w:val="22"/>
          <w:szCs w:val="22"/>
        </w:rPr>
        <w:t xml:space="preserve">ensuring obligatory compliance  </w:t>
      </w:r>
    </w:p>
    <w:p w14:paraId="13FB0EDF" w14:textId="6F1D3B32" w:rsidR="006F30B2" w:rsidRPr="00F1232F" w:rsidRDefault="006F30B2" w:rsidP="00FE2119">
      <w:pPr>
        <w:pStyle w:val="DHHSbullet1"/>
        <w:spacing w:after="120"/>
        <w:rPr>
          <w:sz w:val="22"/>
          <w:szCs w:val="22"/>
        </w:rPr>
      </w:pPr>
      <w:r w:rsidRPr="00F1232F">
        <w:rPr>
          <w:sz w:val="22"/>
          <w:szCs w:val="22"/>
        </w:rPr>
        <w:t>and sharing learnings from high performing services</w:t>
      </w:r>
    </w:p>
    <w:p w14:paraId="2A7D599D" w14:textId="77777777" w:rsidR="00FE2119" w:rsidRDefault="006F30B2" w:rsidP="00FE2119">
      <w:pPr>
        <w:spacing w:before="240"/>
        <w:rPr>
          <w:rFonts w:cstheme="minorHAnsi"/>
        </w:rPr>
      </w:pPr>
      <w:r>
        <w:rPr>
          <w:rFonts w:cstheme="minorHAnsi"/>
        </w:rPr>
        <w:t xml:space="preserve">The framework promotes </w:t>
      </w:r>
      <w:r w:rsidRPr="007A062D">
        <w:rPr>
          <w:rFonts w:cstheme="minorHAnsi"/>
        </w:rPr>
        <w:t>collaborat</w:t>
      </w:r>
      <w:r>
        <w:rPr>
          <w:rFonts w:cstheme="minorHAnsi"/>
        </w:rPr>
        <w:t>ion within a</w:t>
      </w:r>
      <w:r w:rsidRPr="007A062D">
        <w:rPr>
          <w:rFonts w:cstheme="minorHAnsi"/>
        </w:rPr>
        <w:t xml:space="preserve"> </w:t>
      </w:r>
      <w:r>
        <w:rPr>
          <w:rFonts w:cstheme="minorHAnsi"/>
        </w:rPr>
        <w:t xml:space="preserve">contract management </w:t>
      </w:r>
      <w:r w:rsidRPr="007A062D">
        <w:rPr>
          <w:rFonts w:cstheme="minorHAnsi"/>
        </w:rPr>
        <w:t>relationship</w:t>
      </w:r>
      <w:r>
        <w:rPr>
          <w:rFonts w:cstheme="minorHAnsi"/>
        </w:rPr>
        <w:t xml:space="preserve"> that</w:t>
      </w:r>
      <w:r w:rsidRPr="007A062D">
        <w:rPr>
          <w:rFonts w:cstheme="minorHAnsi"/>
        </w:rPr>
        <w:t xml:space="preserve"> encourage</w:t>
      </w:r>
      <w:r>
        <w:rPr>
          <w:rFonts w:cstheme="minorHAnsi"/>
        </w:rPr>
        <w:t>s</w:t>
      </w:r>
      <w:r w:rsidRPr="007A062D">
        <w:rPr>
          <w:rFonts w:cstheme="minorHAnsi"/>
        </w:rPr>
        <w:t>, recognise</w:t>
      </w:r>
      <w:r>
        <w:rPr>
          <w:rFonts w:cstheme="minorHAnsi"/>
        </w:rPr>
        <w:t>s</w:t>
      </w:r>
      <w:r w:rsidRPr="007A062D">
        <w:rPr>
          <w:rFonts w:cstheme="minorHAnsi"/>
        </w:rPr>
        <w:t xml:space="preserve"> and promote</w:t>
      </w:r>
      <w:r>
        <w:rPr>
          <w:rFonts w:cstheme="minorHAnsi"/>
        </w:rPr>
        <w:t>s</w:t>
      </w:r>
      <w:r w:rsidRPr="007A062D">
        <w:rPr>
          <w:rFonts w:cstheme="minorHAnsi"/>
        </w:rPr>
        <w:t xml:space="preserve"> high perform</w:t>
      </w:r>
      <w:r>
        <w:rPr>
          <w:rFonts w:cstheme="minorHAnsi"/>
        </w:rPr>
        <w:t>ance by</w:t>
      </w:r>
      <w:r w:rsidRPr="007A062D">
        <w:rPr>
          <w:rFonts w:cstheme="minorHAnsi"/>
        </w:rPr>
        <w:t xml:space="preserve"> providers across the social services system.</w:t>
      </w:r>
      <w:r>
        <w:rPr>
          <w:rFonts w:cstheme="minorHAnsi"/>
        </w:rPr>
        <w:t xml:space="preserve"> It involves a performance assessment approach that enables </w:t>
      </w:r>
      <w:r w:rsidRPr="007A062D">
        <w:rPr>
          <w:rFonts w:cstheme="minorHAnsi"/>
        </w:rPr>
        <w:t xml:space="preserve">performance issues </w:t>
      </w:r>
      <w:r>
        <w:rPr>
          <w:rFonts w:cstheme="minorHAnsi"/>
        </w:rPr>
        <w:t xml:space="preserve">to be identified </w:t>
      </w:r>
      <w:r w:rsidRPr="007A062D">
        <w:rPr>
          <w:rFonts w:cstheme="minorHAnsi"/>
        </w:rPr>
        <w:t xml:space="preserve">quickly and </w:t>
      </w:r>
      <w:r>
        <w:rPr>
          <w:rFonts w:cstheme="minorHAnsi"/>
        </w:rPr>
        <w:t xml:space="preserve">addressed </w:t>
      </w:r>
      <w:r w:rsidRPr="007A062D">
        <w:rPr>
          <w:rFonts w:cstheme="minorHAnsi"/>
        </w:rPr>
        <w:t xml:space="preserve">before they </w:t>
      </w:r>
      <w:r>
        <w:rPr>
          <w:rFonts w:cstheme="minorHAnsi"/>
        </w:rPr>
        <w:t>become performance</w:t>
      </w:r>
      <w:r w:rsidRPr="007A062D">
        <w:rPr>
          <w:rFonts w:cstheme="minorHAnsi"/>
        </w:rPr>
        <w:t xml:space="preserve"> failures.</w:t>
      </w:r>
    </w:p>
    <w:p w14:paraId="5254C837" w14:textId="625053C8" w:rsidR="006F30B2" w:rsidRPr="007A062D" w:rsidRDefault="00FE2119" w:rsidP="006F30B2">
      <w:pPr>
        <w:rPr>
          <w:rFonts w:cstheme="minorHAnsi"/>
        </w:rPr>
      </w:pPr>
      <w:r>
        <w:rPr>
          <w:rFonts w:cstheme="minorHAnsi"/>
        </w:rPr>
        <w:t xml:space="preserve">The </w:t>
      </w:r>
      <w:r w:rsidR="00D81EF6">
        <w:rPr>
          <w:rFonts w:cstheme="minorHAnsi"/>
          <w:i/>
          <w:iCs/>
        </w:rPr>
        <w:t>Addendum: Performance</w:t>
      </w:r>
      <w:r>
        <w:rPr>
          <w:rFonts w:cstheme="minorHAnsi"/>
          <w:i/>
          <w:iCs/>
        </w:rPr>
        <w:t xml:space="preserve"> </w:t>
      </w:r>
      <w:r w:rsidR="00D81EF6">
        <w:rPr>
          <w:rFonts w:cstheme="minorHAnsi"/>
          <w:i/>
          <w:iCs/>
        </w:rPr>
        <w:t>f</w:t>
      </w:r>
      <w:r>
        <w:rPr>
          <w:rFonts w:cstheme="minorHAnsi"/>
          <w:i/>
          <w:iCs/>
        </w:rPr>
        <w:t xml:space="preserve">ramework for Intensive Family Support </w:t>
      </w:r>
      <w:r>
        <w:rPr>
          <w:rFonts w:cstheme="minorHAnsi"/>
        </w:rPr>
        <w:t xml:space="preserve">is intended to supplement the broader framework because Intensive Family Support (IFS) is the first service type to transition to </w:t>
      </w:r>
      <w:r w:rsidR="00902DB0">
        <w:rPr>
          <w:rFonts w:cstheme="minorHAnsi"/>
        </w:rPr>
        <w:t xml:space="preserve">an outcomes-focused performance framework (from 1 July 2022). This means performance assessments </w:t>
      </w:r>
      <w:r w:rsidR="00422641">
        <w:rPr>
          <w:rFonts w:cstheme="minorHAnsi"/>
        </w:rPr>
        <w:t xml:space="preserve">focus </w:t>
      </w:r>
      <w:r w:rsidR="007569BE">
        <w:rPr>
          <w:rFonts w:cstheme="minorHAnsi"/>
        </w:rPr>
        <w:t xml:space="preserve">more on outcomes achieved through service delivery rather than on </w:t>
      </w:r>
      <w:r w:rsidR="00902DB0">
        <w:rPr>
          <w:rFonts w:cstheme="minorHAnsi"/>
        </w:rPr>
        <w:t xml:space="preserve">reported outputs, namely the total hours of support and the number of </w:t>
      </w:r>
      <w:r w:rsidR="00422641">
        <w:rPr>
          <w:rFonts w:cstheme="minorHAnsi"/>
        </w:rPr>
        <w:t xml:space="preserve">supported </w:t>
      </w:r>
      <w:r w:rsidR="00902DB0">
        <w:rPr>
          <w:rFonts w:cstheme="minorHAnsi"/>
        </w:rPr>
        <w:t>families.</w:t>
      </w:r>
      <w:r w:rsidR="001F7684">
        <w:rPr>
          <w:rStyle w:val="FootnoteReference"/>
          <w:rFonts w:cstheme="minorHAnsi"/>
        </w:rPr>
        <w:footnoteReference w:id="2"/>
      </w:r>
    </w:p>
    <w:p w14:paraId="6E86EF29" w14:textId="14545604" w:rsidR="006F30B2" w:rsidRDefault="00902DB0" w:rsidP="00577E50">
      <w:r>
        <w:t>IFS services are suitable for an outcomes-focused performance framework because</w:t>
      </w:r>
      <w:r w:rsidR="006F30B2">
        <w:t>:</w:t>
      </w:r>
    </w:p>
    <w:p w14:paraId="4FD3F229" w14:textId="57554FC6" w:rsidR="00902DB0" w:rsidRPr="00F1232F" w:rsidRDefault="00902DB0" w:rsidP="00577E50">
      <w:pPr>
        <w:pStyle w:val="DHHSbullet1"/>
        <w:rPr>
          <w:sz w:val="22"/>
          <w:szCs w:val="22"/>
        </w:rPr>
      </w:pPr>
      <w:r w:rsidRPr="00F1232F">
        <w:rPr>
          <w:sz w:val="22"/>
          <w:szCs w:val="22"/>
        </w:rPr>
        <w:t>services are well-established</w:t>
      </w:r>
    </w:p>
    <w:p w14:paraId="0AA79028" w14:textId="77777777" w:rsidR="00902DB0" w:rsidRPr="00F1232F" w:rsidRDefault="00902DB0" w:rsidP="00902DB0">
      <w:pPr>
        <w:pStyle w:val="DHHSbullet1"/>
        <w:rPr>
          <w:sz w:val="22"/>
          <w:szCs w:val="22"/>
        </w:rPr>
      </w:pPr>
      <w:r w:rsidRPr="00F1232F">
        <w:rPr>
          <w:sz w:val="22"/>
          <w:szCs w:val="22"/>
        </w:rPr>
        <w:t xml:space="preserve">the service model is robust, underpinned by a strong evidence base </w:t>
      </w:r>
    </w:p>
    <w:p w14:paraId="59520441" w14:textId="696C0E04" w:rsidR="00902DB0" w:rsidRPr="00F1232F" w:rsidRDefault="00902DB0" w:rsidP="00902DB0">
      <w:pPr>
        <w:pStyle w:val="DHHSbullet1"/>
        <w:rPr>
          <w:sz w:val="22"/>
          <w:szCs w:val="22"/>
        </w:rPr>
      </w:pPr>
      <w:r w:rsidRPr="00F1232F">
        <w:rPr>
          <w:sz w:val="22"/>
          <w:szCs w:val="22"/>
        </w:rPr>
        <w:t>A</w:t>
      </w:r>
      <w:r w:rsidR="00982110" w:rsidRPr="00F1232F">
        <w:rPr>
          <w:sz w:val="22"/>
          <w:szCs w:val="22"/>
        </w:rPr>
        <w:t>dvice, Referrals and Case Management (A</w:t>
      </w:r>
      <w:r w:rsidRPr="00F1232F">
        <w:rPr>
          <w:sz w:val="22"/>
          <w:szCs w:val="22"/>
        </w:rPr>
        <w:t>RC</w:t>
      </w:r>
      <w:r w:rsidR="00982110" w:rsidRPr="00F1232F">
        <w:rPr>
          <w:sz w:val="22"/>
          <w:szCs w:val="22"/>
        </w:rPr>
        <w:t>)</w:t>
      </w:r>
      <w:r w:rsidRPr="00F1232F">
        <w:rPr>
          <w:sz w:val="22"/>
          <w:szCs w:val="22"/>
        </w:rPr>
        <w:t xml:space="preserve"> data provides significant insight into service operations such as the number of referrals, the proportion of in-scope families, consent rates and case plan outcomes</w:t>
      </w:r>
    </w:p>
    <w:p w14:paraId="3A7A1485" w14:textId="0F5E7A7F" w:rsidR="00902DB0" w:rsidRPr="00F1232F" w:rsidRDefault="00224402" w:rsidP="00902DB0">
      <w:pPr>
        <w:pStyle w:val="DHHSbullet1"/>
        <w:rPr>
          <w:sz w:val="22"/>
          <w:szCs w:val="22"/>
        </w:rPr>
      </w:pPr>
      <w:r w:rsidRPr="00F1232F">
        <w:rPr>
          <w:sz w:val="22"/>
          <w:szCs w:val="22"/>
        </w:rPr>
        <w:t>t</w:t>
      </w:r>
      <w:r w:rsidR="00902DB0" w:rsidRPr="00F1232F">
        <w:rPr>
          <w:sz w:val="22"/>
          <w:szCs w:val="22"/>
        </w:rPr>
        <w:t>he FAST (Family Assessment Summary Tool)</w:t>
      </w:r>
      <w:r w:rsidRPr="00F1232F">
        <w:rPr>
          <w:sz w:val="22"/>
          <w:szCs w:val="22"/>
        </w:rPr>
        <w:t xml:space="preserve"> was introduced in ARC from July 2019 and</w:t>
      </w:r>
      <w:r w:rsidR="00902DB0" w:rsidRPr="00F1232F">
        <w:rPr>
          <w:sz w:val="22"/>
          <w:szCs w:val="22"/>
        </w:rPr>
        <w:t>, a</w:t>
      </w:r>
      <w:r w:rsidRPr="00F1232F">
        <w:rPr>
          <w:sz w:val="22"/>
          <w:szCs w:val="22"/>
        </w:rPr>
        <w:t>s</w:t>
      </w:r>
      <w:r w:rsidR="00902DB0" w:rsidRPr="00F1232F">
        <w:rPr>
          <w:sz w:val="22"/>
          <w:szCs w:val="22"/>
        </w:rPr>
        <w:t xml:space="preserve"> </w:t>
      </w:r>
      <w:r w:rsidRPr="00F1232F">
        <w:rPr>
          <w:sz w:val="22"/>
          <w:szCs w:val="22"/>
        </w:rPr>
        <w:t xml:space="preserve">a </w:t>
      </w:r>
      <w:r w:rsidR="00902DB0" w:rsidRPr="00F1232F">
        <w:rPr>
          <w:sz w:val="22"/>
          <w:szCs w:val="22"/>
        </w:rPr>
        <w:t>co-designed assessment tool</w:t>
      </w:r>
      <w:r w:rsidRPr="00F1232F">
        <w:rPr>
          <w:sz w:val="22"/>
          <w:szCs w:val="22"/>
        </w:rPr>
        <w:t>,</w:t>
      </w:r>
      <w:r w:rsidR="00902DB0" w:rsidRPr="00F1232F">
        <w:rPr>
          <w:sz w:val="22"/>
          <w:szCs w:val="22"/>
        </w:rPr>
        <w:t xml:space="preserve"> support</w:t>
      </w:r>
      <w:r w:rsidRPr="00F1232F">
        <w:rPr>
          <w:sz w:val="22"/>
          <w:szCs w:val="22"/>
        </w:rPr>
        <w:t>s workers to consistently identify priority areas and develop case plan goals to achieve long term safety and wellbeing for children and families</w:t>
      </w:r>
      <w:r w:rsidRPr="00F1232F">
        <w:rPr>
          <w:rStyle w:val="FootnoteReference"/>
          <w:sz w:val="22"/>
          <w:szCs w:val="22"/>
        </w:rPr>
        <w:footnoteReference w:id="3"/>
      </w:r>
    </w:p>
    <w:p w14:paraId="4FD4555C" w14:textId="4720EE8E" w:rsidR="00902DB0" w:rsidRPr="00902DB0" w:rsidRDefault="00902DB0" w:rsidP="00902DB0">
      <w:pPr>
        <w:spacing w:before="240"/>
        <w:rPr>
          <w:szCs w:val="22"/>
        </w:rPr>
      </w:pPr>
      <w:r w:rsidRPr="00902DB0">
        <w:rPr>
          <w:szCs w:val="22"/>
        </w:rPr>
        <w:t xml:space="preserve">Research and the experience of other Australian jurisdictions suggests a more balanced assessment of performance is realised by a greater focus on client outcomes, rather than outputs in isolation. </w:t>
      </w:r>
      <w:r w:rsidR="00940485">
        <w:rPr>
          <w:szCs w:val="22"/>
        </w:rPr>
        <w:t>T</w:t>
      </w:r>
      <w:r w:rsidRPr="00902DB0">
        <w:rPr>
          <w:szCs w:val="22"/>
        </w:rPr>
        <w:t xml:space="preserve">his </w:t>
      </w:r>
      <w:r w:rsidR="00D81EF6">
        <w:rPr>
          <w:szCs w:val="22"/>
        </w:rPr>
        <w:t>addendum</w:t>
      </w:r>
      <w:r w:rsidR="00DE1B30">
        <w:rPr>
          <w:szCs w:val="22"/>
        </w:rPr>
        <w:t xml:space="preserve"> provides guidance regarding how key performance indicators can be measured in </w:t>
      </w:r>
      <w:r w:rsidRPr="00902DB0">
        <w:rPr>
          <w:szCs w:val="22"/>
        </w:rPr>
        <w:t>future IFS contractual arrangements</w:t>
      </w:r>
      <w:r w:rsidR="00DE1B30">
        <w:rPr>
          <w:szCs w:val="22"/>
        </w:rPr>
        <w:t xml:space="preserve"> to determine whether:</w:t>
      </w:r>
    </w:p>
    <w:p w14:paraId="250D3B25" w14:textId="7DE1DA59" w:rsidR="001F7466" w:rsidRPr="00F1232F" w:rsidRDefault="001F7466" w:rsidP="001F7466">
      <w:pPr>
        <w:pStyle w:val="DHHSbullet1"/>
        <w:rPr>
          <w:sz w:val="22"/>
          <w:szCs w:val="22"/>
        </w:rPr>
      </w:pPr>
      <w:r w:rsidRPr="00F1232F">
        <w:rPr>
          <w:sz w:val="22"/>
          <w:szCs w:val="22"/>
        </w:rPr>
        <w:t>performance is currently on target</w:t>
      </w:r>
    </w:p>
    <w:p w14:paraId="34E34BC6" w14:textId="77777777" w:rsidR="001F7466" w:rsidRPr="00F1232F" w:rsidRDefault="001F7466" w:rsidP="001F7466">
      <w:pPr>
        <w:pStyle w:val="DHHSbullet1"/>
        <w:rPr>
          <w:sz w:val="22"/>
          <w:szCs w:val="22"/>
        </w:rPr>
      </w:pPr>
      <w:r w:rsidRPr="00F1232F">
        <w:rPr>
          <w:sz w:val="22"/>
          <w:szCs w:val="22"/>
        </w:rPr>
        <w:t>performance is below target but is within the agreed tolerance range</w:t>
      </w:r>
    </w:p>
    <w:p w14:paraId="07A2B1E4" w14:textId="1901F53F" w:rsidR="001F7466" w:rsidRPr="00422641" w:rsidRDefault="001F7466" w:rsidP="009446B7">
      <w:pPr>
        <w:pStyle w:val="DHHSbullet1"/>
        <w:spacing w:after="240"/>
        <w:rPr>
          <w:sz w:val="22"/>
          <w:szCs w:val="22"/>
        </w:rPr>
      </w:pPr>
      <w:r w:rsidRPr="00422641">
        <w:rPr>
          <w:sz w:val="22"/>
          <w:szCs w:val="22"/>
        </w:rPr>
        <w:t>performance is below target and is outside the agreed tolerance range</w:t>
      </w:r>
    </w:p>
    <w:p w14:paraId="1E4517F0" w14:textId="3E10DF1E" w:rsidR="006F30B2" w:rsidRPr="000570B8" w:rsidRDefault="006F30B2" w:rsidP="00657353">
      <w:pPr>
        <w:pStyle w:val="Heading1"/>
        <w:spacing w:after="240"/>
        <w:rPr>
          <w:sz w:val="32"/>
          <w:szCs w:val="18"/>
        </w:rPr>
      </w:pPr>
      <w:bookmarkStart w:id="0" w:name="_Toc445992703"/>
      <w:bookmarkStart w:id="1" w:name="_Toc446076842"/>
      <w:bookmarkStart w:id="2" w:name="_Toc446319037"/>
      <w:bookmarkStart w:id="3" w:name="_Toc447183210"/>
      <w:bookmarkStart w:id="4" w:name="_Toc448391495"/>
      <w:bookmarkStart w:id="5" w:name="_Toc451249885"/>
      <w:bookmarkStart w:id="6" w:name="_Toc451258281"/>
      <w:bookmarkStart w:id="7" w:name="_Toc451263873"/>
      <w:bookmarkStart w:id="8" w:name="_Toc451264020"/>
      <w:bookmarkStart w:id="9" w:name="_Toc451264165"/>
      <w:bookmarkStart w:id="10" w:name="_Toc451264389"/>
      <w:bookmarkStart w:id="11" w:name="_Toc445992704"/>
      <w:bookmarkStart w:id="12" w:name="_Toc446076843"/>
      <w:bookmarkStart w:id="13" w:name="_Toc446319038"/>
      <w:bookmarkStart w:id="14" w:name="_Toc447183211"/>
      <w:bookmarkStart w:id="15" w:name="_Toc448391496"/>
      <w:bookmarkStart w:id="16" w:name="_Toc451249886"/>
      <w:bookmarkStart w:id="17" w:name="_Toc451258282"/>
      <w:bookmarkStart w:id="18" w:name="_Toc451263874"/>
      <w:bookmarkStart w:id="19" w:name="_Toc451264021"/>
      <w:bookmarkStart w:id="20" w:name="_Toc451264166"/>
      <w:bookmarkStart w:id="21" w:name="_Toc451264390"/>
      <w:bookmarkStart w:id="22" w:name="_Toc445992705"/>
      <w:bookmarkStart w:id="23" w:name="_Toc446076844"/>
      <w:bookmarkStart w:id="24" w:name="_Toc446319039"/>
      <w:bookmarkStart w:id="25" w:name="_Toc447183212"/>
      <w:bookmarkStart w:id="26" w:name="_Toc448391497"/>
      <w:bookmarkStart w:id="27" w:name="_Toc451249887"/>
      <w:bookmarkStart w:id="28" w:name="_Toc451258283"/>
      <w:bookmarkStart w:id="29" w:name="_Toc451263875"/>
      <w:bookmarkStart w:id="30" w:name="_Toc451264022"/>
      <w:bookmarkStart w:id="31" w:name="_Toc451264167"/>
      <w:bookmarkStart w:id="32" w:name="_Toc451264391"/>
      <w:bookmarkStart w:id="33" w:name="_Toc445992706"/>
      <w:bookmarkStart w:id="34" w:name="_Toc446076845"/>
      <w:bookmarkStart w:id="35" w:name="_Toc446319040"/>
      <w:bookmarkStart w:id="36" w:name="_Toc447183213"/>
      <w:bookmarkStart w:id="37" w:name="_Toc448391498"/>
      <w:bookmarkStart w:id="38" w:name="_Toc451249888"/>
      <w:bookmarkStart w:id="39" w:name="_Toc451258284"/>
      <w:bookmarkStart w:id="40" w:name="_Toc451263876"/>
      <w:bookmarkStart w:id="41" w:name="_Toc451264023"/>
      <w:bookmarkStart w:id="42" w:name="_Toc451264168"/>
      <w:bookmarkStart w:id="43" w:name="_Toc451264392"/>
      <w:bookmarkStart w:id="44" w:name="_Toc445992707"/>
      <w:bookmarkStart w:id="45" w:name="_Toc446076846"/>
      <w:bookmarkStart w:id="46" w:name="_Toc446319041"/>
      <w:bookmarkStart w:id="47" w:name="_Toc447183214"/>
      <w:bookmarkStart w:id="48" w:name="_Toc448391499"/>
      <w:bookmarkStart w:id="49" w:name="_Toc451249889"/>
      <w:bookmarkStart w:id="50" w:name="_Toc451258285"/>
      <w:bookmarkStart w:id="51" w:name="_Toc451263877"/>
      <w:bookmarkStart w:id="52" w:name="_Toc451264024"/>
      <w:bookmarkStart w:id="53" w:name="_Toc451264169"/>
      <w:bookmarkStart w:id="54" w:name="_Toc451264393"/>
      <w:bookmarkStart w:id="55" w:name="_Toc445992708"/>
      <w:bookmarkStart w:id="56" w:name="_Toc446076847"/>
      <w:bookmarkStart w:id="57" w:name="_Toc446319042"/>
      <w:bookmarkStart w:id="58" w:name="_Toc447183215"/>
      <w:bookmarkStart w:id="59" w:name="_Toc448391500"/>
      <w:bookmarkStart w:id="60" w:name="_Toc451249890"/>
      <w:bookmarkStart w:id="61" w:name="_Toc451258286"/>
      <w:bookmarkStart w:id="62" w:name="_Toc451263878"/>
      <w:bookmarkStart w:id="63" w:name="_Toc451264025"/>
      <w:bookmarkStart w:id="64" w:name="_Toc451264170"/>
      <w:bookmarkStart w:id="65" w:name="_Toc451264394"/>
      <w:bookmarkStart w:id="66" w:name="_Toc445992709"/>
      <w:bookmarkStart w:id="67" w:name="_Toc446076848"/>
      <w:bookmarkStart w:id="68" w:name="_Toc446319043"/>
      <w:bookmarkStart w:id="69" w:name="_Toc447183216"/>
      <w:bookmarkStart w:id="70" w:name="_Toc448391501"/>
      <w:bookmarkStart w:id="71" w:name="_Toc451249891"/>
      <w:bookmarkStart w:id="72" w:name="_Toc451258287"/>
      <w:bookmarkStart w:id="73" w:name="_Toc451263879"/>
      <w:bookmarkStart w:id="74" w:name="_Toc451264026"/>
      <w:bookmarkStart w:id="75" w:name="_Toc451264171"/>
      <w:bookmarkStart w:id="76" w:name="_Toc451264395"/>
      <w:bookmarkStart w:id="77" w:name="_Toc445992710"/>
      <w:bookmarkStart w:id="78" w:name="_Toc446076849"/>
      <w:bookmarkStart w:id="79" w:name="_Toc446319044"/>
      <w:bookmarkStart w:id="80" w:name="_Toc447183217"/>
      <w:bookmarkStart w:id="81" w:name="_Toc448391502"/>
      <w:bookmarkStart w:id="82" w:name="_Toc451249892"/>
      <w:bookmarkStart w:id="83" w:name="_Toc451258288"/>
      <w:bookmarkStart w:id="84" w:name="_Toc451263880"/>
      <w:bookmarkStart w:id="85" w:name="_Toc451264027"/>
      <w:bookmarkStart w:id="86" w:name="_Toc451264172"/>
      <w:bookmarkStart w:id="87" w:name="_Toc451264396"/>
      <w:bookmarkStart w:id="88" w:name="_Toc445992711"/>
      <w:bookmarkStart w:id="89" w:name="_Toc446076850"/>
      <w:bookmarkStart w:id="90" w:name="_Toc446319045"/>
      <w:bookmarkStart w:id="91" w:name="_Toc447183218"/>
      <w:bookmarkStart w:id="92" w:name="_Toc448391503"/>
      <w:bookmarkStart w:id="93" w:name="_Toc451249893"/>
      <w:bookmarkStart w:id="94" w:name="_Toc451258289"/>
      <w:bookmarkStart w:id="95" w:name="_Toc451263881"/>
      <w:bookmarkStart w:id="96" w:name="_Toc451264028"/>
      <w:bookmarkStart w:id="97" w:name="_Toc451264173"/>
      <w:bookmarkStart w:id="98" w:name="_Toc451264397"/>
      <w:bookmarkStart w:id="99" w:name="_Toc445992712"/>
      <w:bookmarkStart w:id="100" w:name="_Toc446076851"/>
      <w:bookmarkStart w:id="101" w:name="_Toc446319046"/>
      <w:bookmarkStart w:id="102" w:name="_Toc447183219"/>
      <w:bookmarkStart w:id="103" w:name="_Toc448391504"/>
      <w:bookmarkStart w:id="104" w:name="_Toc451249894"/>
      <w:bookmarkStart w:id="105" w:name="_Toc451258290"/>
      <w:bookmarkStart w:id="106" w:name="_Toc451263882"/>
      <w:bookmarkStart w:id="107" w:name="_Toc451264029"/>
      <w:bookmarkStart w:id="108" w:name="_Toc451264174"/>
      <w:bookmarkStart w:id="109" w:name="_Toc451264398"/>
      <w:bookmarkStart w:id="110" w:name="_Toc445992713"/>
      <w:bookmarkStart w:id="111" w:name="_Toc446076852"/>
      <w:bookmarkStart w:id="112" w:name="_Toc446319047"/>
      <w:bookmarkStart w:id="113" w:name="_Toc447183220"/>
      <w:bookmarkStart w:id="114" w:name="_Toc448391505"/>
      <w:bookmarkStart w:id="115" w:name="_Toc451249895"/>
      <w:bookmarkStart w:id="116" w:name="_Toc451258291"/>
      <w:bookmarkStart w:id="117" w:name="_Toc451263883"/>
      <w:bookmarkStart w:id="118" w:name="_Toc451264030"/>
      <w:bookmarkStart w:id="119" w:name="_Toc451264175"/>
      <w:bookmarkStart w:id="120" w:name="_Toc451264399"/>
      <w:bookmarkStart w:id="121" w:name="_Toc445992714"/>
      <w:bookmarkStart w:id="122" w:name="_Toc446076853"/>
      <w:bookmarkStart w:id="123" w:name="_Toc446319048"/>
      <w:bookmarkStart w:id="124" w:name="_Toc447183221"/>
      <w:bookmarkStart w:id="125" w:name="_Toc448391506"/>
      <w:bookmarkStart w:id="126" w:name="_Toc451249896"/>
      <w:bookmarkStart w:id="127" w:name="_Toc451258292"/>
      <w:bookmarkStart w:id="128" w:name="_Toc451263884"/>
      <w:bookmarkStart w:id="129" w:name="_Toc451264031"/>
      <w:bookmarkStart w:id="130" w:name="_Toc451264176"/>
      <w:bookmarkStart w:id="131" w:name="_Toc451264400"/>
      <w:bookmarkStart w:id="132" w:name="_Toc153714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570B8">
        <w:rPr>
          <w:sz w:val="32"/>
          <w:szCs w:val="18"/>
        </w:rPr>
        <w:lastRenderedPageBreak/>
        <w:t>Requirements</w:t>
      </w:r>
      <w:bookmarkEnd w:id="132"/>
    </w:p>
    <w:p w14:paraId="2288478C" w14:textId="3BD92300" w:rsidR="00222D59" w:rsidRDefault="00222D59" w:rsidP="00222D59">
      <w:pPr>
        <w:pStyle w:val="Heading2"/>
        <w:spacing w:before="0" w:after="120"/>
      </w:pPr>
      <w:r>
        <w:t>Performance elements</w:t>
      </w:r>
    </w:p>
    <w:p w14:paraId="40D8E36D" w14:textId="35481978" w:rsidR="000B7DBD" w:rsidRDefault="000B7DBD" w:rsidP="007E5F7D">
      <w:pPr>
        <w:pStyle w:val="DHHSbody"/>
        <w:rPr>
          <w:sz w:val="22"/>
          <w:szCs w:val="22"/>
        </w:rPr>
      </w:pPr>
      <w:r w:rsidRPr="00657353">
        <w:rPr>
          <w:sz w:val="22"/>
          <w:szCs w:val="22"/>
        </w:rPr>
        <w:t>The</w:t>
      </w:r>
      <w:r w:rsidR="00657353">
        <w:rPr>
          <w:sz w:val="22"/>
          <w:szCs w:val="22"/>
        </w:rPr>
        <w:t xml:space="preserve"> performance elements outlined in the</w:t>
      </w:r>
      <w:r w:rsidRPr="00657353">
        <w:rPr>
          <w:sz w:val="22"/>
          <w:szCs w:val="22"/>
        </w:rPr>
        <w:t xml:space="preserve"> </w:t>
      </w:r>
      <w:r w:rsidR="000570B8">
        <w:rPr>
          <w:sz w:val="22"/>
          <w:szCs w:val="22"/>
        </w:rPr>
        <w:t>performance framework</w:t>
      </w:r>
      <w:r w:rsidR="00657353">
        <w:t xml:space="preserve"> </w:t>
      </w:r>
      <w:r w:rsidR="00657353">
        <w:rPr>
          <w:sz w:val="22"/>
          <w:szCs w:val="22"/>
        </w:rPr>
        <w:t>equally ap</w:t>
      </w:r>
      <w:r w:rsidRPr="000B7DBD">
        <w:rPr>
          <w:sz w:val="22"/>
          <w:szCs w:val="22"/>
        </w:rPr>
        <w:t>p</w:t>
      </w:r>
      <w:r w:rsidR="00657353">
        <w:rPr>
          <w:sz w:val="22"/>
          <w:szCs w:val="22"/>
        </w:rPr>
        <w:t>ly</w:t>
      </w:r>
      <w:r w:rsidRPr="000B7DBD">
        <w:rPr>
          <w:sz w:val="22"/>
          <w:szCs w:val="22"/>
        </w:rPr>
        <w:t xml:space="preserve"> to all organisations funded to deliver IFS services</w:t>
      </w:r>
      <w:r w:rsidR="00AD11B7">
        <w:rPr>
          <w:sz w:val="22"/>
          <w:szCs w:val="22"/>
        </w:rPr>
        <w:t>. This</w:t>
      </w:r>
      <w:r w:rsidR="00657353">
        <w:rPr>
          <w:sz w:val="22"/>
          <w:szCs w:val="22"/>
        </w:rPr>
        <w:t xml:space="preserve"> allow</w:t>
      </w:r>
      <w:r w:rsidR="00AD11B7">
        <w:rPr>
          <w:sz w:val="22"/>
          <w:szCs w:val="22"/>
        </w:rPr>
        <w:t>s</w:t>
      </w:r>
      <w:r w:rsidR="00657353">
        <w:rPr>
          <w:sz w:val="22"/>
          <w:szCs w:val="22"/>
        </w:rPr>
        <w:t xml:space="preserve"> for a comprehensive and holistic assessment</w:t>
      </w:r>
      <w:r w:rsidR="00830DEE">
        <w:rPr>
          <w:sz w:val="22"/>
          <w:szCs w:val="22"/>
        </w:rPr>
        <w:t>, namely</w:t>
      </w:r>
      <w:r w:rsidR="00657353">
        <w:rPr>
          <w:sz w:val="22"/>
          <w:szCs w:val="22"/>
        </w:rPr>
        <w:t>:</w:t>
      </w:r>
    </w:p>
    <w:p w14:paraId="6E8626B3" w14:textId="77777777" w:rsidR="00657353" w:rsidRPr="00F1232F" w:rsidRDefault="00657353" w:rsidP="00657353">
      <w:pPr>
        <w:pStyle w:val="DHHSbullet1"/>
        <w:rPr>
          <w:sz w:val="22"/>
          <w:szCs w:val="22"/>
        </w:rPr>
      </w:pPr>
      <w:r w:rsidRPr="00F1232F">
        <w:rPr>
          <w:sz w:val="22"/>
          <w:szCs w:val="22"/>
        </w:rPr>
        <w:t>accreditation against relevant quality standards and frameworks</w:t>
      </w:r>
    </w:p>
    <w:p w14:paraId="2B8787C1" w14:textId="77777777" w:rsidR="00657353" w:rsidRPr="00F1232F" w:rsidRDefault="00657353" w:rsidP="00657353">
      <w:pPr>
        <w:pStyle w:val="DHHSbullet1"/>
        <w:rPr>
          <w:sz w:val="22"/>
          <w:szCs w:val="22"/>
        </w:rPr>
      </w:pPr>
      <w:r w:rsidRPr="00F1232F">
        <w:rPr>
          <w:sz w:val="22"/>
          <w:szCs w:val="22"/>
        </w:rPr>
        <w:t>general service agreement delivery</w:t>
      </w:r>
    </w:p>
    <w:p w14:paraId="096FD228" w14:textId="77777777" w:rsidR="00657353" w:rsidRPr="00F1232F" w:rsidRDefault="00657353" w:rsidP="00657353">
      <w:pPr>
        <w:pStyle w:val="DHHSbullet1"/>
        <w:rPr>
          <w:sz w:val="22"/>
          <w:szCs w:val="22"/>
        </w:rPr>
      </w:pPr>
      <w:r w:rsidRPr="00F1232F">
        <w:rPr>
          <w:sz w:val="22"/>
          <w:szCs w:val="22"/>
        </w:rPr>
        <w:t xml:space="preserve">delivery against contracted performance measures/outcome indicators </w:t>
      </w:r>
    </w:p>
    <w:p w14:paraId="21DDF03F" w14:textId="5FBEC843" w:rsidR="00657353" w:rsidRPr="00F1232F" w:rsidRDefault="00657353" w:rsidP="00657353">
      <w:pPr>
        <w:pStyle w:val="DHHSbullet1"/>
        <w:rPr>
          <w:sz w:val="22"/>
          <w:szCs w:val="22"/>
        </w:rPr>
      </w:pPr>
      <w:r w:rsidRPr="00F1232F">
        <w:rPr>
          <w:sz w:val="22"/>
          <w:szCs w:val="22"/>
        </w:rPr>
        <w:t>compliance with relevant regulatory, policy or procedural requirements</w:t>
      </w:r>
    </w:p>
    <w:p w14:paraId="5A565EB4" w14:textId="77D4E1E6" w:rsidR="00657353" w:rsidRPr="00F1232F" w:rsidRDefault="00657353" w:rsidP="00657353">
      <w:pPr>
        <w:pStyle w:val="DHHSbullet1"/>
        <w:rPr>
          <w:sz w:val="22"/>
          <w:szCs w:val="22"/>
        </w:rPr>
      </w:pPr>
      <w:r w:rsidRPr="00F1232F">
        <w:rPr>
          <w:sz w:val="22"/>
          <w:szCs w:val="22"/>
        </w:rPr>
        <w:t>financial management</w:t>
      </w:r>
    </w:p>
    <w:p w14:paraId="3E7BF39C" w14:textId="1A0ADC6B" w:rsidR="00657353" w:rsidRPr="00F1232F" w:rsidRDefault="00657353" w:rsidP="00657353">
      <w:pPr>
        <w:pStyle w:val="DHHSbullet1"/>
        <w:rPr>
          <w:sz w:val="22"/>
          <w:szCs w:val="22"/>
        </w:rPr>
      </w:pPr>
      <w:r w:rsidRPr="00F1232F">
        <w:rPr>
          <w:sz w:val="22"/>
          <w:szCs w:val="22"/>
        </w:rPr>
        <w:t>ongoing or emerging performance risks</w:t>
      </w:r>
    </w:p>
    <w:p w14:paraId="28A30668" w14:textId="77777777" w:rsidR="00657353" w:rsidRPr="000B7DBD" w:rsidRDefault="00657353" w:rsidP="007E5F7D">
      <w:pPr>
        <w:pStyle w:val="DHHSbody"/>
        <w:rPr>
          <w:sz w:val="22"/>
          <w:szCs w:val="22"/>
        </w:rPr>
      </w:pPr>
    </w:p>
    <w:p w14:paraId="6260008D" w14:textId="190869E9" w:rsidR="006F30B2" w:rsidRDefault="006F30B2" w:rsidP="006F30B2">
      <w:pPr>
        <w:pStyle w:val="Heading2"/>
        <w:spacing w:before="0" w:after="120"/>
      </w:pPr>
      <w:r>
        <w:t xml:space="preserve">Contract management support level </w:t>
      </w:r>
    </w:p>
    <w:p w14:paraId="485EE2F0" w14:textId="4E2EC9D5" w:rsidR="00432692" w:rsidRPr="00432692" w:rsidRDefault="006F30B2" w:rsidP="00565A9C">
      <w:pPr>
        <w:pStyle w:val="DHHSbody"/>
        <w:rPr>
          <w:sz w:val="22"/>
          <w:szCs w:val="22"/>
        </w:rPr>
      </w:pPr>
      <w:bookmarkStart w:id="133" w:name="_Toc451258310"/>
      <w:bookmarkStart w:id="134" w:name="_Toc451264418"/>
      <w:bookmarkStart w:id="135" w:name="_Toc452647054"/>
      <w:bookmarkStart w:id="136" w:name="_Toc457203799"/>
      <w:bookmarkStart w:id="137" w:name="_Toc457204865"/>
      <w:bookmarkStart w:id="138" w:name="_Toc457205960"/>
      <w:bookmarkStart w:id="139" w:name="_Toc457207825"/>
      <w:r w:rsidRPr="00432692">
        <w:rPr>
          <w:sz w:val="22"/>
          <w:szCs w:val="22"/>
        </w:rPr>
        <w:t xml:space="preserve">The department recognises that </w:t>
      </w:r>
      <w:r w:rsidR="00432692" w:rsidRPr="00432692">
        <w:rPr>
          <w:sz w:val="22"/>
          <w:szCs w:val="22"/>
        </w:rPr>
        <w:t>IFS</w:t>
      </w:r>
      <w:r w:rsidRPr="00432692">
        <w:rPr>
          <w:sz w:val="22"/>
          <w:szCs w:val="22"/>
        </w:rPr>
        <w:t xml:space="preserve"> </w:t>
      </w:r>
      <w:r w:rsidR="00AD11B7">
        <w:rPr>
          <w:sz w:val="22"/>
          <w:szCs w:val="22"/>
        </w:rPr>
        <w:t>providers</w:t>
      </w:r>
      <w:r w:rsidRPr="00432692">
        <w:rPr>
          <w:sz w:val="22"/>
          <w:szCs w:val="22"/>
        </w:rPr>
        <w:t xml:space="preserve"> </w:t>
      </w:r>
      <w:r w:rsidR="00EC4596">
        <w:rPr>
          <w:sz w:val="22"/>
          <w:szCs w:val="22"/>
        </w:rPr>
        <w:t xml:space="preserve">generally </w:t>
      </w:r>
      <w:r w:rsidRPr="00432692">
        <w:rPr>
          <w:sz w:val="22"/>
          <w:szCs w:val="22"/>
        </w:rPr>
        <w:t xml:space="preserve">carry </w:t>
      </w:r>
      <w:r w:rsidR="00432692" w:rsidRPr="00432692">
        <w:rPr>
          <w:sz w:val="22"/>
          <w:szCs w:val="22"/>
        </w:rPr>
        <w:t xml:space="preserve">a </w:t>
      </w:r>
      <w:r w:rsidR="008B7D9D">
        <w:rPr>
          <w:sz w:val="22"/>
          <w:szCs w:val="22"/>
        </w:rPr>
        <w:t xml:space="preserve">moderate </w:t>
      </w:r>
      <w:r w:rsidR="00432692" w:rsidRPr="00432692">
        <w:rPr>
          <w:sz w:val="22"/>
          <w:szCs w:val="22"/>
        </w:rPr>
        <w:t>level of</w:t>
      </w:r>
      <w:r w:rsidRPr="00432692">
        <w:rPr>
          <w:sz w:val="22"/>
          <w:szCs w:val="22"/>
        </w:rPr>
        <w:t xml:space="preserve"> risk</w:t>
      </w:r>
      <w:r w:rsidR="00432692" w:rsidRPr="00432692">
        <w:rPr>
          <w:sz w:val="22"/>
          <w:szCs w:val="22"/>
        </w:rPr>
        <w:t xml:space="preserve"> due to assumptions regarding:</w:t>
      </w:r>
    </w:p>
    <w:p w14:paraId="7D07C9A3" w14:textId="7401E14B" w:rsidR="00EC4596" w:rsidRPr="00F1232F" w:rsidRDefault="00432692" w:rsidP="00EC4596">
      <w:pPr>
        <w:pStyle w:val="DHHSbullet1"/>
        <w:rPr>
          <w:sz w:val="22"/>
          <w:szCs w:val="22"/>
        </w:rPr>
      </w:pPr>
      <w:r w:rsidRPr="00F1232F">
        <w:rPr>
          <w:sz w:val="22"/>
          <w:szCs w:val="22"/>
        </w:rPr>
        <w:t>vulnerability of clients using the service</w:t>
      </w:r>
    </w:p>
    <w:p w14:paraId="60DBEA73" w14:textId="041CB10E" w:rsidR="00432692" w:rsidRPr="00F1232F" w:rsidRDefault="00EC4596" w:rsidP="00EC4596">
      <w:pPr>
        <w:pStyle w:val="DHHSbullet1"/>
        <w:rPr>
          <w:sz w:val="22"/>
          <w:szCs w:val="22"/>
        </w:rPr>
      </w:pPr>
      <w:r w:rsidRPr="00F1232F">
        <w:rPr>
          <w:sz w:val="22"/>
          <w:szCs w:val="22"/>
        </w:rPr>
        <w:t>sensitivity of the issues being addressed</w:t>
      </w:r>
    </w:p>
    <w:p w14:paraId="6C65E581" w14:textId="2DB6B263" w:rsidR="00432692" w:rsidRPr="00F1232F" w:rsidRDefault="00432692" w:rsidP="00432692">
      <w:pPr>
        <w:pStyle w:val="DHHSbullet1"/>
        <w:rPr>
          <w:sz w:val="22"/>
          <w:szCs w:val="22"/>
        </w:rPr>
      </w:pPr>
      <w:r w:rsidRPr="00F1232F">
        <w:rPr>
          <w:sz w:val="22"/>
          <w:szCs w:val="22"/>
        </w:rPr>
        <w:t xml:space="preserve">higher </w:t>
      </w:r>
      <w:r w:rsidR="00EC4596" w:rsidRPr="00F1232F">
        <w:rPr>
          <w:sz w:val="22"/>
          <w:szCs w:val="22"/>
        </w:rPr>
        <w:t xml:space="preserve">than </w:t>
      </w:r>
      <w:r w:rsidRPr="00F1232F">
        <w:rPr>
          <w:sz w:val="22"/>
          <w:szCs w:val="22"/>
        </w:rPr>
        <w:t>average funding levels</w:t>
      </w:r>
    </w:p>
    <w:p w14:paraId="2D25F8F9" w14:textId="21D225E9" w:rsidR="00EC4596" w:rsidRDefault="00432692" w:rsidP="00EC4596">
      <w:pPr>
        <w:pStyle w:val="DHHSbody"/>
        <w:spacing w:before="120"/>
        <w:rPr>
          <w:sz w:val="22"/>
          <w:szCs w:val="22"/>
        </w:rPr>
      </w:pPr>
      <w:r w:rsidRPr="00432692">
        <w:rPr>
          <w:sz w:val="22"/>
          <w:szCs w:val="22"/>
        </w:rPr>
        <w:t>F</w:t>
      </w:r>
      <w:r w:rsidR="00EC4596">
        <w:rPr>
          <w:sz w:val="22"/>
          <w:szCs w:val="22"/>
        </w:rPr>
        <w:t xml:space="preserve">or this reason, a </w:t>
      </w:r>
      <w:r w:rsidR="00EC4596" w:rsidRPr="00EC4596">
        <w:rPr>
          <w:b/>
          <w:bCs/>
          <w:sz w:val="22"/>
          <w:szCs w:val="22"/>
        </w:rPr>
        <w:t>medium</w:t>
      </w:r>
      <w:r w:rsidR="00EC4596">
        <w:rPr>
          <w:sz w:val="22"/>
          <w:szCs w:val="22"/>
        </w:rPr>
        <w:t xml:space="preserve"> level of </w:t>
      </w:r>
      <w:r w:rsidR="00386A03">
        <w:rPr>
          <w:sz w:val="22"/>
          <w:szCs w:val="22"/>
        </w:rPr>
        <w:t xml:space="preserve">Service Contract Management (SCM) </w:t>
      </w:r>
      <w:r w:rsidR="00EC4596">
        <w:rPr>
          <w:sz w:val="22"/>
          <w:szCs w:val="22"/>
        </w:rPr>
        <w:t>support is the initial assessment point for IFS.</w:t>
      </w:r>
      <w:r w:rsidR="00386A03">
        <w:rPr>
          <w:rStyle w:val="FootnoteReference"/>
          <w:sz w:val="22"/>
          <w:szCs w:val="22"/>
        </w:rPr>
        <w:footnoteReference w:id="4"/>
      </w:r>
      <w:r w:rsidR="00EC4596">
        <w:rPr>
          <w:sz w:val="22"/>
          <w:szCs w:val="22"/>
        </w:rPr>
        <w:t xml:space="preserve"> The final determination will vary depending on:</w:t>
      </w:r>
    </w:p>
    <w:p w14:paraId="3E69F74A" w14:textId="20B73DE5" w:rsidR="00EC4596" w:rsidRPr="00F1232F" w:rsidRDefault="00EC4596" w:rsidP="00EC4596">
      <w:pPr>
        <w:pStyle w:val="DHHSbullet1"/>
        <w:rPr>
          <w:sz w:val="22"/>
          <w:szCs w:val="22"/>
        </w:rPr>
      </w:pPr>
      <w:r w:rsidRPr="00F1232F">
        <w:rPr>
          <w:sz w:val="22"/>
          <w:szCs w:val="22"/>
        </w:rPr>
        <w:t>each provider’s individual circumstances – effectiveness of internal governance arrangements, prior performance, and overall maturity</w:t>
      </w:r>
    </w:p>
    <w:p w14:paraId="0240A0A3" w14:textId="0BDCDABF" w:rsidR="00EC4596" w:rsidRPr="00F1232F" w:rsidRDefault="00EC4596" w:rsidP="00EC4596">
      <w:pPr>
        <w:pStyle w:val="DHHSbullet1"/>
        <w:rPr>
          <w:sz w:val="22"/>
          <w:szCs w:val="22"/>
        </w:rPr>
      </w:pPr>
      <w:r w:rsidRPr="00F1232F">
        <w:rPr>
          <w:sz w:val="22"/>
          <w:szCs w:val="22"/>
        </w:rPr>
        <w:t>changes over time in response to program level developments</w:t>
      </w:r>
    </w:p>
    <w:p w14:paraId="32C08444" w14:textId="5A295C49" w:rsidR="00EC4596" w:rsidRPr="00F1232F" w:rsidRDefault="00EC4596" w:rsidP="00EC4596">
      <w:pPr>
        <w:pStyle w:val="DHHSbullet1"/>
        <w:rPr>
          <w:sz w:val="22"/>
          <w:szCs w:val="22"/>
        </w:rPr>
      </w:pPr>
      <w:r w:rsidRPr="00F1232F">
        <w:rPr>
          <w:sz w:val="22"/>
          <w:szCs w:val="22"/>
        </w:rPr>
        <w:t>emerging risks and issues, and a provider’s performance track record</w:t>
      </w:r>
    </w:p>
    <w:p w14:paraId="683EB25A" w14:textId="072CF030" w:rsidR="00386A03" w:rsidRDefault="00386A03" w:rsidP="00386A03">
      <w:pPr>
        <w:pStyle w:val="DHHSbullet1"/>
        <w:numPr>
          <w:ilvl w:val="0"/>
          <w:numId w:val="0"/>
        </w:numPr>
        <w:spacing w:before="240"/>
        <w:rPr>
          <w:sz w:val="22"/>
          <w:szCs w:val="22"/>
        </w:rPr>
      </w:pPr>
      <w:r>
        <w:rPr>
          <w:sz w:val="22"/>
          <w:szCs w:val="22"/>
        </w:rPr>
        <w:t xml:space="preserve">This means SCM meetings will generally occur six-monthly, although providers with </w:t>
      </w:r>
      <w:r w:rsidR="00F05864">
        <w:rPr>
          <w:sz w:val="22"/>
          <w:szCs w:val="22"/>
        </w:rPr>
        <w:t>sustained performance at higher levels may have less frequent meetings and vice-versa.</w:t>
      </w:r>
      <w:r w:rsidR="00F05864">
        <w:rPr>
          <w:rStyle w:val="FootnoteReference"/>
          <w:sz w:val="22"/>
          <w:szCs w:val="22"/>
        </w:rPr>
        <w:footnoteReference w:id="5"/>
      </w:r>
    </w:p>
    <w:p w14:paraId="782B4E96" w14:textId="46982A65" w:rsidR="006F30B2" w:rsidRDefault="006F30B2" w:rsidP="006F30B2">
      <w:pPr>
        <w:pStyle w:val="Heading2"/>
      </w:pPr>
      <w:r>
        <w:t>Performance and outcome m</w:t>
      </w:r>
      <w:bookmarkEnd w:id="133"/>
      <w:bookmarkEnd w:id="134"/>
      <w:bookmarkEnd w:id="135"/>
      <w:bookmarkEnd w:id="136"/>
      <w:bookmarkEnd w:id="137"/>
      <w:bookmarkEnd w:id="138"/>
      <w:bookmarkEnd w:id="139"/>
      <w:r>
        <w:t>easures</w:t>
      </w:r>
    </w:p>
    <w:p w14:paraId="3FA60F72" w14:textId="02C08A69" w:rsidR="006F30B2" w:rsidRPr="00E973AF" w:rsidRDefault="006F30B2" w:rsidP="006F30B2">
      <w:pPr>
        <w:pStyle w:val="Heading3"/>
      </w:pPr>
      <w:r w:rsidRPr="000570B8">
        <w:rPr>
          <w:sz w:val="24"/>
          <w:szCs w:val="22"/>
        </w:rPr>
        <w:t>Performance measures</w:t>
      </w:r>
    </w:p>
    <w:p w14:paraId="60AB6360" w14:textId="38AD072D" w:rsidR="006F30B2" w:rsidRDefault="00485AAD" w:rsidP="00106424">
      <w:r>
        <w:t xml:space="preserve">To determine whether high-level objectives set out in service agreements are being delivered, </w:t>
      </w:r>
      <w:r w:rsidR="00B61238" w:rsidRPr="00B23D86">
        <w:t>IFS p</w:t>
      </w:r>
      <w:r w:rsidR="006F30B2" w:rsidRPr="00B23D86">
        <w:t xml:space="preserve">erformance </w:t>
      </w:r>
      <w:r w:rsidR="009A5858">
        <w:t xml:space="preserve">targets and thresholds </w:t>
      </w:r>
      <w:r w:rsidR="00B23D86">
        <w:t>ha</w:t>
      </w:r>
      <w:r w:rsidR="009A5858">
        <w:t>ve</w:t>
      </w:r>
      <w:r w:rsidR="00B23D86">
        <w:t xml:space="preserve"> </w:t>
      </w:r>
      <w:r>
        <w:t xml:space="preserve">traditionally relied upon </w:t>
      </w:r>
      <w:r w:rsidR="00B23D86">
        <w:t>an outputs-focused approach</w:t>
      </w:r>
      <w:r>
        <w:t xml:space="preserve">. </w:t>
      </w:r>
      <w:r w:rsidR="00CA02B0">
        <w:t>To date, p</w:t>
      </w:r>
      <w:r>
        <w:t xml:space="preserve">rimary deliverables </w:t>
      </w:r>
      <w:r w:rsidR="009E09E7">
        <w:t xml:space="preserve">have </w:t>
      </w:r>
      <w:r>
        <w:t>include</w:t>
      </w:r>
      <w:r w:rsidR="009E09E7">
        <w:t>d</w:t>
      </w:r>
      <w:r>
        <w:t xml:space="preserve"> a specified quantity of both </w:t>
      </w:r>
      <w:r w:rsidR="00B23D86">
        <w:t xml:space="preserve">case management hours and the number of service users (families) </w:t>
      </w:r>
      <w:r w:rsidR="008B7D9D">
        <w:t xml:space="preserve">receiving </w:t>
      </w:r>
      <w:r w:rsidR="009A5858">
        <w:t>support on a per annum basis</w:t>
      </w:r>
      <w:r>
        <w:t>.</w:t>
      </w:r>
      <w:r>
        <w:rPr>
          <w:rStyle w:val="FootnoteReference"/>
        </w:rPr>
        <w:footnoteReference w:id="6"/>
      </w:r>
      <w:r w:rsidR="009779F4">
        <w:t xml:space="preserve"> </w:t>
      </w:r>
      <w:r w:rsidR="00935DBA">
        <w:t>Detailed ARC performance reports also provide additional data to make an informed assessment.</w:t>
      </w:r>
    </w:p>
    <w:p w14:paraId="002DF7E1" w14:textId="77777777" w:rsidR="008D4334" w:rsidRDefault="006B2A10" w:rsidP="00106424">
      <w:r>
        <w:t xml:space="preserve">From 1 July 2022, the primary deliverable </w:t>
      </w:r>
      <w:r w:rsidR="00EC71FF">
        <w:t xml:space="preserve">for IFS contracts </w:t>
      </w:r>
      <w:r>
        <w:t xml:space="preserve">will be an outcome measure – </w:t>
      </w:r>
    </w:p>
    <w:p w14:paraId="17C6C2E9" w14:textId="7B4C097A" w:rsidR="008D4334" w:rsidRPr="008D4334" w:rsidRDefault="00EC71FF" w:rsidP="008D4334">
      <w:pPr>
        <w:pStyle w:val="ListParagraph"/>
        <w:numPr>
          <w:ilvl w:val="0"/>
          <w:numId w:val="41"/>
        </w:numPr>
        <w:rPr>
          <w:i/>
          <w:iCs/>
        </w:rPr>
      </w:pPr>
      <w:r w:rsidRPr="00564F46">
        <w:t xml:space="preserve">OM4.1.01: </w:t>
      </w:r>
      <w:r w:rsidR="006B2A10" w:rsidRPr="00564F46">
        <w:t>Number of Service Users with cases closed with all or majority of case plan goals achieved.</w:t>
      </w:r>
    </w:p>
    <w:p w14:paraId="51C7C104" w14:textId="680A6D6D" w:rsidR="006B2A10" w:rsidRDefault="006B2A10" w:rsidP="00106424">
      <w:r w:rsidRPr="00940485">
        <w:lastRenderedPageBreak/>
        <w:t xml:space="preserve">This outcome measure is </w:t>
      </w:r>
      <w:r w:rsidR="0094262B" w:rsidRPr="00940485">
        <w:t>expressed</w:t>
      </w:r>
      <w:r w:rsidRPr="00940485">
        <w:t xml:space="preserve"> as a proportion</w:t>
      </w:r>
      <w:r w:rsidR="0094262B" w:rsidRPr="00940485">
        <w:t xml:space="preserve"> of the number of families who can be </w:t>
      </w:r>
      <w:r w:rsidR="0094262B" w:rsidRPr="00940485">
        <w:rPr>
          <w:i/>
          <w:iCs/>
        </w:rPr>
        <w:t>potentially</w:t>
      </w:r>
      <w:r w:rsidR="0094262B" w:rsidRPr="00940485">
        <w:t xml:space="preserve"> supported.</w:t>
      </w:r>
      <w:r w:rsidR="0094262B" w:rsidRPr="00940485">
        <w:rPr>
          <w:rStyle w:val="FootnoteReference"/>
        </w:rPr>
        <w:footnoteReference w:id="7"/>
      </w:r>
      <w:r w:rsidR="0094262B" w:rsidRPr="00940485">
        <w:t xml:space="preserve"> </w:t>
      </w:r>
      <w:r w:rsidR="00940485">
        <w:t>The number of potentially supported families will form the basis of a new target in the contracts.  D</w:t>
      </w:r>
      <w:r w:rsidR="003C4931" w:rsidRPr="00940485">
        <w:t>ownstream targets for consenting in-scope referrals and all/majority case plan goals achieved are set as a percentage of th</w:t>
      </w:r>
      <w:r w:rsidR="00107F1A">
        <w:t>is</w:t>
      </w:r>
      <w:r w:rsidR="003C4931" w:rsidRPr="00940485">
        <w:t xml:space="preserve"> new </w:t>
      </w:r>
      <w:r w:rsidR="00107F1A">
        <w:t>target</w:t>
      </w:r>
      <w:r w:rsidR="009C6062" w:rsidRPr="00940485">
        <w:t>.</w:t>
      </w:r>
      <w:r w:rsidR="009C6062">
        <w:t xml:space="preserve"> </w:t>
      </w:r>
    </w:p>
    <w:p w14:paraId="01A0BB03" w14:textId="14B4D3CE" w:rsidR="00107F1A" w:rsidRPr="0094262B" w:rsidRDefault="00107F1A" w:rsidP="00106424">
      <w:r>
        <w:t>The new IFS contracts will be structured around the following three targets:</w:t>
      </w:r>
    </w:p>
    <w:p w14:paraId="5480F5A3" w14:textId="5B9D0725" w:rsidR="003C4931" w:rsidRPr="000768C3" w:rsidRDefault="00BA5865" w:rsidP="0020295A">
      <w:pPr>
        <w:pStyle w:val="DHHSbullet1"/>
        <w:spacing w:before="240"/>
        <w:rPr>
          <w:sz w:val="22"/>
          <w:szCs w:val="22"/>
        </w:rPr>
      </w:pPr>
      <w:r w:rsidRPr="000768C3">
        <w:rPr>
          <w:sz w:val="22"/>
          <w:szCs w:val="22"/>
        </w:rPr>
        <w:t>T</w:t>
      </w:r>
      <w:r w:rsidR="003C4931" w:rsidRPr="000768C3">
        <w:rPr>
          <w:sz w:val="22"/>
          <w:szCs w:val="22"/>
        </w:rPr>
        <w:t xml:space="preserve">he new target number of families measure – </w:t>
      </w:r>
      <w:r w:rsidR="003C4931" w:rsidRPr="000768C3">
        <w:rPr>
          <w:i/>
          <w:iCs/>
          <w:sz w:val="22"/>
          <w:szCs w:val="22"/>
        </w:rPr>
        <w:t xml:space="preserve">potential </w:t>
      </w:r>
      <w:r w:rsidR="003C4931" w:rsidRPr="000768C3">
        <w:rPr>
          <w:sz w:val="22"/>
          <w:szCs w:val="22"/>
        </w:rPr>
        <w:t xml:space="preserve">support cases – represents </w:t>
      </w:r>
      <w:r w:rsidR="003C4931" w:rsidRPr="000768C3">
        <w:rPr>
          <w:b/>
          <w:bCs/>
          <w:sz w:val="22"/>
          <w:szCs w:val="22"/>
        </w:rPr>
        <w:t>61-62%</w:t>
      </w:r>
      <w:r w:rsidR="003C4931" w:rsidRPr="000768C3">
        <w:rPr>
          <w:sz w:val="22"/>
          <w:szCs w:val="22"/>
        </w:rPr>
        <w:t xml:space="preserve"> of the total number of closed referrals</w:t>
      </w:r>
      <w:r w:rsidR="00EC197D" w:rsidRPr="000768C3">
        <w:rPr>
          <w:sz w:val="22"/>
          <w:szCs w:val="22"/>
        </w:rPr>
        <w:t xml:space="preserve"> (IS145)</w:t>
      </w:r>
      <w:r w:rsidR="00791638" w:rsidRPr="000768C3">
        <w:rPr>
          <w:sz w:val="22"/>
          <w:szCs w:val="22"/>
        </w:rPr>
        <w:t xml:space="preserve"> on average and is captured as a throughput measure</w:t>
      </w:r>
      <w:r w:rsidRPr="000768C3">
        <w:rPr>
          <w:sz w:val="22"/>
          <w:szCs w:val="22"/>
        </w:rPr>
        <w:t>:</w:t>
      </w:r>
    </w:p>
    <w:p w14:paraId="3C3EFF60" w14:textId="2BF86DC0" w:rsidR="00791638" w:rsidRPr="00DB58D4" w:rsidRDefault="00791638" w:rsidP="00791638">
      <w:pPr>
        <w:pStyle w:val="DHHSbullet2"/>
      </w:pPr>
      <w:r w:rsidRPr="00DB58D4">
        <w:t>IS245: Number of in-scope Service Users eligible to receive a service who have exited from the service</w:t>
      </w:r>
    </w:p>
    <w:p w14:paraId="03B7636B" w14:textId="1812931D" w:rsidR="003C4931" w:rsidRPr="000768C3" w:rsidRDefault="00BA5865" w:rsidP="003C4931">
      <w:pPr>
        <w:pStyle w:val="DHHSbullet1"/>
        <w:rPr>
          <w:sz w:val="22"/>
          <w:szCs w:val="22"/>
        </w:rPr>
      </w:pPr>
      <w:r w:rsidRPr="000768C3">
        <w:rPr>
          <w:sz w:val="22"/>
          <w:szCs w:val="22"/>
        </w:rPr>
        <w:t>T</w:t>
      </w:r>
      <w:r w:rsidR="00791638" w:rsidRPr="000768C3">
        <w:rPr>
          <w:sz w:val="22"/>
          <w:szCs w:val="22"/>
        </w:rPr>
        <w:t xml:space="preserve">he new target of </w:t>
      </w:r>
      <w:r w:rsidR="003C4931" w:rsidRPr="000768C3">
        <w:rPr>
          <w:sz w:val="22"/>
          <w:szCs w:val="22"/>
        </w:rPr>
        <w:t>consenting in-scope referrals</w:t>
      </w:r>
      <w:r w:rsidR="00791638" w:rsidRPr="000768C3">
        <w:rPr>
          <w:sz w:val="22"/>
          <w:szCs w:val="22"/>
        </w:rPr>
        <w:t xml:space="preserve"> – families that have </w:t>
      </w:r>
      <w:r w:rsidR="00791638" w:rsidRPr="00FC3856">
        <w:rPr>
          <w:i/>
          <w:iCs/>
          <w:sz w:val="22"/>
          <w:szCs w:val="22"/>
        </w:rPr>
        <w:t>engaged</w:t>
      </w:r>
      <w:r w:rsidR="00791638" w:rsidRPr="000768C3">
        <w:rPr>
          <w:sz w:val="22"/>
          <w:szCs w:val="22"/>
        </w:rPr>
        <w:t xml:space="preserve"> – is set at </w:t>
      </w:r>
      <w:r w:rsidR="00791638" w:rsidRPr="000768C3">
        <w:rPr>
          <w:b/>
          <w:bCs/>
          <w:sz w:val="22"/>
          <w:szCs w:val="22"/>
        </w:rPr>
        <w:t xml:space="preserve">75% </w:t>
      </w:r>
      <w:r w:rsidR="00791638" w:rsidRPr="000768C3">
        <w:rPr>
          <w:sz w:val="22"/>
          <w:szCs w:val="22"/>
        </w:rPr>
        <w:t>of the total number of potential support cases and is captured as a throughput measure</w:t>
      </w:r>
      <w:r w:rsidRPr="000768C3">
        <w:rPr>
          <w:sz w:val="22"/>
          <w:szCs w:val="22"/>
        </w:rPr>
        <w:t>:</w:t>
      </w:r>
    </w:p>
    <w:p w14:paraId="3D7EF086" w14:textId="22295BB0" w:rsidR="00791638" w:rsidRPr="00DB58D4" w:rsidRDefault="00791638" w:rsidP="00791638">
      <w:pPr>
        <w:pStyle w:val="DHHSbullet2"/>
      </w:pPr>
      <w:r w:rsidRPr="00DB58D4">
        <w:t>IS134: Number of Service Users engaged</w:t>
      </w:r>
    </w:p>
    <w:p w14:paraId="27AF2AE2" w14:textId="1C6D69AB" w:rsidR="00791638" w:rsidRPr="000768C3" w:rsidRDefault="00BA5865" w:rsidP="00791638">
      <w:pPr>
        <w:pStyle w:val="DHHSbullet1"/>
        <w:rPr>
          <w:sz w:val="22"/>
          <w:szCs w:val="22"/>
        </w:rPr>
      </w:pPr>
      <w:r w:rsidRPr="000768C3">
        <w:rPr>
          <w:sz w:val="22"/>
          <w:szCs w:val="22"/>
        </w:rPr>
        <w:t>T</w:t>
      </w:r>
      <w:r w:rsidR="00A53852" w:rsidRPr="000768C3">
        <w:rPr>
          <w:sz w:val="22"/>
          <w:szCs w:val="22"/>
        </w:rPr>
        <w:t xml:space="preserve">he new outcome deliverable – families with all/majority of their case plan goals achieved – is set at </w:t>
      </w:r>
      <w:r w:rsidR="00A53852" w:rsidRPr="000768C3">
        <w:rPr>
          <w:b/>
          <w:bCs/>
          <w:sz w:val="22"/>
          <w:szCs w:val="22"/>
        </w:rPr>
        <w:t>40%</w:t>
      </w:r>
      <w:r w:rsidR="00A53852" w:rsidRPr="000768C3">
        <w:rPr>
          <w:sz w:val="22"/>
          <w:szCs w:val="22"/>
        </w:rPr>
        <w:t xml:space="preserve"> of the target number of families measure (rather than as a percentage of consenting cases)</w:t>
      </w:r>
      <w:r w:rsidRPr="000768C3">
        <w:rPr>
          <w:sz w:val="22"/>
          <w:szCs w:val="22"/>
        </w:rPr>
        <w:t>:</w:t>
      </w:r>
      <w:r w:rsidR="00A53852" w:rsidRPr="000768C3">
        <w:rPr>
          <w:rStyle w:val="FootnoteReference"/>
          <w:sz w:val="22"/>
          <w:szCs w:val="22"/>
        </w:rPr>
        <w:footnoteReference w:id="8"/>
      </w:r>
    </w:p>
    <w:p w14:paraId="5B12803D" w14:textId="1620D77A" w:rsidR="009F2F67" w:rsidRPr="00DB58D4" w:rsidRDefault="009F2F67" w:rsidP="009F2F67">
      <w:pPr>
        <w:pStyle w:val="DHHSbullet2"/>
      </w:pPr>
      <w:r w:rsidRPr="00DB58D4">
        <w:t>OM4.1.01</w:t>
      </w:r>
      <w:r w:rsidR="0020295A" w:rsidRPr="00DB58D4">
        <w:t>: Number of Service Users with cases closed with all or majority of case plan goals achieved</w:t>
      </w:r>
    </w:p>
    <w:p w14:paraId="45731DD7" w14:textId="566B3FCC" w:rsidR="003561E3" w:rsidRPr="00DB58D4" w:rsidRDefault="003561E3" w:rsidP="009F2F67">
      <w:pPr>
        <w:pStyle w:val="DHHSbullet2"/>
      </w:pPr>
      <w:r w:rsidRPr="00DB58D4">
        <w:t>the associated unit price is the per annum funding divided by the target quantity</w:t>
      </w:r>
    </w:p>
    <w:p w14:paraId="04F71441" w14:textId="6AD1AF83" w:rsidR="003561E3" w:rsidRPr="00DB58D4" w:rsidRDefault="003561E3" w:rsidP="009F2F67">
      <w:pPr>
        <w:pStyle w:val="DHHSbullet2"/>
      </w:pPr>
      <w:r w:rsidRPr="00DB58D4">
        <w:t>this replaces the existing A01.2.02 Case management deliverables (specified hours and number of service users</w:t>
      </w:r>
      <w:r w:rsidR="00FC3856">
        <w:t xml:space="preserve"> p</w:t>
      </w:r>
      <w:r w:rsidR="001C3937">
        <w:t>er annum</w:t>
      </w:r>
      <w:r w:rsidRPr="00DB58D4">
        <w:t>)</w:t>
      </w:r>
    </w:p>
    <w:p w14:paraId="2A104759" w14:textId="7430CB5F" w:rsidR="006F30B2" w:rsidRDefault="006F30B2" w:rsidP="003561E3">
      <w:pPr>
        <w:spacing w:before="240" w:after="240"/>
      </w:pPr>
      <w:r>
        <w:t>For each measure</w:t>
      </w:r>
      <w:r w:rsidR="00576698">
        <w:t xml:space="preserve"> above</w:t>
      </w:r>
      <w:r>
        <w:t xml:space="preserve">, performance is assessed to identify whether the provider is meeting the </w:t>
      </w:r>
      <w:r w:rsidR="00576698">
        <w:t xml:space="preserve">stated </w:t>
      </w:r>
      <w:r>
        <w:t>target</w:t>
      </w:r>
      <w:r w:rsidR="00576698">
        <w:t>s</w:t>
      </w:r>
      <w:r>
        <w:t xml:space="preserve"> and a rating is allocated using the performance thresholds set out in </w:t>
      </w:r>
      <w:r w:rsidR="004E1F82">
        <w:t xml:space="preserve">Figure 3 </w:t>
      </w:r>
      <w:r w:rsidR="00FA7F0B">
        <w:t>of the performance framework</w:t>
      </w:r>
      <w:r>
        <w:t>.</w:t>
      </w:r>
      <w:r w:rsidR="00FA7F0B">
        <w:rPr>
          <w:rStyle w:val="FootnoteReference"/>
        </w:rPr>
        <w:footnoteReference w:id="9"/>
      </w:r>
    </w:p>
    <w:p w14:paraId="25A3E2BD" w14:textId="6FA5CCB3" w:rsidR="00186D2A" w:rsidRDefault="00FA7F0B" w:rsidP="00F1232F">
      <w:r>
        <w:t xml:space="preserve">Application of the </w:t>
      </w:r>
      <w:r w:rsidR="00576698">
        <w:t xml:space="preserve">performance framework </w:t>
      </w:r>
      <w:r>
        <w:t xml:space="preserve">to IFS services </w:t>
      </w:r>
      <w:r w:rsidR="00576698">
        <w:t xml:space="preserve">is summarised in Figure </w:t>
      </w:r>
      <w:r>
        <w:t>1</w:t>
      </w:r>
      <w:r w:rsidR="00576698">
        <w:t xml:space="preserve"> below with example service user figures.</w:t>
      </w:r>
    </w:p>
    <w:p w14:paraId="32DA8433" w14:textId="77777777" w:rsidR="00EC197D" w:rsidRDefault="00EC197D" w:rsidP="00BD1E21">
      <w:pPr>
        <w:sectPr w:rsidR="00EC197D" w:rsidSect="000A1003">
          <w:headerReference w:type="default" r:id="rId11"/>
          <w:footerReference w:type="default" r:id="rId12"/>
          <w:headerReference w:type="first" r:id="rId13"/>
          <w:pgSz w:w="11900" w:h="16840"/>
          <w:pgMar w:top="1440" w:right="1440" w:bottom="1440" w:left="1440" w:header="567" w:footer="851" w:gutter="0"/>
          <w:cols w:space="708"/>
          <w:titlePg/>
          <w:docGrid w:linePitch="360"/>
        </w:sectPr>
      </w:pPr>
    </w:p>
    <w:p w14:paraId="393232BA" w14:textId="0161082D" w:rsidR="00EC197D" w:rsidRDefault="00EC197D">
      <w:pPr>
        <w:spacing w:before="0" w:after="0"/>
      </w:pPr>
    </w:p>
    <w:p w14:paraId="0615053F" w14:textId="0BF52AC0" w:rsidR="00EC197D" w:rsidRDefault="00EC197D">
      <w:pPr>
        <w:spacing w:before="0" w:after="0"/>
      </w:pPr>
    </w:p>
    <w:p w14:paraId="5775BE99" w14:textId="0D37C157" w:rsidR="005F3939" w:rsidRPr="00FC3856" w:rsidRDefault="005F3939">
      <w:pPr>
        <w:spacing w:before="0" w:after="0"/>
        <w:rPr>
          <w:b/>
          <w:bCs/>
          <w:szCs w:val="22"/>
        </w:rPr>
      </w:pPr>
      <w:r w:rsidRPr="00FC3856">
        <w:rPr>
          <w:b/>
          <w:bCs/>
          <w:szCs w:val="22"/>
        </w:rPr>
        <w:t xml:space="preserve">Figure </w:t>
      </w:r>
      <w:r w:rsidR="00FA7F0B">
        <w:rPr>
          <w:b/>
          <w:bCs/>
          <w:szCs w:val="22"/>
        </w:rPr>
        <w:t>1</w:t>
      </w:r>
      <w:r w:rsidRPr="00FC3856">
        <w:rPr>
          <w:b/>
          <w:bCs/>
          <w:szCs w:val="22"/>
        </w:rPr>
        <w:t>: IFS performance framework overview</w:t>
      </w:r>
    </w:p>
    <w:p w14:paraId="10353B9B" w14:textId="77777777" w:rsidR="00B549E0" w:rsidRPr="005F3939" w:rsidRDefault="00B549E0">
      <w:pPr>
        <w:spacing w:before="0" w:after="0"/>
        <w:rPr>
          <w:b/>
          <w:bCs/>
        </w:rPr>
      </w:pPr>
    </w:p>
    <w:p w14:paraId="3FA779DE" w14:textId="0CF6F71A" w:rsidR="00EC197D" w:rsidRDefault="003518E7">
      <w:pPr>
        <w:spacing w:before="0" w:after="0"/>
      </w:pPr>
      <w:r>
        <w:rPr>
          <w:noProof/>
        </w:rPr>
        <w:drawing>
          <wp:inline distT="0" distB="0" distL="0" distR="0" wp14:anchorId="79725CFC" wp14:editId="1C59EAAB">
            <wp:extent cx="9067800" cy="4773930"/>
            <wp:effectExtent l="19050" t="19050" r="19050" b="266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67800" cy="4773930"/>
                    </a:xfrm>
                    <a:prstGeom prst="rect">
                      <a:avLst/>
                    </a:prstGeom>
                    <a:ln w="9525">
                      <a:solidFill>
                        <a:schemeClr val="tx1"/>
                      </a:solidFill>
                    </a:ln>
                  </pic:spPr>
                </pic:pic>
              </a:graphicData>
            </a:graphic>
          </wp:inline>
        </w:drawing>
      </w:r>
    </w:p>
    <w:p w14:paraId="1FE26A3E" w14:textId="3AC71A39" w:rsidR="00EC197D" w:rsidRDefault="006F30B2" w:rsidP="00BD1E21">
      <w:pPr>
        <w:sectPr w:rsidR="00EC197D" w:rsidSect="005B60AD">
          <w:headerReference w:type="first" r:id="rId15"/>
          <w:footerReference w:type="first" r:id="rId16"/>
          <w:pgSz w:w="16840" w:h="11900" w:orient="landscape" w:code="9"/>
          <w:pgMar w:top="1440" w:right="1440" w:bottom="1440" w:left="1440" w:header="567" w:footer="851" w:gutter="0"/>
          <w:cols w:space="708"/>
          <w:titlePg/>
          <w:docGrid w:linePitch="360"/>
        </w:sectPr>
      </w:pPr>
      <w:bookmarkStart w:id="140" w:name="_Toc451258311"/>
      <w:bookmarkStart w:id="141" w:name="_Toc451264419"/>
      <w:bookmarkStart w:id="142" w:name="_Toc452647055"/>
      <w:bookmarkStart w:id="143" w:name="_Toc457203800"/>
      <w:bookmarkStart w:id="144" w:name="_Toc457204866"/>
      <w:bookmarkStart w:id="145" w:name="_Toc457205961"/>
      <w:bookmarkStart w:id="146" w:name="_Toc457207826"/>
      <w:r>
        <w:t xml:space="preserve"> </w:t>
      </w:r>
    </w:p>
    <w:p w14:paraId="04861AD7" w14:textId="4DD92EBA" w:rsidR="006F30B2" w:rsidRDefault="006F30B2" w:rsidP="00BD1E21"/>
    <w:p w14:paraId="66D14E21" w14:textId="4A86C8DD" w:rsidR="004E6E76" w:rsidRDefault="00CA02B0" w:rsidP="00077A97">
      <w:r>
        <w:t xml:space="preserve">IFS </w:t>
      </w:r>
      <w:r w:rsidR="00077A97">
        <w:t xml:space="preserve">performance data will </w:t>
      </w:r>
      <w:r>
        <w:t xml:space="preserve">continue to </w:t>
      </w:r>
      <w:r w:rsidR="00077A97">
        <w:t xml:space="preserve">be collated for the </w:t>
      </w:r>
      <w:r w:rsidR="001C3937">
        <w:t xml:space="preserve">entire </w:t>
      </w:r>
      <w:r w:rsidR="00107F1A">
        <w:t xml:space="preserve">client </w:t>
      </w:r>
      <w:r w:rsidR="00077A97">
        <w:t xml:space="preserve">group, and for </w:t>
      </w:r>
      <w:r w:rsidR="009C6062">
        <w:t>First Nations peoples</w:t>
      </w:r>
      <w:r w:rsidR="00077A97">
        <w:t xml:space="preserve">. </w:t>
      </w:r>
      <w:bookmarkStart w:id="147" w:name="_Hlk77838563"/>
      <w:r w:rsidR="00D34887">
        <w:t>P</w:t>
      </w:r>
      <w:r w:rsidR="00077A97">
        <w:t xml:space="preserve">erformance against targets </w:t>
      </w:r>
      <w:r w:rsidR="00D34887">
        <w:t xml:space="preserve">for IFS services </w:t>
      </w:r>
      <w:r w:rsidR="00077A97">
        <w:t xml:space="preserve">can fluctuate significantly across reporting periods, particularly where client numbers are relatively small. </w:t>
      </w:r>
      <w:r w:rsidR="008B7D9D">
        <w:t xml:space="preserve">As confirmed by </w:t>
      </w:r>
      <w:r w:rsidR="004E6E76">
        <w:t>IFS evaluations</w:t>
      </w:r>
      <w:r w:rsidR="008B7D9D">
        <w:t>,</w:t>
      </w:r>
      <w:r w:rsidR="004E6E76">
        <w:t xml:space="preserve"> </w:t>
      </w:r>
      <w:r w:rsidR="00D34887">
        <w:t>family support cases have a long duration</w:t>
      </w:r>
      <w:r w:rsidR="00041D98">
        <w:t xml:space="preserve"> on average</w:t>
      </w:r>
      <w:r w:rsidR="004E6E76">
        <w:t xml:space="preserve">: </w:t>
      </w:r>
    </w:p>
    <w:p w14:paraId="090DDAAE" w14:textId="5E67D597" w:rsidR="004E6E76" w:rsidRPr="00F1232F" w:rsidRDefault="004E6E76" w:rsidP="00E71F12">
      <w:pPr>
        <w:pStyle w:val="ListParagraph"/>
        <w:numPr>
          <w:ilvl w:val="0"/>
          <w:numId w:val="8"/>
        </w:numPr>
        <w:spacing w:before="0" w:after="40" w:line="270" w:lineRule="atLeast"/>
        <w:ind w:left="357" w:hanging="357"/>
      </w:pPr>
      <w:r w:rsidRPr="00F1232F">
        <w:t>family interventions last a minimum of 6</w:t>
      </w:r>
      <w:r w:rsidR="00D83A68">
        <w:t xml:space="preserve"> </w:t>
      </w:r>
      <w:r w:rsidRPr="00F1232F">
        <w:t>-</w:t>
      </w:r>
      <w:r w:rsidR="00D83A68">
        <w:t xml:space="preserve"> </w:t>
      </w:r>
      <w:r w:rsidRPr="00F1232F">
        <w:t>9 months</w:t>
      </w:r>
    </w:p>
    <w:p w14:paraId="0BDCD5DD" w14:textId="72045E42" w:rsidR="004E6E76" w:rsidRPr="00F1232F" w:rsidRDefault="004E6E76" w:rsidP="00E71F12">
      <w:pPr>
        <w:pStyle w:val="ListParagraph"/>
        <w:numPr>
          <w:ilvl w:val="0"/>
          <w:numId w:val="8"/>
        </w:numPr>
        <w:spacing w:before="0" w:after="40" w:line="270" w:lineRule="atLeast"/>
        <w:ind w:left="357" w:hanging="357"/>
      </w:pPr>
      <w:r w:rsidRPr="00F1232F">
        <w:t>a majority of interventions last between 7</w:t>
      </w:r>
      <w:r w:rsidR="00D83A68">
        <w:t xml:space="preserve"> </w:t>
      </w:r>
      <w:r w:rsidRPr="00F1232F">
        <w:t>-</w:t>
      </w:r>
      <w:r w:rsidR="00D83A68">
        <w:t xml:space="preserve"> </w:t>
      </w:r>
      <w:r w:rsidRPr="00F1232F">
        <w:t>12 months</w:t>
      </w:r>
    </w:p>
    <w:p w14:paraId="01C17C3B" w14:textId="53DA7E11" w:rsidR="004E6E76" w:rsidRPr="00F1232F" w:rsidRDefault="004E6E76" w:rsidP="00E71F12">
      <w:pPr>
        <w:pStyle w:val="ListParagraph"/>
        <w:numPr>
          <w:ilvl w:val="0"/>
          <w:numId w:val="8"/>
        </w:numPr>
        <w:spacing w:before="0" w:after="40" w:line="270" w:lineRule="atLeast"/>
        <w:ind w:left="357" w:hanging="357"/>
      </w:pPr>
      <w:r w:rsidRPr="00F1232F">
        <w:t>15</w:t>
      </w:r>
      <w:r w:rsidR="001C3937">
        <w:t xml:space="preserve"> per cent</w:t>
      </w:r>
      <w:r w:rsidRPr="00F1232F">
        <w:t xml:space="preserve"> of interventions last longer than 12 months</w:t>
      </w:r>
    </w:p>
    <w:p w14:paraId="094F6B63" w14:textId="787F2171" w:rsidR="00077A97" w:rsidRDefault="00077A97" w:rsidP="00077A97">
      <w:r>
        <w:t xml:space="preserve">Contract managers should </w:t>
      </w:r>
      <w:r w:rsidR="004E6E76">
        <w:t xml:space="preserve">therefore </w:t>
      </w:r>
      <w:r>
        <w:t xml:space="preserve">consider </w:t>
      </w:r>
      <w:r w:rsidR="004E6E76">
        <w:t xml:space="preserve">IFS </w:t>
      </w:r>
      <w:r>
        <w:t xml:space="preserve">performance against targets across </w:t>
      </w:r>
      <w:r w:rsidR="007569BE">
        <w:t>a period of 12 months</w:t>
      </w:r>
      <w:r>
        <w:t xml:space="preserve">, rather than reacting </w:t>
      </w:r>
      <w:r w:rsidRPr="00BD1E21">
        <w:t>to a change in performance evident within a single period.</w:t>
      </w:r>
      <w:r w:rsidR="004E6E76">
        <w:t xml:space="preserve"> </w:t>
      </w:r>
      <w:r w:rsidRPr="00BD1E21">
        <w:t>A</w:t>
      </w:r>
      <w:r>
        <w:t xml:space="preserve"> decline in performance in a single reporting period may trigger a watching brief to assess whether the change is sustained.</w:t>
      </w:r>
    </w:p>
    <w:bookmarkEnd w:id="147"/>
    <w:p w14:paraId="67C87420" w14:textId="002329FF" w:rsidR="00564F46" w:rsidRDefault="000826C7" w:rsidP="000826C7">
      <w:r>
        <w:t xml:space="preserve">Underperformance should trigger an </w:t>
      </w:r>
      <w:r w:rsidRPr="00495423">
        <w:t>analysis of the cause</w:t>
      </w:r>
      <w:r>
        <w:t xml:space="preserve">, scale and time period, </w:t>
      </w:r>
      <w:r w:rsidRPr="00495423">
        <w:t xml:space="preserve">and </w:t>
      </w:r>
      <w:r>
        <w:t>if</w:t>
      </w:r>
      <w:r w:rsidRPr="00495423">
        <w:t xml:space="preserve"> intervention </w:t>
      </w:r>
      <w:r>
        <w:t>should be considered</w:t>
      </w:r>
      <w:r w:rsidRPr="00495423">
        <w:t>.</w:t>
      </w:r>
      <w:r>
        <w:t xml:space="preserve"> The level of performance concern is determined by </w:t>
      </w:r>
      <w:bookmarkStart w:id="148" w:name="_Hlk77849773"/>
      <w:r>
        <w:t>the particular indicator, the seriousness of the issue, the speed with which the situation could deteriorate further</w:t>
      </w:r>
      <w:r w:rsidR="001C3937">
        <w:t>,</w:t>
      </w:r>
      <w:r>
        <w:t xml:space="preserve"> and the time it would take to achieve turnaround.</w:t>
      </w:r>
      <w:bookmarkEnd w:id="148"/>
      <w:r>
        <w:t xml:space="preserve"> The various measures included in the IFS service agreement should be considered as a whole, rather than in isolation. </w:t>
      </w:r>
    </w:p>
    <w:p w14:paraId="5A6B721F" w14:textId="5810D4C9" w:rsidR="00564F46" w:rsidRPr="00FA7F0B" w:rsidRDefault="00564F46" w:rsidP="00564F46">
      <w:pPr>
        <w:pStyle w:val="Heading3"/>
        <w:rPr>
          <w:sz w:val="24"/>
        </w:rPr>
      </w:pPr>
      <w:r w:rsidRPr="00FA7F0B">
        <w:rPr>
          <w:sz w:val="24"/>
        </w:rPr>
        <w:t>Performance measures guide</w:t>
      </w:r>
    </w:p>
    <w:p w14:paraId="73BEA8C2" w14:textId="44E4E0D9" w:rsidR="000826C7" w:rsidRDefault="008F2B24" w:rsidP="000826C7">
      <w:r>
        <w:t>Administering outcome focussed contracts requires a more considered approach to performance assessment than a contract based on outputs</w:t>
      </w:r>
      <w:r w:rsidR="00240AD4">
        <w:t>.</w:t>
      </w:r>
      <w:r>
        <w:t xml:space="preserve"> </w:t>
      </w:r>
      <w:r w:rsidR="000826C7">
        <w:t>As a guide</w:t>
      </w:r>
      <w:r w:rsidR="00564F46">
        <w:t xml:space="preserve">, </w:t>
      </w:r>
      <w:r>
        <w:t xml:space="preserve">the contract manager may need to consider </w:t>
      </w:r>
      <w:r w:rsidR="00564F46">
        <w:t>the following factors</w:t>
      </w:r>
      <w:r w:rsidR="000826C7">
        <w:t>:</w:t>
      </w:r>
    </w:p>
    <w:p w14:paraId="2B4AAA9F" w14:textId="566F6E56" w:rsidR="001D52D4" w:rsidRPr="00F1232F" w:rsidRDefault="00CC4361" w:rsidP="00716BBF">
      <w:pPr>
        <w:pStyle w:val="ListParagraph"/>
        <w:numPr>
          <w:ilvl w:val="0"/>
          <w:numId w:val="8"/>
        </w:numPr>
        <w:spacing w:before="0" w:after="40" w:line="270" w:lineRule="atLeast"/>
      </w:pPr>
      <w:r w:rsidRPr="00F1232F">
        <w:t>T</w:t>
      </w:r>
      <w:r w:rsidR="001D52D4" w:rsidRPr="00F1232F">
        <w:t>he number of in-scope Service Users who have exited f</w:t>
      </w:r>
      <w:r w:rsidR="00713899">
        <w:t>ro</w:t>
      </w:r>
      <w:r w:rsidR="001D52D4" w:rsidRPr="00F1232F">
        <w:t>m the service (IS245) may be influenced by referral pathways in the catchment and other dynamics</w:t>
      </w:r>
      <w:r w:rsidR="00041D98">
        <w:t xml:space="preserve">, leading </w:t>
      </w:r>
      <w:r w:rsidR="005F3050">
        <w:t xml:space="preserve">to </w:t>
      </w:r>
      <w:r w:rsidR="001D52D4" w:rsidRPr="00F1232F">
        <w:t>a lower</w:t>
      </w:r>
      <w:r w:rsidR="001C3937">
        <w:t xml:space="preserve"> or </w:t>
      </w:r>
      <w:r w:rsidR="00D34887">
        <w:t>higher</w:t>
      </w:r>
      <w:r w:rsidR="001D52D4" w:rsidRPr="00F1232F">
        <w:t xml:space="preserve"> total number of closed referrals (IS145)</w:t>
      </w:r>
      <w:r w:rsidRPr="00F1232F">
        <w:t>.</w:t>
      </w:r>
      <w:r w:rsidR="00E80B2C">
        <w:t xml:space="preserve"> </w:t>
      </w:r>
      <w:r w:rsidR="008B7D9D">
        <w:t>In some instances, exit from the service may be delayed while the IFS seeks to identify an appropriate step-down service.</w:t>
      </w:r>
    </w:p>
    <w:p w14:paraId="47D33614" w14:textId="7860E7BD" w:rsidR="001D52D4" w:rsidRDefault="00CC4361" w:rsidP="00716BBF">
      <w:pPr>
        <w:pStyle w:val="ListParagraph"/>
        <w:numPr>
          <w:ilvl w:val="0"/>
          <w:numId w:val="8"/>
        </w:numPr>
        <w:spacing w:before="0" w:after="40" w:line="270" w:lineRule="atLeast"/>
      </w:pPr>
      <w:r w:rsidRPr="00F1232F">
        <w:t>The number of Service Users engaged (IS134) can be affected by the predominant referrer source</w:t>
      </w:r>
      <w:r w:rsidR="00041D98">
        <w:t xml:space="preserve">. For example, </w:t>
      </w:r>
      <w:r w:rsidRPr="00F1232F">
        <w:t>consent rates for Police and Child Safety – RIS referrals are particularly low</w:t>
      </w:r>
      <w:r w:rsidR="00D7420D">
        <w:t>, so a service receiving many referrals from those sources is likely to have a relatively low consent rate</w:t>
      </w:r>
      <w:r w:rsidRPr="00F1232F">
        <w:t xml:space="preserve"> (see </w:t>
      </w:r>
      <w:r w:rsidRPr="00D34887">
        <w:rPr>
          <w:i/>
          <w:iCs/>
        </w:rPr>
        <w:t>Appendix 1</w:t>
      </w:r>
      <w:r w:rsidR="00D34887" w:rsidRPr="00D34887">
        <w:rPr>
          <w:i/>
          <w:iCs/>
        </w:rPr>
        <w:t>:</w:t>
      </w:r>
      <w:r w:rsidR="00D34887">
        <w:t xml:space="preserve"> </w:t>
      </w:r>
      <w:r w:rsidR="00D34887">
        <w:rPr>
          <w:i/>
          <w:iCs/>
        </w:rPr>
        <w:t>Factors influencing suggested tolerance levels for IFS services</w:t>
      </w:r>
      <w:r w:rsidRPr="00F1232F">
        <w:t>).</w:t>
      </w:r>
    </w:p>
    <w:p w14:paraId="76DE71F9" w14:textId="7DCDD064" w:rsidR="00CC4361" w:rsidRPr="00C31092" w:rsidRDefault="00CC4361" w:rsidP="00716BBF">
      <w:pPr>
        <w:pStyle w:val="ListParagraph"/>
        <w:numPr>
          <w:ilvl w:val="0"/>
          <w:numId w:val="8"/>
        </w:numPr>
        <w:spacing w:before="0" w:after="40" w:line="270" w:lineRule="atLeast"/>
      </w:pPr>
      <w:r w:rsidRPr="00C31092">
        <w:t>A more generous performance threshold (&gt;10</w:t>
      </w:r>
      <w:r w:rsidR="001C3937" w:rsidRPr="00C31092">
        <w:t xml:space="preserve"> per cent</w:t>
      </w:r>
      <w:r w:rsidRPr="00C31092">
        <w:t xml:space="preserve">) may be warranted for some service outlets, particularly </w:t>
      </w:r>
      <w:r w:rsidR="00D7420D">
        <w:t>against</w:t>
      </w:r>
      <w:r w:rsidR="00D7420D" w:rsidRPr="00C31092">
        <w:t xml:space="preserve"> </w:t>
      </w:r>
      <w:r w:rsidR="00041D98" w:rsidRPr="00C31092">
        <w:t xml:space="preserve">OM4.1.01: Number of Service Users with case closed with all or majority of case plan goals achieved. </w:t>
      </w:r>
      <w:r w:rsidR="008B2513" w:rsidRPr="00C31092">
        <w:t>For example</w:t>
      </w:r>
      <w:r w:rsidR="00FD7739" w:rsidRPr="00C31092">
        <w:t>,</w:t>
      </w:r>
      <w:r w:rsidR="008B2513" w:rsidRPr="00C31092">
        <w:t xml:space="preserve"> </w:t>
      </w:r>
      <w:r w:rsidR="00D7420D">
        <w:t xml:space="preserve">cases created following referrals from </w:t>
      </w:r>
      <w:r w:rsidRPr="00C31092">
        <w:t xml:space="preserve">Child Safety – CSSC, Child Safety – RIS, and Police have a lower rate of </w:t>
      </w:r>
      <w:r w:rsidR="00C14101" w:rsidRPr="00C31092">
        <w:t xml:space="preserve">closure with all or the majority of case plan goals achieved </w:t>
      </w:r>
      <w:r w:rsidR="00041D98" w:rsidRPr="00C31092">
        <w:t>than other categories</w:t>
      </w:r>
      <w:r w:rsidR="00FD7739" w:rsidRPr="00C31092">
        <w:t xml:space="preserve"> </w:t>
      </w:r>
      <w:r w:rsidRPr="00C31092">
        <w:t>(see Appendix 1).</w:t>
      </w:r>
    </w:p>
    <w:p w14:paraId="6258C965" w14:textId="46679704" w:rsidR="00CB79C5" w:rsidRPr="00F1232F" w:rsidRDefault="00CC4361" w:rsidP="00716BBF">
      <w:pPr>
        <w:pStyle w:val="ListParagraph"/>
        <w:numPr>
          <w:ilvl w:val="0"/>
          <w:numId w:val="8"/>
        </w:numPr>
        <w:spacing w:before="0" w:after="40" w:line="270" w:lineRule="atLeast"/>
      </w:pPr>
      <w:r w:rsidRPr="00F1232F">
        <w:t>Tolerance adjustments should consider</w:t>
      </w:r>
      <w:r w:rsidR="00CB79C5" w:rsidRPr="00F1232F">
        <w:t>:</w:t>
      </w:r>
    </w:p>
    <w:p w14:paraId="25946BB8" w14:textId="2A59647D" w:rsidR="00CB79C5" w:rsidRPr="00DB58D4" w:rsidRDefault="000826C7" w:rsidP="00716BBF">
      <w:pPr>
        <w:pStyle w:val="ListParagraph"/>
        <w:numPr>
          <w:ilvl w:val="0"/>
          <w:numId w:val="9"/>
        </w:numPr>
        <w:spacing w:before="0" w:after="40" w:line="270" w:lineRule="atLeast"/>
        <w:ind w:left="714" w:hanging="357"/>
        <w:rPr>
          <w:sz w:val="20"/>
          <w:szCs w:val="22"/>
        </w:rPr>
      </w:pPr>
      <w:r w:rsidRPr="00DB58D4">
        <w:rPr>
          <w:sz w:val="20"/>
          <w:szCs w:val="22"/>
        </w:rPr>
        <w:t>reports of average case complexity</w:t>
      </w:r>
      <w:r w:rsidR="00CB79C5" w:rsidRPr="00DB58D4">
        <w:rPr>
          <w:sz w:val="20"/>
          <w:szCs w:val="22"/>
        </w:rPr>
        <w:t xml:space="preserve"> – multiple and serious presenting concerns </w:t>
      </w:r>
      <w:r w:rsidR="00A476FF" w:rsidRPr="00DB58D4">
        <w:rPr>
          <w:sz w:val="20"/>
          <w:szCs w:val="22"/>
        </w:rPr>
        <w:t>reduce the likelihood of successful interventions</w:t>
      </w:r>
    </w:p>
    <w:p w14:paraId="278AF1A5" w14:textId="5BC08FC0" w:rsidR="000826C7" w:rsidRPr="00DB58D4" w:rsidRDefault="00CB79C5" w:rsidP="00716BBF">
      <w:pPr>
        <w:pStyle w:val="ListParagraph"/>
        <w:numPr>
          <w:ilvl w:val="0"/>
          <w:numId w:val="9"/>
        </w:numPr>
        <w:spacing w:before="0" w:after="40" w:line="270" w:lineRule="atLeast"/>
        <w:ind w:left="714" w:hanging="357"/>
        <w:rPr>
          <w:sz w:val="20"/>
          <w:szCs w:val="22"/>
        </w:rPr>
      </w:pPr>
      <w:r w:rsidRPr="00DB58D4">
        <w:rPr>
          <w:sz w:val="20"/>
          <w:szCs w:val="22"/>
        </w:rPr>
        <w:t xml:space="preserve">the size of the catchment – extra </w:t>
      </w:r>
      <w:r w:rsidR="00A476FF" w:rsidRPr="00DB58D4">
        <w:rPr>
          <w:sz w:val="20"/>
          <w:szCs w:val="22"/>
        </w:rPr>
        <w:t xml:space="preserve">travel </w:t>
      </w:r>
      <w:r w:rsidRPr="00DB58D4">
        <w:rPr>
          <w:sz w:val="20"/>
          <w:szCs w:val="22"/>
        </w:rPr>
        <w:t xml:space="preserve">time may be </w:t>
      </w:r>
      <w:r w:rsidR="00A476FF" w:rsidRPr="00DB58D4">
        <w:rPr>
          <w:sz w:val="20"/>
          <w:szCs w:val="22"/>
        </w:rPr>
        <w:t>necessary</w:t>
      </w:r>
      <w:r w:rsidRPr="00DB58D4">
        <w:rPr>
          <w:sz w:val="20"/>
          <w:szCs w:val="22"/>
        </w:rPr>
        <w:t xml:space="preserve"> in regional and remote locations</w:t>
      </w:r>
      <w:r w:rsidR="003E1E35" w:rsidRPr="00DB58D4">
        <w:rPr>
          <w:sz w:val="20"/>
          <w:szCs w:val="22"/>
        </w:rPr>
        <w:t>, leading to a longer-than-average intervention</w:t>
      </w:r>
      <w:r w:rsidR="008B2513" w:rsidRPr="00DB58D4">
        <w:rPr>
          <w:sz w:val="20"/>
          <w:szCs w:val="22"/>
        </w:rPr>
        <w:t xml:space="preserve"> period</w:t>
      </w:r>
      <w:r w:rsidR="002110F5">
        <w:rPr>
          <w:sz w:val="20"/>
          <w:szCs w:val="22"/>
        </w:rPr>
        <w:t xml:space="preserve"> and reduced throughput</w:t>
      </w:r>
    </w:p>
    <w:p w14:paraId="5F241174" w14:textId="77AB8C21" w:rsidR="003E1E35" w:rsidRPr="00DB58D4" w:rsidRDefault="003E1E35" w:rsidP="00716BBF">
      <w:pPr>
        <w:pStyle w:val="ListParagraph"/>
        <w:numPr>
          <w:ilvl w:val="0"/>
          <w:numId w:val="9"/>
        </w:numPr>
        <w:spacing w:before="0" w:after="40" w:line="270" w:lineRule="atLeast"/>
        <w:ind w:left="714" w:hanging="357"/>
        <w:rPr>
          <w:sz w:val="20"/>
          <w:szCs w:val="22"/>
        </w:rPr>
      </w:pPr>
      <w:r w:rsidRPr="00DB58D4">
        <w:rPr>
          <w:sz w:val="20"/>
          <w:szCs w:val="22"/>
        </w:rPr>
        <w:t>referrer source</w:t>
      </w:r>
      <w:r w:rsidR="00201F51" w:rsidRPr="00DB58D4">
        <w:rPr>
          <w:sz w:val="20"/>
          <w:szCs w:val="22"/>
        </w:rPr>
        <w:t xml:space="preserve"> </w:t>
      </w:r>
      <w:r w:rsidR="00944E3D" w:rsidRPr="00DB58D4">
        <w:rPr>
          <w:sz w:val="20"/>
          <w:szCs w:val="22"/>
        </w:rPr>
        <w:t xml:space="preserve">(see </w:t>
      </w:r>
      <w:r w:rsidR="00CC4361" w:rsidRPr="00DB58D4">
        <w:rPr>
          <w:sz w:val="20"/>
          <w:szCs w:val="22"/>
        </w:rPr>
        <w:t>above</w:t>
      </w:r>
      <w:r w:rsidR="00944E3D" w:rsidRPr="00DB58D4">
        <w:rPr>
          <w:sz w:val="20"/>
          <w:szCs w:val="22"/>
        </w:rPr>
        <w:t>)</w:t>
      </w:r>
    </w:p>
    <w:p w14:paraId="0B2BD35D" w14:textId="3622B09A" w:rsidR="00BE1BDF" w:rsidRPr="00DB58D4" w:rsidRDefault="00BE1BDF" w:rsidP="00716BBF">
      <w:pPr>
        <w:pStyle w:val="ListParagraph"/>
        <w:numPr>
          <w:ilvl w:val="0"/>
          <w:numId w:val="9"/>
        </w:numPr>
        <w:spacing w:before="0" w:after="40" w:line="270" w:lineRule="atLeast"/>
        <w:ind w:left="714" w:hanging="357"/>
        <w:rPr>
          <w:sz w:val="20"/>
          <w:szCs w:val="22"/>
        </w:rPr>
      </w:pPr>
      <w:r w:rsidRPr="00DB58D4">
        <w:rPr>
          <w:sz w:val="20"/>
          <w:szCs w:val="22"/>
        </w:rPr>
        <w:t>staffing impacts and other local circumstances</w:t>
      </w:r>
    </w:p>
    <w:p w14:paraId="29F1CAFA" w14:textId="73055D7F" w:rsidR="000826C7" w:rsidRDefault="00BA7366" w:rsidP="00716BBF">
      <w:pPr>
        <w:pStyle w:val="ListParagraph"/>
        <w:numPr>
          <w:ilvl w:val="0"/>
          <w:numId w:val="13"/>
        </w:numPr>
        <w:spacing w:before="0" w:after="40" w:line="270" w:lineRule="atLeast"/>
      </w:pPr>
      <w:r>
        <w:t xml:space="preserve">In contract management discussions, the </w:t>
      </w:r>
      <w:r w:rsidR="00E80B2C">
        <w:t>n</w:t>
      </w:r>
      <w:r w:rsidR="003156BF" w:rsidRPr="00564F46">
        <w:t>umber of hours provided during the reporting period</w:t>
      </w:r>
      <w:r w:rsidR="00E80B2C">
        <w:t xml:space="preserve"> (A01.2.02HH)</w:t>
      </w:r>
      <w:r>
        <w:t xml:space="preserve"> can continue to be discussed as </w:t>
      </w:r>
      <w:r w:rsidR="003156BF">
        <w:t>a throughput measure, although a stipulated per annum target is no longer recorded.</w:t>
      </w:r>
    </w:p>
    <w:p w14:paraId="0A175D03" w14:textId="228F90B1" w:rsidR="008B2513" w:rsidRDefault="008B2513" w:rsidP="00716BBF">
      <w:pPr>
        <w:pStyle w:val="ListParagraph"/>
        <w:numPr>
          <w:ilvl w:val="0"/>
          <w:numId w:val="13"/>
        </w:numPr>
        <w:spacing w:before="0" w:after="40" w:line="270" w:lineRule="atLeast"/>
        <w:ind w:left="357" w:hanging="357"/>
      </w:pPr>
      <w:r>
        <w:t>Further</w:t>
      </w:r>
      <w:r w:rsidR="00050E21">
        <w:t xml:space="preserve"> indications of </w:t>
      </w:r>
      <w:r w:rsidR="003156BF">
        <w:t xml:space="preserve">performance might be </w:t>
      </w:r>
      <w:r w:rsidR="00050E21">
        <w:t>demonstrated</w:t>
      </w:r>
      <w:r w:rsidR="003156BF">
        <w:t xml:space="preserve"> by </w:t>
      </w:r>
      <w:r w:rsidR="00050E21">
        <w:t xml:space="preserve">the following </w:t>
      </w:r>
      <w:r w:rsidR="003156BF">
        <w:t>throughput measures</w:t>
      </w:r>
      <w:r>
        <w:t>:</w:t>
      </w:r>
    </w:p>
    <w:p w14:paraId="15AAE90A" w14:textId="5384847B" w:rsidR="008B2513" w:rsidRPr="00564F46" w:rsidRDefault="003156BF" w:rsidP="00716BBF">
      <w:pPr>
        <w:pStyle w:val="ListParagraph"/>
        <w:numPr>
          <w:ilvl w:val="0"/>
          <w:numId w:val="14"/>
        </w:numPr>
        <w:spacing w:before="0" w:after="40" w:line="270" w:lineRule="atLeast"/>
        <w:ind w:left="714" w:hanging="357"/>
        <w:rPr>
          <w:sz w:val="20"/>
          <w:szCs w:val="22"/>
        </w:rPr>
      </w:pPr>
      <w:r w:rsidRPr="00564F46">
        <w:rPr>
          <w:sz w:val="20"/>
          <w:szCs w:val="22"/>
        </w:rPr>
        <w:lastRenderedPageBreak/>
        <w:t>IS201</w:t>
      </w:r>
      <w:r w:rsidR="005F3050" w:rsidRPr="00564F46">
        <w:rPr>
          <w:sz w:val="20"/>
          <w:szCs w:val="22"/>
        </w:rPr>
        <w:t>:</w:t>
      </w:r>
      <w:r w:rsidRPr="00564F46">
        <w:rPr>
          <w:sz w:val="20"/>
          <w:szCs w:val="22"/>
        </w:rPr>
        <w:t xml:space="preserve"> Number of referrals received during the reporting period</w:t>
      </w:r>
    </w:p>
    <w:p w14:paraId="1573C40F" w14:textId="15353743" w:rsidR="005F3050" w:rsidRPr="00564F46" w:rsidRDefault="005F3050" w:rsidP="00716BBF">
      <w:pPr>
        <w:pStyle w:val="ListParagraph"/>
        <w:numPr>
          <w:ilvl w:val="0"/>
          <w:numId w:val="14"/>
        </w:numPr>
        <w:spacing w:before="0" w:after="40" w:line="270" w:lineRule="atLeast"/>
        <w:rPr>
          <w:sz w:val="20"/>
          <w:szCs w:val="22"/>
        </w:rPr>
      </w:pPr>
      <w:r w:rsidRPr="00564F46">
        <w:rPr>
          <w:sz w:val="20"/>
          <w:szCs w:val="22"/>
        </w:rPr>
        <w:t>IS132: Number of Service Users with cases commenced during the reporting period</w:t>
      </w:r>
    </w:p>
    <w:p w14:paraId="38F8AE41" w14:textId="51520405" w:rsidR="008B2513" w:rsidRPr="00564F46" w:rsidRDefault="003156BF" w:rsidP="00716BBF">
      <w:pPr>
        <w:pStyle w:val="ListParagraph"/>
        <w:numPr>
          <w:ilvl w:val="0"/>
          <w:numId w:val="14"/>
        </w:numPr>
        <w:spacing w:before="0" w:after="40" w:line="270" w:lineRule="atLeast"/>
        <w:rPr>
          <w:sz w:val="20"/>
          <w:szCs w:val="22"/>
        </w:rPr>
      </w:pPr>
      <w:r w:rsidRPr="00564F46">
        <w:rPr>
          <w:sz w:val="20"/>
          <w:szCs w:val="22"/>
        </w:rPr>
        <w:t>IS133</w:t>
      </w:r>
      <w:r w:rsidR="005F3050" w:rsidRPr="00564F46">
        <w:rPr>
          <w:sz w:val="20"/>
          <w:szCs w:val="22"/>
        </w:rPr>
        <w:t>:</w:t>
      </w:r>
      <w:r w:rsidRPr="00564F46">
        <w:rPr>
          <w:sz w:val="20"/>
          <w:szCs w:val="22"/>
        </w:rPr>
        <w:t xml:space="preserve"> Number of existing Service Users at the beginning of the reporting period</w:t>
      </w:r>
    </w:p>
    <w:p w14:paraId="46D768BD" w14:textId="06FF3B62" w:rsidR="00077A97" w:rsidRDefault="00077A97" w:rsidP="00077A97">
      <w:r>
        <w:t xml:space="preserve">Greatly exceeding targets on some measures may </w:t>
      </w:r>
      <w:r w:rsidRPr="00565A9C">
        <w:t>indicate the service is not being</w:t>
      </w:r>
      <w:r>
        <w:t xml:space="preserve"> delivered as the department intended. For example, </w:t>
      </w:r>
      <w:r w:rsidR="003156BF">
        <w:t xml:space="preserve">an excessive number of families regularly exiting the service </w:t>
      </w:r>
      <w:r>
        <w:t xml:space="preserve">may suggest that the level of support provided to each family is insufficient to </w:t>
      </w:r>
      <w:r w:rsidR="008B2513">
        <w:t xml:space="preserve">adequately </w:t>
      </w:r>
      <w:r>
        <w:t xml:space="preserve">address </w:t>
      </w:r>
      <w:r w:rsidR="008B2513">
        <w:t>identified case plan goals</w:t>
      </w:r>
      <w:r>
        <w:t>.</w:t>
      </w:r>
      <w:r w:rsidR="002110F5">
        <w:rPr>
          <w:rStyle w:val="FootnoteReference"/>
        </w:rPr>
        <w:footnoteReference w:id="10"/>
      </w:r>
      <w:r>
        <w:t xml:space="preserve"> Contract managers should re</w:t>
      </w:r>
      <w:r w:rsidR="008B2513">
        <w:t>view</w:t>
      </w:r>
      <w:r>
        <w:t xml:space="preserve"> th</w:t>
      </w:r>
      <w:r w:rsidR="008B2513">
        <w:t>ese</w:t>
      </w:r>
      <w:r>
        <w:t xml:space="preserve"> measure</w:t>
      </w:r>
      <w:r w:rsidR="008B2513">
        <w:t>s</w:t>
      </w:r>
      <w:r>
        <w:t xml:space="preserve"> in conjunction with </w:t>
      </w:r>
      <w:r w:rsidR="008B2513">
        <w:t xml:space="preserve">the outcome </w:t>
      </w:r>
      <w:r>
        <w:t>measure</w:t>
      </w:r>
      <w:r w:rsidR="008B2513">
        <w:t xml:space="preserve"> (all/majority case plan goals achieved)</w:t>
      </w:r>
      <w:r>
        <w:t xml:space="preserve"> to determine if the level of performance is appropriate.</w:t>
      </w:r>
    </w:p>
    <w:p w14:paraId="704ECE9E" w14:textId="7F8C259F" w:rsidR="00077A97" w:rsidRPr="00FA7F0B" w:rsidRDefault="00077A97" w:rsidP="00077A97">
      <w:pPr>
        <w:pStyle w:val="Heading3"/>
        <w:rPr>
          <w:sz w:val="24"/>
          <w:szCs w:val="22"/>
        </w:rPr>
      </w:pPr>
      <w:r w:rsidRPr="00FA7F0B">
        <w:rPr>
          <w:sz w:val="24"/>
          <w:szCs w:val="22"/>
        </w:rPr>
        <w:t>Outcome indicators</w:t>
      </w:r>
    </w:p>
    <w:p w14:paraId="1A59676E" w14:textId="2E3823B5" w:rsidR="00077A97" w:rsidRDefault="00077A97" w:rsidP="00077A97">
      <w:r w:rsidRPr="00E973AF">
        <w:t>Outcome indicators</w:t>
      </w:r>
      <w:r>
        <w:t xml:space="preserve"> </w:t>
      </w:r>
      <w:r w:rsidRPr="00E973AF">
        <w:t>provide insight into the impact and effec</w:t>
      </w:r>
      <w:r>
        <w:t xml:space="preserve">tiveness of services. They </w:t>
      </w:r>
      <w:r w:rsidRPr="00E973AF">
        <w:t xml:space="preserve">are designed to encourage a focus on the value of services being provided, not just the volume. </w:t>
      </w:r>
      <w:r>
        <w:t xml:space="preserve">Due to the adoption of the new </w:t>
      </w:r>
      <w:r w:rsidR="005F3050">
        <w:t xml:space="preserve">life course </w:t>
      </w:r>
      <w:r>
        <w:t>outcome deliverable focus</w:t>
      </w:r>
      <w:r w:rsidR="005F3050">
        <w:t>ed</w:t>
      </w:r>
      <w:r>
        <w:t xml:space="preserve"> on all/majority of case plan goals achieved, the following IFS outcomes measures </w:t>
      </w:r>
      <w:r w:rsidR="005F3050">
        <w:t>are</w:t>
      </w:r>
      <w:r>
        <w:t xml:space="preserve"> removed</w:t>
      </w:r>
      <w:r w:rsidR="008B2513">
        <w:t xml:space="preserve"> from all contracts</w:t>
      </w:r>
      <w:r w:rsidR="005F3050">
        <w:t xml:space="preserve"> from 1 July 2022</w:t>
      </w:r>
      <w:r>
        <w:t>:</w:t>
      </w:r>
    </w:p>
    <w:p w14:paraId="72E1AD51" w14:textId="422CC95D" w:rsidR="00077A97" w:rsidRPr="00564F46" w:rsidRDefault="00077A97" w:rsidP="00077A97">
      <w:pPr>
        <w:pStyle w:val="DHHSbullet1"/>
        <w:rPr>
          <w:sz w:val="22"/>
          <w:szCs w:val="22"/>
        </w:rPr>
      </w:pPr>
      <w:r w:rsidRPr="00564F46">
        <w:rPr>
          <w:sz w:val="22"/>
          <w:szCs w:val="22"/>
        </w:rPr>
        <w:t>OM2.1.08: Number of Service Users with improved life skills</w:t>
      </w:r>
    </w:p>
    <w:p w14:paraId="56C2EBC5" w14:textId="657B4DC6" w:rsidR="00077A97" w:rsidRPr="00564F46" w:rsidRDefault="00077A97" w:rsidP="00077A97">
      <w:pPr>
        <w:pStyle w:val="DHHSbullet1"/>
        <w:rPr>
          <w:sz w:val="22"/>
          <w:szCs w:val="22"/>
        </w:rPr>
      </w:pPr>
      <w:r w:rsidRPr="00564F46">
        <w:rPr>
          <w:sz w:val="22"/>
          <w:szCs w:val="22"/>
        </w:rPr>
        <w:t>OM2.1.01: Number of Service Users that have shown improvements in being safe and/or protected from harm</w:t>
      </w:r>
    </w:p>
    <w:p w14:paraId="5EC0B674" w14:textId="749A3742" w:rsidR="00077A97" w:rsidRDefault="00077A97" w:rsidP="00077A97">
      <w:r w:rsidRPr="00E9183E">
        <w:t xml:space="preserve">For </w:t>
      </w:r>
      <w:r w:rsidR="005F3050">
        <w:t xml:space="preserve">the OM4.1.01 </w:t>
      </w:r>
      <w:r>
        <w:t>outcome indicator</w:t>
      </w:r>
      <w:r w:rsidRPr="00E9183E">
        <w:t xml:space="preserve">, performance is assessed to identify whether the provider is meeting the target and a rating is allocated using the performance thresholds set out in </w:t>
      </w:r>
      <w:r w:rsidR="005F3050">
        <w:t>Figure 1.</w:t>
      </w:r>
    </w:p>
    <w:p w14:paraId="6F1A3EA5" w14:textId="1A34216A" w:rsidR="006F30B2" w:rsidRPr="00FA7F0B" w:rsidRDefault="006F30B2" w:rsidP="006F30B2">
      <w:pPr>
        <w:pStyle w:val="Heading1"/>
        <w:rPr>
          <w:sz w:val="32"/>
          <w:szCs w:val="18"/>
        </w:rPr>
      </w:pPr>
      <w:bookmarkStart w:id="149" w:name="_Toc448391516"/>
      <w:bookmarkStart w:id="150" w:name="_Toc457207828"/>
      <w:bookmarkStart w:id="151" w:name="_Toc15371439"/>
      <w:bookmarkEnd w:id="140"/>
      <w:bookmarkEnd w:id="141"/>
      <w:bookmarkEnd w:id="142"/>
      <w:bookmarkEnd w:id="143"/>
      <w:bookmarkEnd w:id="144"/>
      <w:bookmarkEnd w:id="145"/>
      <w:bookmarkEnd w:id="146"/>
      <w:r w:rsidRPr="00FA7F0B">
        <w:rPr>
          <w:sz w:val="32"/>
          <w:szCs w:val="18"/>
        </w:rPr>
        <w:t>Operation of the Performance Framework</w:t>
      </w:r>
      <w:bookmarkEnd w:id="149"/>
      <w:bookmarkEnd w:id="150"/>
      <w:bookmarkEnd w:id="151"/>
      <w:r w:rsidR="00FA7F0B">
        <w:rPr>
          <w:sz w:val="32"/>
          <w:szCs w:val="18"/>
        </w:rPr>
        <w:t xml:space="preserve"> for IFS</w:t>
      </w:r>
    </w:p>
    <w:p w14:paraId="20840BF2" w14:textId="372963DA" w:rsidR="006F30B2" w:rsidRPr="003A14B2" w:rsidRDefault="006F30B2" w:rsidP="006F30B2">
      <w:pPr>
        <w:pStyle w:val="Heading2"/>
      </w:pPr>
      <w:bookmarkStart w:id="152" w:name="_Toc441486736"/>
      <w:bookmarkStart w:id="153" w:name="_Toc441499304"/>
      <w:bookmarkEnd w:id="152"/>
      <w:bookmarkEnd w:id="153"/>
      <w:r>
        <w:t>Assessing performance and risk</w:t>
      </w:r>
    </w:p>
    <w:p w14:paraId="32E7F596" w14:textId="216EE17C" w:rsidR="00F655B2" w:rsidRPr="00FA7F0B" w:rsidRDefault="00F655B2" w:rsidP="00F655B2">
      <w:pPr>
        <w:pStyle w:val="Heading3"/>
        <w:rPr>
          <w:sz w:val="24"/>
          <w:szCs w:val="22"/>
        </w:rPr>
      </w:pPr>
      <w:bookmarkStart w:id="154" w:name="_Toc81561754"/>
      <w:r w:rsidRPr="00FA7F0B">
        <w:rPr>
          <w:sz w:val="24"/>
          <w:szCs w:val="22"/>
        </w:rPr>
        <w:t>Assessment steps</w:t>
      </w:r>
      <w:bookmarkEnd w:id="154"/>
    </w:p>
    <w:p w14:paraId="07C537BE" w14:textId="4CAB21D1" w:rsidR="00F655B2" w:rsidRPr="00111134" w:rsidRDefault="00111134" w:rsidP="00F655B2">
      <w:r>
        <w:t xml:space="preserve">The </w:t>
      </w:r>
      <w:r w:rsidR="00FA7F0B">
        <w:t xml:space="preserve">performance framework </w:t>
      </w:r>
      <w:r>
        <w:t>section 6.</w:t>
      </w:r>
      <w:r w:rsidR="009B08E7">
        <w:t>4</w:t>
      </w:r>
      <w:r>
        <w:t xml:space="preserve"> provides detailed information on assessment steps. The material below is focused on factors relevant to IFS providers.</w:t>
      </w:r>
    </w:p>
    <w:p w14:paraId="33F819A3" w14:textId="2A7DAEF4" w:rsidR="00F655B2" w:rsidRPr="0026392E" w:rsidRDefault="00F655B2" w:rsidP="00991A25">
      <w:pPr>
        <w:pStyle w:val="Heading4"/>
        <w:rPr>
          <w:sz w:val="22"/>
          <w:szCs w:val="22"/>
        </w:rPr>
      </w:pPr>
      <w:bookmarkStart w:id="155" w:name="_Toc81561755"/>
      <w:r w:rsidRPr="008F38F8">
        <w:t>Step 1 – Identify performance risk</w:t>
      </w:r>
      <w:bookmarkEnd w:id="155"/>
    </w:p>
    <w:p w14:paraId="295E55BB" w14:textId="3A861525" w:rsidR="00FB376D" w:rsidRDefault="00F655B2" w:rsidP="00DA79D9">
      <w:r>
        <w:t>Firstly, p</w:t>
      </w:r>
      <w:r w:rsidRPr="0026392E">
        <w:t xml:space="preserve">erformance issues, inherent vulnerabilities and emerging performance concerns </w:t>
      </w:r>
      <w:r>
        <w:t xml:space="preserve">should be </w:t>
      </w:r>
      <w:r w:rsidRPr="0026392E">
        <w:t>identified by using quantitative and qualitative data from a vari</w:t>
      </w:r>
      <w:r>
        <w:t>ety of</w:t>
      </w:r>
      <w:r w:rsidRPr="0026392E">
        <w:t xml:space="preserve"> sources </w:t>
      </w:r>
      <w:r>
        <w:t xml:space="preserve">to </w:t>
      </w:r>
      <w:r w:rsidRPr="0026392E">
        <w:t xml:space="preserve">provide a robust understanding of a </w:t>
      </w:r>
      <w:r>
        <w:t>provider</w:t>
      </w:r>
      <w:r w:rsidRPr="0026392E">
        <w:t>’s performance risks and issues</w:t>
      </w:r>
      <w:r>
        <w:t xml:space="preserve">. </w:t>
      </w:r>
      <w:r w:rsidR="00FB376D">
        <w:t xml:space="preserve">In the case of IFS providers, this </w:t>
      </w:r>
      <w:r w:rsidR="00C7541A">
        <w:t>may</w:t>
      </w:r>
      <w:r w:rsidR="00FB376D">
        <w:t xml:space="preserve"> include:</w:t>
      </w:r>
    </w:p>
    <w:p w14:paraId="5158453D" w14:textId="667E69AE" w:rsidR="00FB376D" w:rsidRDefault="00C7541A" w:rsidP="00E71F12">
      <w:pPr>
        <w:pStyle w:val="ListParagraph"/>
        <w:numPr>
          <w:ilvl w:val="0"/>
          <w:numId w:val="17"/>
        </w:numPr>
      </w:pPr>
      <w:r>
        <w:t>r</w:t>
      </w:r>
      <w:r w:rsidR="00FB376D">
        <w:t xml:space="preserve">elevant P2i reports such as the RN05 – Performance Responses, RN07 – Service Outlet Status Report, </w:t>
      </w:r>
      <w:r>
        <w:t>and RN09 – Reporting Compliance</w:t>
      </w:r>
    </w:p>
    <w:p w14:paraId="10E152CC" w14:textId="1AA92B01" w:rsidR="00C7541A" w:rsidRDefault="00C7541A" w:rsidP="00E71F12">
      <w:pPr>
        <w:pStyle w:val="ListParagraph"/>
        <w:numPr>
          <w:ilvl w:val="0"/>
          <w:numId w:val="17"/>
        </w:numPr>
      </w:pPr>
      <w:r>
        <w:t>ARC performance report</w:t>
      </w:r>
    </w:p>
    <w:p w14:paraId="66E38354" w14:textId="7405CE3A" w:rsidR="00C7541A" w:rsidRDefault="00C2161C" w:rsidP="00E71F12">
      <w:pPr>
        <w:pStyle w:val="ListParagraph"/>
        <w:numPr>
          <w:ilvl w:val="0"/>
          <w:numId w:val="17"/>
        </w:numPr>
      </w:pPr>
      <w:r>
        <w:t>ARC contract</w:t>
      </w:r>
      <w:r w:rsidR="00C7541A">
        <w:t xml:space="preserve"> report</w:t>
      </w:r>
      <w:r>
        <w:rPr>
          <w:rStyle w:val="FootnoteReference"/>
        </w:rPr>
        <w:footnoteReference w:id="11"/>
      </w:r>
      <w:r w:rsidR="00C7541A">
        <w:t xml:space="preserve"> </w:t>
      </w:r>
    </w:p>
    <w:p w14:paraId="4FFC6319" w14:textId="155B9EE7" w:rsidR="00F655B2" w:rsidRPr="0026392E" w:rsidRDefault="00F655B2" w:rsidP="00DA79D9">
      <w:r>
        <w:t xml:space="preserve">If </w:t>
      </w:r>
      <w:r w:rsidR="00C7541A">
        <w:t xml:space="preserve">IFS is </w:t>
      </w:r>
      <w:r>
        <w:t xml:space="preserve">being considered at the organisational level, the contract manager would collate performance data from across all </w:t>
      </w:r>
      <w:r w:rsidR="00C7541A">
        <w:t>funded</w:t>
      </w:r>
      <w:r>
        <w:t xml:space="preserve"> </w:t>
      </w:r>
      <w:r w:rsidR="00C7541A">
        <w:t xml:space="preserve">IFS </w:t>
      </w:r>
      <w:r>
        <w:t xml:space="preserve">service </w:t>
      </w:r>
      <w:r w:rsidR="00C7541A">
        <w:t>outlets</w:t>
      </w:r>
      <w:r>
        <w:t>, noting any geographic or regional trends.</w:t>
      </w:r>
      <w:r w:rsidR="00B34191">
        <w:t xml:space="preserve"> Contact can be made with </w:t>
      </w:r>
      <w:r w:rsidR="00C2161C">
        <w:t xml:space="preserve">the </w:t>
      </w:r>
      <w:r w:rsidR="00B34191">
        <w:t>C</w:t>
      </w:r>
      <w:r w:rsidR="001F585C">
        <w:t xml:space="preserve">hildren, </w:t>
      </w:r>
      <w:r w:rsidR="00B34191">
        <w:t>Y</w:t>
      </w:r>
      <w:r w:rsidR="001F585C">
        <w:t xml:space="preserve">outh and </w:t>
      </w:r>
      <w:r w:rsidR="00B34191">
        <w:t>F</w:t>
      </w:r>
      <w:r w:rsidR="001F585C">
        <w:t>amilies team in Investment and Commissioning,</w:t>
      </w:r>
      <w:r w:rsidR="00B34191">
        <w:t xml:space="preserve"> to see if any datasets already exist for the relevant </w:t>
      </w:r>
      <w:r w:rsidR="0049768A">
        <w:t>period</w:t>
      </w:r>
      <w:r w:rsidR="00B34191">
        <w:t>.</w:t>
      </w:r>
    </w:p>
    <w:p w14:paraId="20728A9A" w14:textId="77777777" w:rsidR="00F655B2" w:rsidRPr="0026392E" w:rsidRDefault="00F655B2" w:rsidP="00DA79D9">
      <w:r w:rsidRPr="0026392E">
        <w:t xml:space="preserve">This information is used to build </w:t>
      </w:r>
      <w:r>
        <w:t>an understanding of risk in relation</w:t>
      </w:r>
      <w:r w:rsidRPr="0026392E">
        <w:t xml:space="preserve"> </w:t>
      </w:r>
      <w:r>
        <w:t>to</w:t>
      </w:r>
      <w:r w:rsidRPr="0026392E">
        <w:t xml:space="preserve"> three performance categories:</w:t>
      </w:r>
    </w:p>
    <w:p w14:paraId="194FC004" w14:textId="339D05A1" w:rsidR="00BF5117" w:rsidRPr="00991A25" w:rsidRDefault="00BF5117" w:rsidP="001346B9">
      <w:pPr>
        <w:pStyle w:val="DHHSbody"/>
        <w:rPr>
          <w:rStyle w:val="Heading5Char"/>
        </w:rPr>
      </w:pPr>
      <w:r w:rsidRPr="00991A25">
        <w:rPr>
          <w:rStyle w:val="Heading5Char"/>
        </w:rPr>
        <w:lastRenderedPageBreak/>
        <w:t xml:space="preserve">1. Performance measures and outcomes </w:t>
      </w:r>
    </w:p>
    <w:p w14:paraId="23861DCA" w14:textId="56DBA1CD" w:rsidR="00BF5117" w:rsidRDefault="00166A8E" w:rsidP="00DA79D9">
      <w:r>
        <w:t>A p</w:t>
      </w:r>
      <w:r w:rsidR="000768C3">
        <w:t xml:space="preserve">articular focus on the following </w:t>
      </w:r>
      <w:r w:rsidR="00BF5117">
        <w:t>measures</w:t>
      </w:r>
      <w:r w:rsidR="00BF5117" w:rsidRPr="0026392E">
        <w:t xml:space="preserve"> </w:t>
      </w:r>
      <w:r w:rsidR="000768C3">
        <w:t xml:space="preserve">is </w:t>
      </w:r>
      <w:r w:rsidR="00BF5117" w:rsidRPr="0026392E">
        <w:t>use</w:t>
      </w:r>
      <w:r>
        <w:t>ful</w:t>
      </w:r>
      <w:r w:rsidR="00BF5117" w:rsidRPr="0026392E">
        <w:t xml:space="preserve"> to inform performance risk.</w:t>
      </w:r>
      <w:r w:rsidR="00BF5117">
        <w:t xml:space="preserve"> </w:t>
      </w:r>
    </w:p>
    <w:p w14:paraId="38A76714" w14:textId="3421EFAA" w:rsidR="000768C3" w:rsidRPr="000768C3" w:rsidRDefault="000768C3" w:rsidP="00DA79D9">
      <w:pPr>
        <w:rPr>
          <w:u w:val="single"/>
        </w:rPr>
      </w:pPr>
      <w:r>
        <w:rPr>
          <w:u w:val="single"/>
        </w:rPr>
        <w:t>Primary</w:t>
      </w:r>
      <w:r w:rsidR="00166A8E">
        <w:rPr>
          <w:u w:val="single"/>
        </w:rPr>
        <w:t xml:space="preserve"> measures</w:t>
      </w:r>
    </w:p>
    <w:p w14:paraId="4836C002" w14:textId="6B2C3F49" w:rsidR="000768C3" w:rsidRPr="00E746AC" w:rsidRDefault="000768C3" w:rsidP="0049768A">
      <w:pPr>
        <w:pStyle w:val="DHHSbullet1"/>
        <w:spacing w:before="120"/>
        <w:rPr>
          <w:sz w:val="22"/>
          <w:szCs w:val="22"/>
        </w:rPr>
      </w:pPr>
      <w:r w:rsidRPr="00E746AC">
        <w:rPr>
          <w:sz w:val="22"/>
          <w:szCs w:val="22"/>
        </w:rPr>
        <w:t>IS145: Number of Service Users who have exited from the service during the reporting period</w:t>
      </w:r>
    </w:p>
    <w:p w14:paraId="1B84D406" w14:textId="5F91D301" w:rsidR="000768C3" w:rsidRPr="00E746AC" w:rsidRDefault="000768C3" w:rsidP="004A3A04">
      <w:pPr>
        <w:pStyle w:val="DHHSbullet1"/>
        <w:rPr>
          <w:sz w:val="22"/>
          <w:szCs w:val="22"/>
        </w:rPr>
      </w:pPr>
      <w:r w:rsidRPr="00E746AC">
        <w:rPr>
          <w:sz w:val="22"/>
          <w:szCs w:val="22"/>
        </w:rPr>
        <w:t>IS245: Number of in-scope Service Users eligible to receive a service who have exited from the service</w:t>
      </w:r>
    </w:p>
    <w:p w14:paraId="31D915C4" w14:textId="77777777" w:rsidR="00C7541A" w:rsidRPr="00E746AC" w:rsidRDefault="00C7541A" w:rsidP="00E71F12">
      <w:pPr>
        <w:pStyle w:val="DHHSbullet1"/>
        <w:rPr>
          <w:sz w:val="22"/>
          <w:szCs w:val="22"/>
        </w:rPr>
      </w:pPr>
      <w:r w:rsidRPr="00E746AC">
        <w:rPr>
          <w:sz w:val="22"/>
          <w:szCs w:val="22"/>
        </w:rPr>
        <w:t>IS134: Number of Service Users engaged</w:t>
      </w:r>
    </w:p>
    <w:p w14:paraId="4EED9F44" w14:textId="2141CE41" w:rsidR="00C7541A" w:rsidRPr="00E746AC" w:rsidRDefault="00C7541A" w:rsidP="0049768A">
      <w:pPr>
        <w:pStyle w:val="DHHSbullet1"/>
        <w:spacing w:after="120"/>
        <w:rPr>
          <w:sz w:val="22"/>
          <w:szCs w:val="22"/>
        </w:rPr>
      </w:pPr>
      <w:r w:rsidRPr="00E746AC">
        <w:rPr>
          <w:sz w:val="22"/>
          <w:szCs w:val="22"/>
        </w:rPr>
        <w:t>OM4.1.01: Number of Service Users with cases closed with all or majority of case plan goals achieved</w:t>
      </w:r>
    </w:p>
    <w:p w14:paraId="74925FF6" w14:textId="1DF057B9" w:rsidR="000768C3" w:rsidRDefault="000768C3" w:rsidP="000768C3">
      <w:pPr>
        <w:pStyle w:val="DHHSbullet1"/>
        <w:numPr>
          <w:ilvl w:val="0"/>
          <w:numId w:val="0"/>
        </w:numPr>
        <w:rPr>
          <w:sz w:val="22"/>
          <w:szCs w:val="22"/>
          <w:u w:val="single"/>
        </w:rPr>
      </w:pPr>
      <w:r>
        <w:rPr>
          <w:sz w:val="22"/>
          <w:szCs w:val="22"/>
          <w:u w:val="single"/>
        </w:rPr>
        <w:t>Secondary</w:t>
      </w:r>
      <w:r w:rsidR="00166A8E">
        <w:rPr>
          <w:sz w:val="22"/>
          <w:szCs w:val="22"/>
          <w:u w:val="single"/>
        </w:rPr>
        <w:t xml:space="preserve"> measures</w:t>
      </w:r>
    </w:p>
    <w:p w14:paraId="1EE52F6C" w14:textId="059BF04B" w:rsidR="00564F46" w:rsidRPr="00E746AC" w:rsidRDefault="00564F46" w:rsidP="00FA7F0B">
      <w:pPr>
        <w:pStyle w:val="DHHSbullet1"/>
        <w:spacing w:before="120"/>
        <w:rPr>
          <w:sz w:val="22"/>
          <w:szCs w:val="22"/>
        </w:rPr>
      </w:pPr>
      <w:r>
        <w:rPr>
          <w:sz w:val="22"/>
          <w:szCs w:val="22"/>
        </w:rPr>
        <w:t>A01.2.02HH</w:t>
      </w:r>
      <w:r w:rsidRPr="00E746AC">
        <w:rPr>
          <w:sz w:val="22"/>
          <w:szCs w:val="22"/>
        </w:rPr>
        <w:t xml:space="preserve">: Number of </w:t>
      </w:r>
      <w:r>
        <w:rPr>
          <w:sz w:val="22"/>
          <w:szCs w:val="22"/>
        </w:rPr>
        <w:t>hours provided during the reporting period</w:t>
      </w:r>
    </w:p>
    <w:p w14:paraId="405B8C51" w14:textId="77777777" w:rsidR="00564F46" w:rsidRPr="00E746AC" w:rsidRDefault="00564F46" w:rsidP="00564F46">
      <w:pPr>
        <w:pStyle w:val="DHHSbullet1"/>
        <w:rPr>
          <w:sz w:val="22"/>
          <w:szCs w:val="22"/>
        </w:rPr>
      </w:pPr>
      <w:r>
        <w:rPr>
          <w:sz w:val="22"/>
          <w:szCs w:val="22"/>
        </w:rPr>
        <w:t>IS132: Number of Service Users with cases commenced during the reporting period</w:t>
      </w:r>
    </w:p>
    <w:p w14:paraId="3BE74C83" w14:textId="77777777" w:rsidR="00564F46" w:rsidRDefault="00564F46" w:rsidP="00564F46">
      <w:pPr>
        <w:pStyle w:val="DHHSbullet1"/>
        <w:rPr>
          <w:sz w:val="22"/>
          <w:szCs w:val="22"/>
        </w:rPr>
      </w:pPr>
      <w:r>
        <w:rPr>
          <w:sz w:val="22"/>
          <w:szCs w:val="22"/>
        </w:rPr>
        <w:t>IS133: Number of existing Service Users at the beginning of the reporting period</w:t>
      </w:r>
    </w:p>
    <w:p w14:paraId="59590332" w14:textId="5AB5F9CB" w:rsidR="00564F46" w:rsidRDefault="00564F46" w:rsidP="00FA7F0B">
      <w:pPr>
        <w:pStyle w:val="DHHSbullet1"/>
        <w:spacing w:after="120" w:line="240" w:lineRule="auto"/>
        <w:rPr>
          <w:sz w:val="22"/>
          <w:szCs w:val="22"/>
        </w:rPr>
      </w:pPr>
      <w:r w:rsidRPr="00E746AC">
        <w:rPr>
          <w:sz w:val="22"/>
          <w:szCs w:val="22"/>
        </w:rPr>
        <w:t>IS2</w:t>
      </w:r>
      <w:r>
        <w:rPr>
          <w:sz w:val="22"/>
          <w:szCs w:val="22"/>
        </w:rPr>
        <w:t>01</w:t>
      </w:r>
      <w:r w:rsidRPr="00E746AC">
        <w:rPr>
          <w:sz w:val="22"/>
          <w:szCs w:val="22"/>
        </w:rPr>
        <w:t xml:space="preserve">: Number of </w:t>
      </w:r>
      <w:r>
        <w:rPr>
          <w:sz w:val="22"/>
          <w:szCs w:val="22"/>
        </w:rPr>
        <w:t>referrals received during the reporting period</w:t>
      </w:r>
    </w:p>
    <w:p w14:paraId="0C900912" w14:textId="11AB31EC" w:rsidR="001346B9" w:rsidRPr="00DA79D9" w:rsidRDefault="001346B9" w:rsidP="00991A25">
      <w:pPr>
        <w:pStyle w:val="Heading5"/>
      </w:pPr>
      <w:r w:rsidRPr="00DA79D9">
        <w:t xml:space="preserve">2. Underlying risk factors </w:t>
      </w:r>
    </w:p>
    <w:p w14:paraId="42CAE397" w14:textId="19082375" w:rsidR="0049768A" w:rsidRDefault="001346B9" w:rsidP="0049768A">
      <w:r>
        <w:t xml:space="preserve">A range of factors </w:t>
      </w:r>
      <w:r w:rsidRPr="0026392E">
        <w:t>can impact on</w:t>
      </w:r>
      <w:r>
        <w:t xml:space="preserve"> the ability of a</w:t>
      </w:r>
      <w:r w:rsidR="00912ABD">
        <w:t>n IFS</w:t>
      </w:r>
      <w:r>
        <w:t xml:space="preserve"> provider</w:t>
      </w:r>
      <w:r w:rsidRPr="0026392E">
        <w:t xml:space="preserve"> to deliver h</w:t>
      </w:r>
      <w:r>
        <w:t xml:space="preserve">igh-quality outcomes for </w:t>
      </w:r>
      <w:r w:rsidRPr="0026392E">
        <w:t>s</w:t>
      </w:r>
      <w:r>
        <w:t>ervice users</w:t>
      </w:r>
      <w:r w:rsidR="0049768A">
        <w:t>;</w:t>
      </w:r>
      <w:r w:rsidR="00D83A68">
        <w:t xml:space="preserve"> for further detail</w:t>
      </w:r>
      <w:r w:rsidR="0049768A">
        <w:t xml:space="preserve"> see </w:t>
      </w:r>
      <w:r w:rsidR="0049768A" w:rsidRPr="00D34887">
        <w:rPr>
          <w:i/>
          <w:iCs/>
        </w:rPr>
        <w:t xml:space="preserve">Appendix </w:t>
      </w:r>
      <w:r w:rsidR="0049768A">
        <w:rPr>
          <w:i/>
          <w:iCs/>
        </w:rPr>
        <w:t>2</w:t>
      </w:r>
      <w:r w:rsidR="0049768A" w:rsidRPr="00D34887">
        <w:rPr>
          <w:i/>
          <w:iCs/>
        </w:rPr>
        <w:t>:</w:t>
      </w:r>
      <w:r w:rsidR="0049768A">
        <w:t xml:space="preserve"> </w:t>
      </w:r>
      <w:r w:rsidR="0049768A">
        <w:rPr>
          <w:i/>
          <w:iCs/>
        </w:rPr>
        <w:t>Risk factors for IFS services</w:t>
      </w:r>
      <w:r w:rsidR="00BC7686">
        <w:t>.</w:t>
      </w:r>
    </w:p>
    <w:p w14:paraId="70E37B9B" w14:textId="1846EBA6" w:rsidR="00DA18B6" w:rsidRDefault="00EF61E5" w:rsidP="00D31420">
      <w:r w:rsidRPr="00D31420">
        <w:t>While some areas of underlying performance risk may not be in the direct control of the provider</w:t>
      </w:r>
      <w:r w:rsidR="005E5DC4">
        <w:t xml:space="preserve"> – </w:t>
      </w:r>
      <w:r w:rsidRPr="00D31420">
        <w:t>for example, the size of the local recruitment pool for qualified staff</w:t>
      </w:r>
      <w:r w:rsidR="005E5DC4">
        <w:t xml:space="preserve"> or availability of step</w:t>
      </w:r>
      <w:r w:rsidR="00DA18B6">
        <w:t>-</w:t>
      </w:r>
      <w:r w:rsidR="005E5DC4">
        <w:t xml:space="preserve">down services – </w:t>
      </w:r>
      <w:r w:rsidRPr="00D31420">
        <w:t xml:space="preserve">they must still be acknowledged in the performance risk assessment. This ensures providers are </w:t>
      </w:r>
      <w:r w:rsidR="000A7674">
        <w:t>managing</w:t>
      </w:r>
      <w:r w:rsidR="000A7674" w:rsidRPr="00D31420">
        <w:t xml:space="preserve"> </w:t>
      </w:r>
      <w:r w:rsidRPr="00D31420">
        <w:t xml:space="preserve">concerns where possible and there is a shared understanding of the impact of these concerns. </w:t>
      </w:r>
    </w:p>
    <w:p w14:paraId="74B1B77A" w14:textId="48BE4826" w:rsidR="00A61C9C" w:rsidRDefault="00EF61E5" w:rsidP="00D31420">
      <w:r w:rsidRPr="00D31420">
        <w:t xml:space="preserve">The contract manager may request a provider to take reasonable steps to attempt to mitigate the impact of these factors, </w:t>
      </w:r>
      <w:r w:rsidR="00DA18B6" w:rsidRPr="00D31420">
        <w:t>e.g.</w:t>
      </w:r>
      <w:r w:rsidRPr="00D31420">
        <w:t xml:space="preserve"> </w:t>
      </w:r>
      <w:r w:rsidRPr="00D54D89">
        <w:t>adopting</w:t>
      </w:r>
      <w:r>
        <w:t xml:space="preserve"> </w:t>
      </w:r>
      <w:r w:rsidRPr="00EF61E5">
        <w:t>different recruitment approaches or trialling different delivery approaches.</w:t>
      </w:r>
      <w:r w:rsidR="002167B2">
        <w:rPr>
          <w:rStyle w:val="FootnoteReference"/>
        </w:rPr>
        <w:footnoteReference w:id="12"/>
      </w:r>
      <w:r w:rsidRPr="00EF61E5">
        <w:t xml:space="preserve"> If the </w:t>
      </w:r>
      <w:r w:rsidR="00A61C9C">
        <w:t xml:space="preserve">IFS </w:t>
      </w:r>
      <w:r w:rsidRPr="00EF61E5">
        <w:t xml:space="preserve">provider has taken reasonable steps to mitigate these factors but they continue to impact on the viability of the service, contract managers should discuss with Investment and Commissioning whether a different </w:t>
      </w:r>
      <w:r w:rsidR="000A7674">
        <w:t xml:space="preserve">approach </w:t>
      </w:r>
      <w:r w:rsidRPr="00EF61E5">
        <w:t>may be more appropriate in that particular setting.</w:t>
      </w:r>
      <w:r w:rsidR="00A61C9C">
        <w:t xml:space="preserve"> </w:t>
      </w:r>
    </w:p>
    <w:p w14:paraId="77E6A684" w14:textId="4E4013DA" w:rsidR="00EF61E5" w:rsidRDefault="00EF61E5" w:rsidP="00D31420">
      <w:r w:rsidRPr="00EF61E5">
        <w:t xml:space="preserve">It should be stressed that these factors may contribute to performance </w:t>
      </w:r>
      <w:r w:rsidRPr="00EF61E5">
        <w:rPr>
          <w:i/>
          <w:iCs/>
        </w:rPr>
        <w:t>risk</w:t>
      </w:r>
      <w:r w:rsidRPr="00EF61E5">
        <w:t>, but do not on their own constitute poor performance.</w:t>
      </w:r>
      <w:r w:rsidR="001C2820">
        <w:t xml:space="preserve"> </w:t>
      </w:r>
    </w:p>
    <w:p w14:paraId="0F489F39" w14:textId="44103C46" w:rsidR="005946D8" w:rsidRPr="004163F1" w:rsidRDefault="005946D8" w:rsidP="00991A25">
      <w:pPr>
        <w:pStyle w:val="Heading5"/>
      </w:pPr>
      <w:r w:rsidRPr="004163F1">
        <w:t xml:space="preserve">3. Third party reports and other intelligence </w:t>
      </w:r>
    </w:p>
    <w:p w14:paraId="3F7DB666" w14:textId="1B892B72" w:rsidR="005946D8" w:rsidRPr="005946D8" w:rsidRDefault="005946D8" w:rsidP="002B39D8">
      <w:r w:rsidRPr="005946D8">
        <w:t xml:space="preserve">From time to time the contract manager will become aware of performance issues or risks through third parties, including Child Safety Service Centres, </w:t>
      </w:r>
      <w:r w:rsidR="00756453">
        <w:t>Human Service Quality Framework (HSQF)</w:t>
      </w:r>
      <w:r w:rsidR="00513834">
        <w:t xml:space="preserve"> audits</w:t>
      </w:r>
      <w:r w:rsidR="00756453">
        <w:t xml:space="preserve">, </w:t>
      </w:r>
      <w:r w:rsidRPr="005946D8">
        <w:t xml:space="preserve">other funding bodies, government departments or verified complaints. Sometimes client feedback may identify potential service improvements. </w:t>
      </w:r>
    </w:p>
    <w:p w14:paraId="54CB391A" w14:textId="5FEC773F" w:rsidR="005946D8" w:rsidRDefault="005946D8" w:rsidP="002B39D8">
      <w:r w:rsidRPr="005946D8">
        <w:t>Alternatively, program evaluations, independent reviews or commissions of inquiry may identify aspects of a service model that require reform to deliver improved outcomes for service users.</w:t>
      </w:r>
    </w:p>
    <w:p w14:paraId="012E2C99" w14:textId="6D4EC7FF" w:rsidR="003E0373" w:rsidRPr="008F38F8" w:rsidRDefault="003E0373" w:rsidP="00991A25">
      <w:pPr>
        <w:pStyle w:val="Heading4"/>
      </w:pPr>
      <w:bookmarkStart w:id="156" w:name="_Toc81561756"/>
      <w:r w:rsidRPr="008F38F8">
        <w:lastRenderedPageBreak/>
        <w:t>Step 2 – Analyse performance</w:t>
      </w:r>
      <w:bookmarkEnd w:id="156"/>
    </w:p>
    <w:p w14:paraId="5D85AFCC" w14:textId="60CEDBC3" w:rsidR="00166A8E" w:rsidRPr="00166A8E" w:rsidRDefault="00166A8E" w:rsidP="00166A8E">
      <w:pPr>
        <w:rPr>
          <w:i/>
          <w:iCs/>
        </w:rPr>
      </w:pPr>
      <w:r>
        <w:t xml:space="preserve">For further detail on key questions that can help inform the assessment of IFS performance, see: </w:t>
      </w:r>
      <w:r>
        <w:rPr>
          <w:i/>
          <w:iCs/>
        </w:rPr>
        <w:t>Appendix 3: IFS performance assessment.</w:t>
      </w:r>
    </w:p>
    <w:p w14:paraId="7D7DC677" w14:textId="61ED3BAB" w:rsidR="00EB3691" w:rsidRPr="005A1762" w:rsidRDefault="00EB3691" w:rsidP="005A1762">
      <w:pPr>
        <w:rPr>
          <w:rFonts w:asciiTheme="minorHAnsi" w:hAnsiTheme="minorHAnsi" w:cs="Calibri"/>
          <w:b/>
          <w:bCs/>
          <w:szCs w:val="22"/>
        </w:rPr>
      </w:pPr>
      <w:r w:rsidRPr="005A1762">
        <w:rPr>
          <w:b/>
          <w:bCs/>
        </w:rPr>
        <w:t>A risk rating is determined for each performance category</w:t>
      </w:r>
    </w:p>
    <w:p w14:paraId="0DBCD0F1" w14:textId="450C9E8A" w:rsidR="00EB3691" w:rsidRPr="00EB3691" w:rsidRDefault="00EB3691" w:rsidP="005A1762">
      <w:r w:rsidRPr="00EB3691">
        <w:rPr>
          <w:lang w:eastAsia="en-AU"/>
        </w:rPr>
        <w:t>Analysis is undertaken for each of the three performance input categories</w:t>
      </w:r>
      <w:r w:rsidR="000B10EE">
        <w:rPr>
          <w:lang w:eastAsia="en-AU"/>
        </w:rPr>
        <w:t xml:space="preserve"> – performance measures and outcomes, underlying risk factors, and </w:t>
      </w:r>
      <w:r w:rsidR="00D010E1">
        <w:rPr>
          <w:lang w:eastAsia="en-AU"/>
        </w:rPr>
        <w:t>third-party</w:t>
      </w:r>
      <w:r w:rsidR="000B10EE">
        <w:rPr>
          <w:lang w:eastAsia="en-AU"/>
        </w:rPr>
        <w:t xml:space="preserve"> reports/other intelligence </w:t>
      </w:r>
      <w:r w:rsidR="00211B42">
        <w:rPr>
          <w:lang w:eastAsia="en-AU"/>
        </w:rPr>
        <w:t xml:space="preserve">– </w:t>
      </w:r>
      <w:r w:rsidR="00211B42" w:rsidRPr="00EB3691">
        <w:rPr>
          <w:lang w:eastAsia="en-AU"/>
        </w:rPr>
        <w:t>to</w:t>
      </w:r>
      <w:r w:rsidRPr="00EB3691">
        <w:rPr>
          <w:lang w:eastAsia="en-AU"/>
        </w:rPr>
        <w:t xml:space="preserve"> determine a risk rating fo</w:t>
      </w:r>
      <w:r w:rsidRPr="00EB3691">
        <w:t>r each performance category.</w:t>
      </w:r>
    </w:p>
    <w:p w14:paraId="20422BBC" w14:textId="77777777" w:rsidR="00EB3691" w:rsidRPr="005A1762" w:rsidRDefault="00EB3691" w:rsidP="005A1762">
      <w:pPr>
        <w:pStyle w:val="Heading4"/>
        <w:rPr>
          <w:sz w:val="22"/>
          <w:szCs w:val="22"/>
        </w:rPr>
      </w:pPr>
      <w:r w:rsidRPr="005A1762">
        <w:rPr>
          <w:sz w:val="22"/>
          <w:szCs w:val="22"/>
        </w:rPr>
        <w:t xml:space="preserve">Determining a rating for performance measures </w:t>
      </w:r>
    </w:p>
    <w:p w14:paraId="2594A19E" w14:textId="41AF922C" w:rsidR="00EB3691" w:rsidRPr="0026392E" w:rsidRDefault="00EB3691" w:rsidP="005A1762">
      <w:r w:rsidRPr="0026392E">
        <w:t xml:space="preserve">Higher </w:t>
      </w:r>
      <w:r w:rsidR="000C21EB">
        <w:t xml:space="preserve">risk </w:t>
      </w:r>
      <w:r w:rsidRPr="0026392E">
        <w:t xml:space="preserve">ratings are assigned where a larger proportion of the </w:t>
      </w:r>
      <w:r>
        <w:t>performance measures</w:t>
      </w:r>
      <w:r w:rsidRPr="0026392E">
        <w:t xml:space="preserve"> are not met and </w:t>
      </w:r>
      <w:r>
        <w:t>are</w:t>
      </w:r>
      <w:r w:rsidRPr="0026392E">
        <w:t xml:space="preserve"> </w:t>
      </w:r>
      <w:r w:rsidR="000C21EB">
        <w:t>declining</w:t>
      </w:r>
      <w:r w:rsidRPr="0026392E">
        <w:t xml:space="preserve">. </w:t>
      </w:r>
    </w:p>
    <w:p w14:paraId="21FFDD54" w14:textId="0D11E9F4" w:rsidR="00BB0EEE" w:rsidRDefault="00EB3691" w:rsidP="00BB0EEE">
      <w:r>
        <w:t xml:space="preserve">As noted above, performance against some </w:t>
      </w:r>
      <w:r w:rsidRPr="00FD4E81">
        <w:t>targets can fluctuate significantly across reporting periods, particularly where client numbers are relatively small.</w:t>
      </w:r>
      <w:r>
        <w:t xml:space="preserve"> This will be particularly true of outcome indicators.</w:t>
      </w:r>
      <w:r w:rsidRPr="00FD4E81">
        <w:t xml:space="preserve"> </w:t>
      </w:r>
      <w:r w:rsidR="00BB0EEE">
        <w:t xml:space="preserve">Since IFS cases have a long duration lasting a minimum of </w:t>
      </w:r>
      <w:r w:rsidR="0054464A">
        <w:t>six</w:t>
      </w:r>
      <w:r w:rsidR="006F0F00">
        <w:t xml:space="preserve"> to</w:t>
      </w:r>
      <w:r w:rsidR="009A3F7A">
        <w:t xml:space="preserve"> </w:t>
      </w:r>
      <w:r w:rsidR="0054464A">
        <w:t>nine</w:t>
      </w:r>
      <w:r w:rsidR="00BB0EEE">
        <w:t xml:space="preserve"> months, contract managers should consider performance across multiple reporting periods</w:t>
      </w:r>
      <w:r w:rsidR="00BD1765">
        <w:t xml:space="preserve">, rather than reacting to a change in performance evident within a single period. </w:t>
      </w:r>
      <w:r w:rsidR="00BB0EEE" w:rsidRPr="00BD1E21">
        <w:t>A</w:t>
      </w:r>
      <w:r w:rsidR="00BB0EEE">
        <w:t xml:space="preserve"> decline in performance in a single reporting period may trigger a watching brief to assess whether the change is sustained.</w:t>
      </w:r>
    </w:p>
    <w:p w14:paraId="5208E777" w14:textId="61F937F6" w:rsidR="00EB3691" w:rsidRDefault="00EB3691" w:rsidP="005A1762">
      <w:r>
        <w:t xml:space="preserve">A lower level of performance in a single reporting period may reflect the complexity of a particular group of clients, rather than the quality of the support offered by the </w:t>
      </w:r>
      <w:r w:rsidR="00BB0EEE">
        <w:t xml:space="preserve">IFS </w:t>
      </w:r>
      <w:r>
        <w:t>provider. For this reason, it is critical for contract managers to consider both the performance against the target in that reporting period and the longer-term trend in performance in assigning a risk rating.</w:t>
      </w:r>
      <w:r w:rsidR="00BB0EEE">
        <w:t xml:space="preserve"> </w:t>
      </w:r>
    </w:p>
    <w:p w14:paraId="47E8E6C4" w14:textId="4F5FA767" w:rsidR="00211B42" w:rsidRDefault="00442E65" w:rsidP="005A1762">
      <w:r>
        <w:t>In determining a rating, g</w:t>
      </w:r>
      <w:r w:rsidR="00211B42">
        <w:t xml:space="preserve">reater weight should be given </w:t>
      </w:r>
      <w:r>
        <w:t>to primary IFS performance measures, namely:</w:t>
      </w:r>
      <w:r w:rsidR="00C2161C">
        <w:rPr>
          <w:rStyle w:val="FootnoteReference"/>
        </w:rPr>
        <w:footnoteReference w:id="13"/>
      </w:r>
      <w:r>
        <w:t xml:space="preserve"> </w:t>
      </w:r>
    </w:p>
    <w:p w14:paraId="4D32EC56" w14:textId="065F84B7" w:rsidR="00211B42" w:rsidRPr="00E746AC" w:rsidRDefault="00211B42" w:rsidP="00211B42">
      <w:pPr>
        <w:pStyle w:val="DHHSbullet1"/>
        <w:rPr>
          <w:sz w:val="22"/>
          <w:szCs w:val="22"/>
        </w:rPr>
      </w:pPr>
      <w:r w:rsidRPr="00E746AC">
        <w:rPr>
          <w:sz w:val="22"/>
          <w:szCs w:val="22"/>
        </w:rPr>
        <w:t>IS134: Number of Service Users engaged</w:t>
      </w:r>
      <w:r w:rsidR="00442E65">
        <w:rPr>
          <w:sz w:val="22"/>
          <w:szCs w:val="22"/>
        </w:rPr>
        <w:t xml:space="preserve"> (set at 75% of the total number of potential support cases)</w:t>
      </w:r>
    </w:p>
    <w:p w14:paraId="35A1764F" w14:textId="66707454" w:rsidR="00211B42" w:rsidRDefault="00211B42" w:rsidP="00211B42">
      <w:pPr>
        <w:pStyle w:val="DHHSbullet1"/>
        <w:spacing w:after="240"/>
        <w:rPr>
          <w:sz w:val="22"/>
          <w:szCs w:val="22"/>
        </w:rPr>
      </w:pPr>
      <w:r w:rsidRPr="00E746AC">
        <w:rPr>
          <w:sz w:val="22"/>
          <w:szCs w:val="22"/>
        </w:rPr>
        <w:t>OM4.1.01: Number of Service Users with cases closed with all or majority of case plan goals achieved</w:t>
      </w:r>
      <w:r w:rsidR="00442E65">
        <w:rPr>
          <w:sz w:val="22"/>
          <w:szCs w:val="22"/>
        </w:rPr>
        <w:t xml:space="preserve"> (set at 40% of the target number of in-scope Service Users)</w:t>
      </w:r>
    </w:p>
    <w:p w14:paraId="032BB122" w14:textId="53A472A4" w:rsidR="005540BA" w:rsidRDefault="005540BA" w:rsidP="005540BA">
      <w:pPr>
        <w:pStyle w:val="Heading4"/>
      </w:pPr>
      <w:r>
        <w:t>Step 3 – Assess monitoring, support and intervention level</w:t>
      </w:r>
    </w:p>
    <w:p w14:paraId="4E0A3703" w14:textId="79E52F68" w:rsidR="001D2646" w:rsidRDefault="001D2646" w:rsidP="001D2646">
      <w:r>
        <w:t>The framework includes four levels of monitoring, support and intervention:</w:t>
      </w:r>
    </w:p>
    <w:p w14:paraId="6858AA41" w14:textId="511988BA" w:rsidR="001D2646" w:rsidRDefault="001D2646" w:rsidP="001D2646">
      <w:pPr>
        <w:pStyle w:val="ListParagraph"/>
        <w:numPr>
          <w:ilvl w:val="0"/>
          <w:numId w:val="43"/>
        </w:numPr>
      </w:pPr>
      <w:r>
        <w:t>Superior</w:t>
      </w:r>
    </w:p>
    <w:p w14:paraId="5B9F2C33" w14:textId="718E0167" w:rsidR="001D2646" w:rsidRDefault="001D2646" w:rsidP="001D2646">
      <w:pPr>
        <w:pStyle w:val="ListParagraph"/>
        <w:numPr>
          <w:ilvl w:val="0"/>
          <w:numId w:val="43"/>
        </w:numPr>
      </w:pPr>
      <w:r>
        <w:t>Standard</w:t>
      </w:r>
    </w:p>
    <w:p w14:paraId="6FD8BAC9" w14:textId="7018CCE5" w:rsidR="001D2646" w:rsidRDefault="001D2646" w:rsidP="001D2646">
      <w:pPr>
        <w:pStyle w:val="ListParagraph"/>
        <w:numPr>
          <w:ilvl w:val="0"/>
          <w:numId w:val="43"/>
        </w:numPr>
      </w:pPr>
      <w:r>
        <w:t>Performance support</w:t>
      </w:r>
    </w:p>
    <w:p w14:paraId="027951F9" w14:textId="6F2003AE" w:rsidR="001D2646" w:rsidRDefault="001D2646" w:rsidP="001D2646">
      <w:pPr>
        <w:pStyle w:val="ListParagraph"/>
        <w:numPr>
          <w:ilvl w:val="0"/>
          <w:numId w:val="43"/>
        </w:numPr>
      </w:pPr>
      <w:r>
        <w:t>Intensive monitoring and support</w:t>
      </w:r>
    </w:p>
    <w:p w14:paraId="3A3A27DE" w14:textId="69E6287E" w:rsidR="001D2646" w:rsidRDefault="001D2646" w:rsidP="001D2646">
      <w:r>
        <w:t xml:space="preserve">Refer to section </w:t>
      </w:r>
      <w:r w:rsidRPr="001D2646">
        <w:rPr>
          <w:i/>
          <w:iCs/>
        </w:rPr>
        <w:t>6.4.3 Assessing overall performance</w:t>
      </w:r>
      <w:r>
        <w:t xml:space="preserve"> in the performance framework for further guidance in making this assessment.</w:t>
      </w:r>
    </w:p>
    <w:p w14:paraId="70E7D550" w14:textId="2BE59FEA" w:rsidR="005540BA" w:rsidRDefault="00556AE7" w:rsidP="00556AE7">
      <w:pPr>
        <w:pStyle w:val="Heading4"/>
      </w:pPr>
      <w:r>
        <w:t>Step 4 – Addressing performance concerns</w:t>
      </w:r>
    </w:p>
    <w:p w14:paraId="01B39D8A" w14:textId="17E27470" w:rsidR="003B226A" w:rsidRDefault="003B226A" w:rsidP="003B226A">
      <w:r w:rsidRPr="0026392E">
        <w:t>Once performance flags have been raised</w:t>
      </w:r>
      <w:r>
        <w:t xml:space="preserve"> and overall monitoring level determined,</w:t>
      </w:r>
      <w:r w:rsidRPr="0026392E">
        <w:t xml:space="preserve"> </w:t>
      </w:r>
      <w:r>
        <w:t xml:space="preserve">the provider and the contract manager jointly </w:t>
      </w:r>
      <w:r w:rsidRPr="0026392E">
        <w:t>develop a performance improvement plan</w:t>
      </w:r>
      <w:r>
        <w:t xml:space="preserve">. Refer to section </w:t>
      </w:r>
      <w:r w:rsidRPr="001D2646">
        <w:rPr>
          <w:i/>
          <w:iCs/>
        </w:rPr>
        <w:t>6.4.3 Assessing overall performance</w:t>
      </w:r>
      <w:r>
        <w:t xml:space="preserve"> in the performance framework for further details on how to resolve performance concerns. </w:t>
      </w:r>
    </w:p>
    <w:p w14:paraId="269FA4F3" w14:textId="44454BB2" w:rsidR="00E31BE4" w:rsidRDefault="003B226A" w:rsidP="003B226A">
      <w:pPr>
        <w:rPr>
          <w:rFonts w:eastAsiaTheme="majorEastAsia" w:cstheme="majorBidi"/>
          <w:b/>
          <w:color w:val="783772"/>
          <w:sz w:val="28"/>
          <w:szCs w:val="26"/>
        </w:rPr>
      </w:pPr>
      <w:r>
        <w:rPr>
          <w:szCs w:val="22"/>
        </w:rPr>
        <w:lastRenderedPageBreak/>
        <w:t>Once the overall performance assessment is completed, the suggested monitoring level is then matched to the recommend</w:t>
      </w:r>
      <w:r w:rsidR="00DD68C2">
        <w:rPr>
          <w:szCs w:val="22"/>
        </w:rPr>
        <w:t>ed</w:t>
      </w:r>
      <w:r>
        <w:rPr>
          <w:szCs w:val="22"/>
        </w:rPr>
        <w:t xml:space="preserve"> level of contract management support to identify the suggested frequency for SCM meetings; see section </w:t>
      </w:r>
      <w:r w:rsidRPr="003B226A">
        <w:rPr>
          <w:i/>
          <w:iCs/>
          <w:szCs w:val="22"/>
        </w:rPr>
        <w:t>6.4.4 Determining meeting frequency</w:t>
      </w:r>
      <w:r>
        <w:rPr>
          <w:szCs w:val="22"/>
        </w:rPr>
        <w:t xml:space="preserve"> in the performance framework for further information.</w:t>
      </w:r>
      <w:bookmarkStart w:id="157" w:name="_Toc457207871"/>
      <w:bookmarkStart w:id="158" w:name="_Toc15371456"/>
      <w:r w:rsidR="00E31BE4">
        <w:br w:type="page"/>
      </w:r>
    </w:p>
    <w:p w14:paraId="463CF956" w14:textId="2EEBC98B" w:rsidR="00EB4973" w:rsidRDefault="00EB4973" w:rsidP="00EB4973">
      <w:pPr>
        <w:pStyle w:val="Heading2"/>
      </w:pPr>
      <w:r>
        <w:lastRenderedPageBreak/>
        <w:t xml:space="preserve">Appendix 1: </w:t>
      </w:r>
      <w:bookmarkEnd w:id="157"/>
      <w:bookmarkEnd w:id="158"/>
      <w:r w:rsidR="00EE5284">
        <w:t>Factors influencing s</w:t>
      </w:r>
      <w:r>
        <w:t xml:space="preserve">uggested </w:t>
      </w:r>
      <w:r w:rsidR="00EE5284">
        <w:t xml:space="preserve">tolerance </w:t>
      </w:r>
      <w:r>
        <w:t xml:space="preserve">levels </w:t>
      </w:r>
      <w:r w:rsidR="00EE5284">
        <w:t>for IFS</w:t>
      </w:r>
      <w:r>
        <w:t xml:space="preserve"> service</w:t>
      </w:r>
      <w:r w:rsidR="00EE5284">
        <w:t>s</w:t>
      </w:r>
    </w:p>
    <w:p w14:paraId="33D07C76" w14:textId="0649D783" w:rsidR="00EB4973" w:rsidRDefault="00EE5284" w:rsidP="0040245F">
      <w:r>
        <w:t>Contract officers may modify s</w:t>
      </w:r>
      <w:r w:rsidR="00EB4973" w:rsidRPr="00D42897">
        <w:t xml:space="preserve">uggested </w:t>
      </w:r>
      <w:r>
        <w:t xml:space="preserve">tolerance </w:t>
      </w:r>
      <w:r w:rsidR="00EB4973">
        <w:t>level</w:t>
      </w:r>
      <w:r>
        <w:t>s</w:t>
      </w:r>
      <w:r w:rsidR="00EB4973">
        <w:t xml:space="preserve"> based on assumptions regarding:</w:t>
      </w:r>
    </w:p>
    <w:p w14:paraId="20492088" w14:textId="3E77FE24" w:rsidR="00EE5284" w:rsidRPr="00041D98" w:rsidRDefault="00EE5284" w:rsidP="007A5162">
      <w:pPr>
        <w:pStyle w:val="DHHSbullet1"/>
        <w:spacing w:before="40"/>
        <w:rPr>
          <w:sz w:val="22"/>
          <w:szCs w:val="22"/>
        </w:rPr>
      </w:pPr>
      <w:r w:rsidRPr="00041D98">
        <w:rPr>
          <w:sz w:val="22"/>
          <w:szCs w:val="22"/>
        </w:rPr>
        <w:t>case complexity</w:t>
      </w:r>
    </w:p>
    <w:p w14:paraId="1C5D6DB1" w14:textId="6678BD66" w:rsidR="00EE5284" w:rsidRPr="00041D98" w:rsidRDefault="00EE5284" w:rsidP="0040245F">
      <w:pPr>
        <w:pStyle w:val="DHHSbullet1"/>
        <w:rPr>
          <w:sz w:val="22"/>
          <w:szCs w:val="22"/>
        </w:rPr>
      </w:pPr>
      <w:r w:rsidRPr="00041D98">
        <w:rPr>
          <w:sz w:val="22"/>
          <w:szCs w:val="22"/>
        </w:rPr>
        <w:t>primary referrer source</w:t>
      </w:r>
    </w:p>
    <w:p w14:paraId="4106ECA3" w14:textId="19E46975" w:rsidR="00EE5284" w:rsidRPr="00041D98" w:rsidRDefault="00EE5284" w:rsidP="0040245F">
      <w:pPr>
        <w:pStyle w:val="DHHSbullet1"/>
        <w:rPr>
          <w:sz w:val="22"/>
          <w:szCs w:val="22"/>
        </w:rPr>
      </w:pPr>
      <w:r w:rsidRPr="00041D98">
        <w:rPr>
          <w:sz w:val="22"/>
          <w:szCs w:val="22"/>
        </w:rPr>
        <w:t>average length of intervention</w:t>
      </w:r>
    </w:p>
    <w:p w14:paraId="01EF6202" w14:textId="2ED6188E" w:rsidR="00EE5284" w:rsidRPr="00041D98" w:rsidRDefault="00EE5284" w:rsidP="007A5162">
      <w:pPr>
        <w:pStyle w:val="DHHSbullet1"/>
        <w:rPr>
          <w:sz w:val="22"/>
          <w:szCs w:val="22"/>
        </w:rPr>
      </w:pPr>
      <w:r w:rsidRPr="00041D98">
        <w:rPr>
          <w:sz w:val="22"/>
          <w:szCs w:val="22"/>
        </w:rPr>
        <w:t>regional/geographical variables</w:t>
      </w:r>
    </w:p>
    <w:p w14:paraId="366AB903" w14:textId="4D1ECC75" w:rsidR="00EE5284" w:rsidRDefault="00EE5284" w:rsidP="0040245F">
      <w:r>
        <w:t>The following state-wide IFS data for 202</w:t>
      </w:r>
      <w:r w:rsidR="00BB1E71">
        <w:t>2</w:t>
      </w:r>
      <w:r>
        <w:t xml:space="preserve"> provides some guidance, although these factors may change over time in response to program level or other developments.</w:t>
      </w:r>
    </w:p>
    <w:p w14:paraId="587A9B0E" w14:textId="77777777" w:rsidR="0029751F" w:rsidRDefault="0029751F" w:rsidP="0029751F">
      <w:r>
        <w:rPr>
          <w:u w:val="single"/>
        </w:rPr>
        <w:t>Case complexity</w:t>
      </w:r>
    </w:p>
    <w:p w14:paraId="729B5C99" w14:textId="778E33EF" w:rsidR="0029751F" w:rsidRDefault="0029751F" w:rsidP="0029751F">
      <w:r>
        <w:t>It is likely that CSSC, RIS and Police referrals will generally be more complex in nature than referrals from other sources, with multiple presenting concerns.</w:t>
      </w:r>
      <w:r w:rsidR="00DE1DDD">
        <w:rPr>
          <w:rStyle w:val="FootnoteReference"/>
        </w:rPr>
        <w:footnoteReference w:id="14"/>
      </w:r>
    </w:p>
    <w:p w14:paraId="05D9974B" w14:textId="36F27AC1" w:rsidR="00EE5284" w:rsidRPr="00EE5284" w:rsidRDefault="00EE5284" w:rsidP="0040245F">
      <w:pPr>
        <w:rPr>
          <w:u w:val="single"/>
        </w:rPr>
      </w:pPr>
      <w:r>
        <w:rPr>
          <w:u w:val="single"/>
        </w:rPr>
        <w:t>Consent</w:t>
      </w:r>
    </w:p>
    <w:p w14:paraId="1001A43F" w14:textId="77777777" w:rsidR="00EE5284" w:rsidRPr="00EE5284" w:rsidRDefault="00EE5284" w:rsidP="00EE5284">
      <w:pPr>
        <w:rPr>
          <w:szCs w:val="22"/>
        </w:rPr>
      </w:pPr>
      <w:r w:rsidRPr="00EE5284">
        <w:rPr>
          <w:szCs w:val="22"/>
        </w:rPr>
        <w:t>Consent patterns differ greatly depending on the referrer source:</w:t>
      </w:r>
    </w:p>
    <w:p w14:paraId="2A06CE51" w14:textId="768ADB5A" w:rsidR="00EE5284" w:rsidRPr="00041D98" w:rsidRDefault="00EE5284" w:rsidP="00E71F12">
      <w:pPr>
        <w:pStyle w:val="ListParagraph"/>
        <w:numPr>
          <w:ilvl w:val="0"/>
          <w:numId w:val="10"/>
        </w:numPr>
        <w:spacing w:before="0" w:after="160" w:line="259" w:lineRule="auto"/>
        <w:rPr>
          <w:szCs w:val="22"/>
        </w:rPr>
      </w:pPr>
      <w:r w:rsidRPr="00041D98">
        <w:rPr>
          <w:szCs w:val="22"/>
        </w:rPr>
        <w:t>The highest consent rate is for self-referrals</w:t>
      </w:r>
      <w:r w:rsidR="00CC77AF">
        <w:rPr>
          <w:szCs w:val="22"/>
        </w:rPr>
        <w:t xml:space="preserve"> </w:t>
      </w:r>
      <w:r w:rsidRPr="00041D98">
        <w:rPr>
          <w:szCs w:val="22"/>
        </w:rPr>
        <w:t>(</w:t>
      </w:r>
      <w:r w:rsidR="00E40CFD">
        <w:rPr>
          <w:szCs w:val="22"/>
        </w:rPr>
        <w:t>8</w:t>
      </w:r>
      <w:r w:rsidR="006D41FE">
        <w:rPr>
          <w:szCs w:val="22"/>
        </w:rPr>
        <w:t>8</w:t>
      </w:r>
      <w:r w:rsidRPr="00041D98">
        <w:rPr>
          <w:szCs w:val="22"/>
        </w:rPr>
        <w:t>.</w:t>
      </w:r>
      <w:r w:rsidR="006D41FE">
        <w:rPr>
          <w:szCs w:val="22"/>
        </w:rPr>
        <w:t>8</w:t>
      </w:r>
      <w:r w:rsidRPr="00041D98">
        <w:rPr>
          <w:szCs w:val="22"/>
        </w:rPr>
        <w:t>%).</w:t>
      </w:r>
    </w:p>
    <w:p w14:paraId="6225D390" w14:textId="65AF9108" w:rsidR="00EE5284" w:rsidRPr="00041D98" w:rsidRDefault="00EE5284" w:rsidP="00E71F12">
      <w:pPr>
        <w:pStyle w:val="ListParagraph"/>
        <w:numPr>
          <w:ilvl w:val="0"/>
          <w:numId w:val="10"/>
        </w:numPr>
        <w:spacing w:before="0" w:after="160" w:line="259" w:lineRule="auto"/>
        <w:rPr>
          <w:szCs w:val="22"/>
        </w:rPr>
      </w:pPr>
      <w:r w:rsidRPr="00041D98">
        <w:rPr>
          <w:szCs w:val="22"/>
        </w:rPr>
        <w:t xml:space="preserve">High consent rates result from </w:t>
      </w:r>
      <w:r w:rsidR="00E40CFD">
        <w:rPr>
          <w:szCs w:val="22"/>
        </w:rPr>
        <w:t>FaCC (8</w:t>
      </w:r>
      <w:r w:rsidR="006D41FE">
        <w:rPr>
          <w:szCs w:val="22"/>
        </w:rPr>
        <w:t>4.3</w:t>
      </w:r>
      <w:r w:rsidR="00E40CFD">
        <w:rPr>
          <w:szCs w:val="22"/>
        </w:rPr>
        <w:t xml:space="preserve">%), </w:t>
      </w:r>
      <w:r w:rsidR="00EB6478" w:rsidRPr="00041D98">
        <w:rPr>
          <w:szCs w:val="22"/>
        </w:rPr>
        <w:t>other non-prescribed entities (</w:t>
      </w:r>
      <w:r w:rsidR="00EB6478">
        <w:rPr>
          <w:szCs w:val="22"/>
        </w:rPr>
        <w:t>80</w:t>
      </w:r>
      <w:r w:rsidR="00EB6478" w:rsidRPr="00041D98">
        <w:rPr>
          <w:szCs w:val="22"/>
        </w:rPr>
        <w:t>.</w:t>
      </w:r>
      <w:r w:rsidR="00EB6478">
        <w:rPr>
          <w:szCs w:val="22"/>
        </w:rPr>
        <w:t>2</w:t>
      </w:r>
      <w:r w:rsidR="00EB6478" w:rsidRPr="00041D98">
        <w:rPr>
          <w:szCs w:val="22"/>
        </w:rPr>
        <w:t>%)</w:t>
      </w:r>
      <w:r w:rsidR="00EB6478" w:rsidRPr="00041D98">
        <w:rPr>
          <w:rStyle w:val="FootnoteReference"/>
          <w:szCs w:val="22"/>
        </w:rPr>
        <w:footnoteReference w:id="15"/>
      </w:r>
      <w:r w:rsidR="00EB6478">
        <w:rPr>
          <w:szCs w:val="22"/>
        </w:rPr>
        <w:t xml:space="preserve"> and </w:t>
      </w:r>
      <w:r w:rsidRPr="00041D98">
        <w:rPr>
          <w:szCs w:val="22"/>
        </w:rPr>
        <w:t>other prescribed entities</w:t>
      </w:r>
      <w:r w:rsidR="00EB6478">
        <w:rPr>
          <w:szCs w:val="22"/>
        </w:rPr>
        <w:t xml:space="preserve"> refe</w:t>
      </w:r>
      <w:r w:rsidR="002F349F">
        <w:rPr>
          <w:szCs w:val="22"/>
        </w:rPr>
        <w:t>rrals (79.3%).</w:t>
      </w:r>
      <w:r w:rsidR="007A5162" w:rsidRPr="00041D98">
        <w:rPr>
          <w:rStyle w:val="FootnoteReference"/>
          <w:szCs w:val="22"/>
        </w:rPr>
        <w:footnoteReference w:id="16"/>
      </w:r>
      <w:r w:rsidRPr="00041D98">
        <w:rPr>
          <w:szCs w:val="22"/>
        </w:rPr>
        <w:t xml:space="preserve"> </w:t>
      </w:r>
    </w:p>
    <w:p w14:paraId="603228DB" w14:textId="0249BBF2" w:rsidR="00EE5284" w:rsidRPr="00041D98" w:rsidRDefault="00EE5284" w:rsidP="00E71F12">
      <w:pPr>
        <w:pStyle w:val="ListParagraph"/>
        <w:numPr>
          <w:ilvl w:val="0"/>
          <w:numId w:val="10"/>
        </w:numPr>
        <w:spacing w:before="0" w:after="160" w:line="259" w:lineRule="auto"/>
        <w:rPr>
          <w:szCs w:val="22"/>
        </w:rPr>
      </w:pPr>
      <w:r w:rsidRPr="00041D98">
        <w:rPr>
          <w:szCs w:val="22"/>
        </w:rPr>
        <w:t>Moderate consent rates result from Health (6</w:t>
      </w:r>
      <w:r w:rsidR="006D41FE">
        <w:rPr>
          <w:szCs w:val="22"/>
        </w:rPr>
        <w:t>8</w:t>
      </w:r>
      <w:r w:rsidRPr="00041D98">
        <w:rPr>
          <w:szCs w:val="22"/>
        </w:rPr>
        <w:t>.</w:t>
      </w:r>
      <w:r w:rsidR="006D41FE">
        <w:rPr>
          <w:szCs w:val="22"/>
        </w:rPr>
        <w:t>8</w:t>
      </w:r>
      <w:r w:rsidRPr="00041D98">
        <w:rPr>
          <w:szCs w:val="22"/>
        </w:rPr>
        <w:t xml:space="preserve">%), </w:t>
      </w:r>
      <w:r w:rsidR="002F349F" w:rsidRPr="00041D98">
        <w:rPr>
          <w:szCs w:val="22"/>
        </w:rPr>
        <w:t>Education (6</w:t>
      </w:r>
      <w:r w:rsidR="002F349F">
        <w:rPr>
          <w:szCs w:val="22"/>
        </w:rPr>
        <w:t>5.7</w:t>
      </w:r>
      <w:r w:rsidR="002F349F" w:rsidRPr="00041D98">
        <w:rPr>
          <w:szCs w:val="22"/>
        </w:rPr>
        <w:t>%)</w:t>
      </w:r>
      <w:r w:rsidR="002F349F">
        <w:rPr>
          <w:szCs w:val="22"/>
        </w:rPr>
        <w:t xml:space="preserve"> and </w:t>
      </w:r>
      <w:r w:rsidR="00CC77AF">
        <w:rPr>
          <w:szCs w:val="22"/>
        </w:rPr>
        <w:t>CSSC (6</w:t>
      </w:r>
      <w:r w:rsidR="006D41FE">
        <w:rPr>
          <w:szCs w:val="22"/>
        </w:rPr>
        <w:t>0</w:t>
      </w:r>
      <w:r w:rsidR="00CC77AF">
        <w:rPr>
          <w:szCs w:val="22"/>
        </w:rPr>
        <w:t xml:space="preserve">.1%) </w:t>
      </w:r>
      <w:r w:rsidR="002F349F">
        <w:rPr>
          <w:szCs w:val="22"/>
        </w:rPr>
        <w:t>referrals</w:t>
      </w:r>
      <w:r w:rsidRPr="00041D98">
        <w:rPr>
          <w:szCs w:val="22"/>
        </w:rPr>
        <w:t>.</w:t>
      </w:r>
    </w:p>
    <w:p w14:paraId="7F5648D3" w14:textId="6603E2D5" w:rsidR="00EE5284" w:rsidRPr="00041D98" w:rsidRDefault="00EE5284" w:rsidP="00E71F12">
      <w:pPr>
        <w:pStyle w:val="ListParagraph"/>
        <w:numPr>
          <w:ilvl w:val="0"/>
          <w:numId w:val="10"/>
        </w:numPr>
        <w:spacing w:before="0" w:after="160" w:line="259" w:lineRule="auto"/>
        <w:rPr>
          <w:szCs w:val="22"/>
        </w:rPr>
      </w:pPr>
      <w:r w:rsidRPr="00041D98">
        <w:rPr>
          <w:szCs w:val="22"/>
        </w:rPr>
        <w:t xml:space="preserve">Lower consent rates result from </w:t>
      </w:r>
      <w:r w:rsidR="00CC77AF">
        <w:rPr>
          <w:szCs w:val="22"/>
        </w:rPr>
        <w:t>Child Safety RIS (</w:t>
      </w:r>
      <w:r w:rsidR="006D41FE">
        <w:rPr>
          <w:szCs w:val="22"/>
        </w:rPr>
        <w:t>54</w:t>
      </w:r>
      <w:r w:rsidR="00CC77AF">
        <w:rPr>
          <w:szCs w:val="22"/>
        </w:rPr>
        <w:t>.</w:t>
      </w:r>
      <w:r w:rsidR="006D41FE">
        <w:rPr>
          <w:szCs w:val="22"/>
        </w:rPr>
        <w:t>9</w:t>
      </w:r>
      <w:r w:rsidR="00CC77AF">
        <w:rPr>
          <w:szCs w:val="22"/>
        </w:rPr>
        <w:t xml:space="preserve">%) and </w:t>
      </w:r>
      <w:r w:rsidRPr="00041D98">
        <w:rPr>
          <w:szCs w:val="22"/>
        </w:rPr>
        <w:t xml:space="preserve">Police </w:t>
      </w:r>
      <w:r w:rsidR="00CC77AF">
        <w:rPr>
          <w:szCs w:val="22"/>
        </w:rPr>
        <w:t xml:space="preserve">referrals </w:t>
      </w:r>
      <w:r w:rsidRPr="00041D98">
        <w:rPr>
          <w:szCs w:val="22"/>
        </w:rPr>
        <w:t>(</w:t>
      </w:r>
      <w:r w:rsidR="006D41FE">
        <w:rPr>
          <w:szCs w:val="22"/>
        </w:rPr>
        <w:t>39</w:t>
      </w:r>
      <w:r w:rsidRPr="00041D98">
        <w:rPr>
          <w:szCs w:val="22"/>
        </w:rPr>
        <w:t>.</w:t>
      </w:r>
      <w:r w:rsidR="006D41FE">
        <w:rPr>
          <w:szCs w:val="22"/>
        </w:rPr>
        <w:t>5</w:t>
      </w:r>
      <w:r w:rsidRPr="00041D98">
        <w:rPr>
          <w:szCs w:val="22"/>
        </w:rPr>
        <w:t>%).</w:t>
      </w:r>
    </w:p>
    <w:p w14:paraId="0B97F575" w14:textId="77777777" w:rsidR="007A5162" w:rsidRPr="007A5162" w:rsidRDefault="007A5162" w:rsidP="007A5162">
      <w:pPr>
        <w:rPr>
          <w:szCs w:val="22"/>
          <w:u w:val="single"/>
        </w:rPr>
      </w:pPr>
      <w:r w:rsidRPr="007A5162">
        <w:rPr>
          <w:szCs w:val="22"/>
          <w:u w:val="single"/>
        </w:rPr>
        <w:t>All/majority case plan goals achieved</w:t>
      </w:r>
    </w:p>
    <w:p w14:paraId="5FB043DF" w14:textId="6151B1D8" w:rsidR="007A5162" w:rsidRPr="007A5162" w:rsidRDefault="007A5162" w:rsidP="007A5162">
      <w:pPr>
        <w:rPr>
          <w:szCs w:val="22"/>
        </w:rPr>
      </w:pPr>
      <w:r w:rsidRPr="007A5162">
        <w:rPr>
          <w:szCs w:val="22"/>
        </w:rPr>
        <w:t>The proportion of in-scope referrals that have all/majority of case plan goals achieved differs significantly depending upon the referrer source. In descending order:</w:t>
      </w:r>
    </w:p>
    <w:p w14:paraId="1BCCCAE4" w14:textId="3620E623" w:rsidR="007A5162" w:rsidRPr="0029751F" w:rsidRDefault="007A5162" w:rsidP="00E71F12">
      <w:pPr>
        <w:pStyle w:val="ListParagraph"/>
        <w:numPr>
          <w:ilvl w:val="0"/>
          <w:numId w:val="11"/>
        </w:numPr>
        <w:spacing w:before="0" w:after="160" w:line="259" w:lineRule="auto"/>
        <w:rPr>
          <w:szCs w:val="22"/>
        </w:rPr>
      </w:pPr>
      <w:r w:rsidRPr="0029751F">
        <w:rPr>
          <w:szCs w:val="22"/>
        </w:rPr>
        <w:t>Self-referrals (</w:t>
      </w:r>
      <w:r w:rsidR="00CC77AF">
        <w:rPr>
          <w:szCs w:val="22"/>
        </w:rPr>
        <w:t>6</w:t>
      </w:r>
      <w:r w:rsidR="00EB6478">
        <w:rPr>
          <w:szCs w:val="22"/>
        </w:rPr>
        <w:t>5</w:t>
      </w:r>
      <w:r w:rsidRPr="0029751F">
        <w:rPr>
          <w:szCs w:val="22"/>
        </w:rPr>
        <w:t>.</w:t>
      </w:r>
      <w:r w:rsidR="00EB6478">
        <w:rPr>
          <w:szCs w:val="22"/>
        </w:rPr>
        <w:t>0</w:t>
      </w:r>
      <w:r w:rsidRPr="0029751F">
        <w:rPr>
          <w:szCs w:val="22"/>
        </w:rPr>
        <w:t>%)</w:t>
      </w:r>
    </w:p>
    <w:p w14:paraId="47149B80" w14:textId="77777777" w:rsidR="00EB6478" w:rsidRPr="0029751F" w:rsidRDefault="00EB6478" w:rsidP="00EB6478">
      <w:pPr>
        <w:pStyle w:val="ListParagraph"/>
        <w:numPr>
          <w:ilvl w:val="0"/>
          <w:numId w:val="11"/>
        </w:numPr>
        <w:spacing w:before="0" w:after="160" w:line="259" w:lineRule="auto"/>
        <w:rPr>
          <w:szCs w:val="22"/>
        </w:rPr>
      </w:pPr>
      <w:r w:rsidRPr="0029751F">
        <w:rPr>
          <w:szCs w:val="22"/>
        </w:rPr>
        <w:t>FaCC (5</w:t>
      </w:r>
      <w:r>
        <w:rPr>
          <w:szCs w:val="22"/>
        </w:rPr>
        <w:t>6</w:t>
      </w:r>
      <w:r w:rsidRPr="0029751F">
        <w:rPr>
          <w:szCs w:val="22"/>
        </w:rPr>
        <w:t>.</w:t>
      </w:r>
      <w:r>
        <w:rPr>
          <w:szCs w:val="22"/>
        </w:rPr>
        <w:t>8</w:t>
      </w:r>
      <w:r w:rsidRPr="0029751F">
        <w:rPr>
          <w:szCs w:val="22"/>
        </w:rPr>
        <w:t>%)</w:t>
      </w:r>
    </w:p>
    <w:p w14:paraId="3459D227" w14:textId="27298BE2" w:rsidR="00C82152" w:rsidRPr="00EF2E72" w:rsidRDefault="00C82152" w:rsidP="00C82152">
      <w:pPr>
        <w:pStyle w:val="ListParagraph"/>
        <w:numPr>
          <w:ilvl w:val="0"/>
          <w:numId w:val="11"/>
        </w:numPr>
        <w:spacing w:before="0" w:after="160" w:line="259" w:lineRule="auto"/>
        <w:rPr>
          <w:szCs w:val="22"/>
        </w:rPr>
      </w:pPr>
      <w:r w:rsidRPr="00EF2E72">
        <w:rPr>
          <w:szCs w:val="22"/>
        </w:rPr>
        <w:t>Other non-prescribed entities (56.</w:t>
      </w:r>
      <w:r w:rsidR="00EB6478">
        <w:rPr>
          <w:szCs w:val="22"/>
        </w:rPr>
        <w:t>4</w:t>
      </w:r>
      <w:r w:rsidRPr="00EF2E72">
        <w:rPr>
          <w:szCs w:val="22"/>
        </w:rPr>
        <w:t>%)</w:t>
      </w:r>
    </w:p>
    <w:p w14:paraId="2E6C7A91" w14:textId="565F5EEB" w:rsidR="007A5162" w:rsidRPr="00EF2E72" w:rsidRDefault="007A5162" w:rsidP="00E71F12">
      <w:pPr>
        <w:pStyle w:val="ListParagraph"/>
        <w:numPr>
          <w:ilvl w:val="0"/>
          <w:numId w:val="11"/>
        </w:numPr>
        <w:spacing w:before="0" w:after="160" w:line="259" w:lineRule="auto"/>
        <w:rPr>
          <w:szCs w:val="22"/>
        </w:rPr>
      </w:pPr>
      <w:r w:rsidRPr="00EF2E72">
        <w:rPr>
          <w:szCs w:val="22"/>
        </w:rPr>
        <w:t>Other prescribed entities (</w:t>
      </w:r>
      <w:r w:rsidR="00EB6478">
        <w:rPr>
          <w:szCs w:val="22"/>
        </w:rPr>
        <w:t>55</w:t>
      </w:r>
      <w:r w:rsidRPr="00EF2E72">
        <w:rPr>
          <w:szCs w:val="22"/>
        </w:rPr>
        <w:t>.</w:t>
      </w:r>
      <w:r w:rsidR="00EB6478">
        <w:rPr>
          <w:szCs w:val="22"/>
        </w:rPr>
        <w:t>8</w:t>
      </w:r>
      <w:r w:rsidRPr="00EF2E72">
        <w:rPr>
          <w:szCs w:val="22"/>
        </w:rPr>
        <w:t>%)</w:t>
      </w:r>
    </w:p>
    <w:p w14:paraId="2370FAF8" w14:textId="7C6E60B9" w:rsidR="007A5162" w:rsidRPr="00EF2E72" w:rsidRDefault="007A5162" w:rsidP="00E71F12">
      <w:pPr>
        <w:pStyle w:val="ListParagraph"/>
        <w:numPr>
          <w:ilvl w:val="0"/>
          <w:numId w:val="11"/>
        </w:numPr>
        <w:spacing w:before="0" w:after="160" w:line="259" w:lineRule="auto"/>
        <w:rPr>
          <w:szCs w:val="22"/>
        </w:rPr>
      </w:pPr>
      <w:r w:rsidRPr="00EF2E72">
        <w:rPr>
          <w:szCs w:val="22"/>
        </w:rPr>
        <w:t>Health (4</w:t>
      </w:r>
      <w:r w:rsidR="00EB6478">
        <w:rPr>
          <w:szCs w:val="22"/>
        </w:rPr>
        <w:t>9</w:t>
      </w:r>
      <w:r w:rsidRPr="00EF2E72">
        <w:rPr>
          <w:szCs w:val="22"/>
        </w:rPr>
        <w:t>.</w:t>
      </w:r>
      <w:r w:rsidR="00EB6478">
        <w:rPr>
          <w:szCs w:val="22"/>
        </w:rPr>
        <w:t>1</w:t>
      </w:r>
      <w:r w:rsidRPr="00EF2E72">
        <w:rPr>
          <w:szCs w:val="22"/>
        </w:rPr>
        <w:t>%)</w:t>
      </w:r>
    </w:p>
    <w:p w14:paraId="4058C7EC" w14:textId="15ADB713" w:rsidR="007A5162" w:rsidRDefault="007A5162" w:rsidP="00E71F12">
      <w:pPr>
        <w:pStyle w:val="ListParagraph"/>
        <w:numPr>
          <w:ilvl w:val="0"/>
          <w:numId w:val="11"/>
        </w:numPr>
        <w:spacing w:before="0" w:after="160" w:line="259" w:lineRule="auto"/>
        <w:rPr>
          <w:szCs w:val="22"/>
        </w:rPr>
      </w:pPr>
      <w:r w:rsidRPr="00EF2E72">
        <w:rPr>
          <w:szCs w:val="22"/>
        </w:rPr>
        <w:t>Education (</w:t>
      </w:r>
      <w:r w:rsidR="00EB6478">
        <w:rPr>
          <w:szCs w:val="22"/>
        </w:rPr>
        <w:t>45</w:t>
      </w:r>
      <w:r w:rsidRPr="00EF2E72">
        <w:rPr>
          <w:szCs w:val="22"/>
        </w:rPr>
        <w:t>.</w:t>
      </w:r>
      <w:r w:rsidR="00EB6478">
        <w:rPr>
          <w:szCs w:val="22"/>
        </w:rPr>
        <w:t>3</w:t>
      </w:r>
      <w:r w:rsidRPr="00EF2E72">
        <w:rPr>
          <w:szCs w:val="22"/>
        </w:rPr>
        <w:t>%)</w:t>
      </w:r>
    </w:p>
    <w:p w14:paraId="01B8FA43" w14:textId="77777777" w:rsidR="00EB6478" w:rsidRPr="00EF2E72" w:rsidRDefault="00EB6478" w:rsidP="00EB6478">
      <w:pPr>
        <w:pStyle w:val="ListParagraph"/>
        <w:numPr>
          <w:ilvl w:val="0"/>
          <w:numId w:val="11"/>
        </w:numPr>
        <w:spacing w:before="0" w:after="160" w:line="259" w:lineRule="auto"/>
        <w:rPr>
          <w:szCs w:val="22"/>
        </w:rPr>
      </w:pPr>
      <w:r w:rsidRPr="00EF2E72">
        <w:rPr>
          <w:szCs w:val="22"/>
        </w:rPr>
        <w:t>Child Safety – RIS (</w:t>
      </w:r>
      <w:r>
        <w:rPr>
          <w:szCs w:val="22"/>
        </w:rPr>
        <w:t>3</w:t>
      </w:r>
      <w:r w:rsidRPr="00EF2E72">
        <w:rPr>
          <w:szCs w:val="22"/>
        </w:rPr>
        <w:t>7.</w:t>
      </w:r>
      <w:r>
        <w:rPr>
          <w:szCs w:val="22"/>
        </w:rPr>
        <w:t>3</w:t>
      </w:r>
      <w:r w:rsidRPr="00EF2E72">
        <w:rPr>
          <w:szCs w:val="22"/>
        </w:rPr>
        <w:t>%)</w:t>
      </w:r>
    </w:p>
    <w:p w14:paraId="0898739A" w14:textId="3C6E51DC" w:rsidR="00EB6478" w:rsidRPr="00EF2E72" w:rsidRDefault="00EB6478" w:rsidP="00EB6478">
      <w:pPr>
        <w:pStyle w:val="ListParagraph"/>
        <w:numPr>
          <w:ilvl w:val="0"/>
          <w:numId w:val="11"/>
        </w:numPr>
        <w:spacing w:before="0" w:after="160" w:line="259" w:lineRule="auto"/>
        <w:rPr>
          <w:szCs w:val="22"/>
        </w:rPr>
      </w:pPr>
      <w:r w:rsidRPr="00EF2E72">
        <w:rPr>
          <w:szCs w:val="22"/>
        </w:rPr>
        <w:t>Child Safety – CSSC (3</w:t>
      </w:r>
      <w:r>
        <w:rPr>
          <w:szCs w:val="22"/>
        </w:rPr>
        <w:t>5</w:t>
      </w:r>
      <w:r w:rsidRPr="00EF2E72">
        <w:rPr>
          <w:szCs w:val="22"/>
        </w:rPr>
        <w:t>.6%)</w:t>
      </w:r>
    </w:p>
    <w:p w14:paraId="1E4A8B5A" w14:textId="753AE3CA" w:rsidR="007A5162" w:rsidRPr="00EF2E72" w:rsidRDefault="007A5162" w:rsidP="00E71F12">
      <w:pPr>
        <w:pStyle w:val="ListParagraph"/>
        <w:numPr>
          <w:ilvl w:val="0"/>
          <w:numId w:val="11"/>
        </w:numPr>
        <w:spacing w:before="0" w:after="160" w:line="259" w:lineRule="auto"/>
        <w:rPr>
          <w:szCs w:val="22"/>
        </w:rPr>
      </w:pPr>
      <w:r w:rsidRPr="00EF2E72">
        <w:rPr>
          <w:szCs w:val="22"/>
        </w:rPr>
        <w:t>Police (</w:t>
      </w:r>
      <w:r w:rsidR="00EB6478">
        <w:rPr>
          <w:szCs w:val="22"/>
        </w:rPr>
        <w:t>32</w:t>
      </w:r>
      <w:r w:rsidRPr="00EF2E72">
        <w:rPr>
          <w:szCs w:val="22"/>
        </w:rPr>
        <w:t>.</w:t>
      </w:r>
      <w:r w:rsidR="00EB6478">
        <w:rPr>
          <w:szCs w:val="22"/>
        </w:rPr>
        <w:t>9</w:t>
      </w:r>
      <w:r w:rsidRPr="00EF2E72">
        <w:rPr>
          <w:szCs w:val="22"/>
        </w:rPr>
        <w:t>%)</w:t>
      </w:r>
    </w:p>
    <w:p w14:paraId="5C17DADB" w14:textId="64FDAFAE" w:rsidR="00EE5284" w:rsidRPr="0053498D" w:rsidRDefault="0029751F" w:rsidP="0040245F">
      <w:pPr>
        <w:rPr>
          <w:u w:val="single"/>
        </w:rPr>
      </w:pPr>
      <w:bookmarkStart w:id="159" w:name="_Hlk88488521"/>
      <w:r>
        <w:rPr>
          <w:u w:val="single"/>
        </w:rPr>
        <w:t>Average length of intervention</w:t>
      </w:r>
    </w:p>
    <w:p w14:paraId="782A48BD" w14:textId="475F4AEB" w:rsidR="0053498D" w:rsidRPr="0053498D" w:rsidRDefault="0053498D" w:rsidP="0053498D">
      <w:pPr>
        <w:rPr>
          <w:szCs w:val="22"/>
        </w:rPr>
      </w:pPr>
      <w:r w:rsidRPr="0053498D">
        <w:rPr>
          <w:szCs w:val="22"/>
        </w:rPr>
        <w:t>The state-wide average and median number of days to close a case – 2</w:t>
      </w:r>
      <w:r w:rsidR="002F349F">
        <w:rPr>
          <w:szCs w:val="22"/>
        </w:rPr>
        <w:t>77</w:t>
      </w:r>
      <w:r w:rsidRPr="0053498D">
        <w:rPr>
          <w:szCs w:val="22"/>
        </w:rPr>
        <w:t xml:space="preserve"> days (</w:t>
      </w:r>
      <w:r w:rsidR="002F349F">
        <w:rPr>
          <w:szCs w:val="22"/>
        </w:rPr>
        <w:t>9</w:t>
      </w:r>
      <w:r w:rsidRPr="0053498D">
        <w:rPr>
          <w:szCs w:val="22"/>
        </w:rPr>
        <w:t>.</w:t>
      </w:r>
      <w:r w:rsidR="002F349F">
        <w:rPr>
          <w:szCs w:val="22"/>
        </w:rPr>
        <w:t>1</w:t>
      </w:r>
      <w:r w:rsidRPr="0053498D">
        <w:rPr>
          <w:szCs w:val="22"/>
        </w:rPr>
        <w:t xml:space="preserve"> months) and </w:t>
      </w:r>
      <w:r w:rsidR="002F349F">
        <w:rPr>
          <w:szCs w:val="22"/>
        </w:rPr>
        <w:t>254</w:t>
      </w:r>
      <w:r w:rsidRPr="0053498D">
        <w:rPr>
          <w:szCs w:val="22"/>
        </w:rPr>
        <w:t xml:space="preserve"> days (</w:t>
      </w:r>
      <w:r w:rsidR="002F349F">
        <w:rPr>
          <w:szCs w:val="22"/>
        </w:rPr>
        <w:t>8</w:t>
      </w:r>
      <w:r w:rsidRPr="0053498D">
        <w:rPr>
          <w:szCs w:val="22"/>
        </w:rPr>
        <w:t>.</w:t>
      </w:r>
      <w:r w:rsidR="002F349F">
        <w:rPr>
          <w:szCs w:val="22"/>
        </w:rPr>
        <w:t>4</w:t>
      </w:r>
      <w:r w:rsidRPr="0053498D">
        <w:rPr>
          <w:szCs w:val="22"/>
        </w:rPr>
        <w:t xml:space="preserve"> months), respectively – aligns with the IFS Service Model and </w:t>
      </w:r>
      <w:r w:rsidRPr="0053498D">
        <w:rPr>
          <w:szCs w:val="22"/>
        </w:rPr>
        <w:lastRenderedPageBreak/>
        <w:t>Guidelines that state it is anticipated that families will generally engage for a period of up to nine months.</w:t>
      </w:r>
      <w:r w:rsidRPr="0053498D">
        <w:rPr>
          <w:rStyle w:val="FootnoteReference"/>
          <w:szCs w:val="22"/>
        </w:rPr>
        <w:footnoteReference w:id="17"/>
      </w:r>
      <w:r w:rsidRPr="0053498D">
        <w:rPr>
          <w:szCs w:val="22"/>
        </w:rPr>
        <w:t xml:space="preserve">  </w:t>
      </w:r>
    </w:p>
    <w:bookmarkEnd w:id="159"/>
    <w:p w14:paraId="0FCD51AF" w14:textId="075DF821" w:rsidR="0029751F" w:rsidRDefault="0029751F" w:rsidP="0053498D">
      <w:pPr>
        <w:rPr>
          <w:szCs w:val="22"/>
        </w:rPr>
      </w:pPr>
      <w:r>
        <w:rPr>
          <w:szCs w:val="22"/>
        </w:rPr>
        <w:t>IFS evaluation recommendations explicitly note families are engaged for longer if:</w:t>
      </w:r>
      <w:r w:rsidR="00DE1DDD">
        <w:rPr>
          <w:rStyle w:val="FootnoteReference"/>
          <w:szCs w:val="22"/>
        </w:rPr>
        <w:footnoteReference w:id="18"/>
      </w:r>
    </w:p>
    <w:p w14:paraId="2D8DB5A5" w14:textId="0CDD0EB1" w:rsidR="0029751F" w:rsidRDefault="0029751F" w:rsidP="0029751F">
      <w:pPr>
        <w:pStyle w:val="ListParagraph"/>
        <w:numPr>
          <w:ilvl w:val="0"/>
          <w:numId w:val="20"/>
        </w:numPr>
        <w:rPr>
          <w:szCs w:val="22"/>
        </w:rPr>
      </w:pPr>
      <w:r>
        <w:rPr>
          <w:szCs w:val="22"/>
        </w:rPr>
        <w:t>they present with more complex needs</w:t>
      </w:r>
    </w:p>
    <w:p w14:paraId="17894F1B" w14:textId="63A04DB4" w:rsidR="0029751F" w:rsidRDefault="0029751F" w:rsidP="0029751F">
      <w:pPr>
        <w:pStyle w:val="ListParagraph"/>
        <w:numPr>
          <w:ilvl w:val="0"/>
          <w:numId w:val="20"/>
        </w:numPr>
        <w:rPr>
          <w:szCs w:val="22"/>
        </w:rPr>
      </w:pPr>
      <w:r>
        <w:rPr>
          <w:szCs w:val="22"/>
        </w:rPr>
        <w:t>more time is needed for building trust with IFS services – often a concern for Aboriginal and/or Torres Strait Islander families</w:t>
      </w:r>
    </w:p>
    <w:p w14:paraId="26998101" w14:textId="6155C035" w:rsidR="0029751F" w:rsidRDefault="0029751F" w:rsidP="0029751F">
      <w:pPr>
        <w:pStyle w:val="ListParagraph"/>
        <w:numPr>
          <w:ilvl w:val="0"/>
          <w:numId w:val="20"/>
        </w:numPr>
        <w:rPr>
          <w:szCs w:val="22"/>
        </w:rPr>
      </w:pPr>
      <w:r>
        <w:rPr>
          <w:szCs w:val="22"/>
        </w:rPr>
        <w:t>in smaller regional communities due to:</w:t>
      </w:r>
    </w:p>
    <w:p w14:paraId="31BB8B78" w14:textId="69EE5AE6" w:rsidR="0029751F" w:rsidRPr="00F27155" w:rsidRDefault="0029751F" w:rsidP="0029751F">
      <w:pPr>
        <w:pStyle w:val="ListParagraph"/>
        <w:numPr>
          <w:ilvl w:val="0"/>
          <w:numId w:val="21"/>
        </w:numPr>
        <w:rPr>
          <w:szCs w:val="22"/>
        </w:rPr>
      </w:pPr>
      <w:r w:rsidRPr="00F27155">
        <w:rPr>
          <w:szCs w:val="22"/>
        </w:rPr>
        <w:t>a lack of support services in these areas, requiring more in-house support from IFS staff</w:t>
      </w:r>
    </w:p>
    <w:p w14:paraId="78221393" w14:textId="068F5444" w:rsidR="0029751F" w:rsidRPr="00F27155" w:rsidRDefault="0029751F" w:rsidP="0029751F">
      <w:pPr>
        <w:pStyle w:val="ListParagraph"/>
        <w:numPr>
          <w:ilvl w:val="0"/>
          <w:numId w:val="21"/>
        </w:numPr>
        <w:rPr>
          <w:szCs w:val="22"/>
        </w:rPr>
      </w:pPr>
      <w:r w:rsidRPr="00F27155">
        <w:rPr>
          <w:szCs w:val="22"/>
        </w:rPr>
        <w:t>the time devoted to travel instead of face-to-face service delivery</w:t>
      </w:r>
    </w:p>
    <w:p w14:paraId="43A07BCF" w14:textId="7D23B31A" w:rsidR="0029751F" w:rsidRPr="00F27155" w:rsidRDefault="0029751F" w:rsidP="0029751F">
      <w:pPr>
        <w:pStyle w:val="ListParagraph"/>
        <w:numPr>
          <w:ilvl w:val="0"/>
          <w:numId w:val="21"/>
        </w:numPr>
        <w:rPr>
          <w:szCs w:val="22"/>
        </w:rPr>
      </w:pPr>
      <w:r w:rsidRPr="00F27155">
        <w:rPr>
          <w:szCs w:val="22"/>
        </w:rPr>
        <w:t>a lack of step-down services to refer families to after they leave IFS</w:t>
      </w:r>
    </w:p>
    <w:p w14:paraId="5D9AF111" w14:textId="45887EA7" w:rsidR="0049768A" w:rsidRDefault="00DE1DDD" w:rsidP="00DE1DDD">
      <w:pPr>
        <w:rPr>
          <w:szCs w:val="22"/>
        </w:rPr>
      </w:pPr>
      <w:r w:rsidRPr="00DE1DDD">
        <w:rPr>
          <w:szCs w:val="22"/>
        </w:rPr>
        <w:t>One consequence of cases with a longer duration</w:t>
      </w:r>
      <w:r>
        <w:rPr>
          <w:szCs w:val="22"/>
        </w:rPr>
        <w:t xml:space="preserve">, especially in regional locations, is that fewer families will be seen by IFS staff per equivalent full-time position (FTE), and IFS staff in these areas often need to have </w:t>
      </w:r>
      <w:r w:rsidR="006313A5">
        <w:rPr>
          <w:szCs w:val="22"/>
        </w:rPr>
        <w:t>small</w:t>
      </w:r>
      <w:r>
        <w:rPr>
          <w:szCs w:val="22"/>
        </w:rPr>
        <w:t>er caseloads as a result.</w:t>
      </w:r>
      <w:r w:rsidR="0043756B">
        <w:rPr>
          <w:rStyle w:val="FootnoteReference"/>
          <w:szCs w:val="22"/>
        </w:rPr>
        <w:footnoteReference w:id="19"/>
      </w:r>
    </w:p>
    <w:p w14:paraId="687709E3" w14:textId="77777777" w:rsidR="0049768A" w:rsidRDefault="0049768A">
      <w:pPr>
        <w:spacing w:before="0" w:after="0"/>
        <w:rPr>
          <w:szCs w:val="22"/>
        </w:rPr>
      </w:pPr>
      <w:r>
        <w:rPr>
          <w:szCs w:val="22"/>
        </w:rPr>
        <w:br w:type="page"/>
      </w:r>
    </w:p>
    <w:p w14:paraId="3AB39620" w14:textId="513F7BA0" w:rsidR="0049768A" w:rsidRDefault="0049768A" w:rsidP="0049768A">
      <w:pPr>
        <w:pStyle w:val="Heading2"/>
      </w:pPr>
      <w:r>
        <w:lastRenderedPageBreak/>
        <w:t>Appendix 2: Risk factors for IFS services</w:t>
      </w:r>
    </w:p>
    <w:p w14:paraId="5AA6C50A" w14:textId="0C64134C" w:rsidR="00564510" w:rsidRPr="007A5162" w:rsidRDefault="00564510" w:rsidP="00564510">
      <w:pPr>
        <w:rPr>
          <w:szCs w:val="22"/>
          <w:u w:val="single"/>
        </w:rPr>
      </w:pPr>
      <w:r>
        <w:rPr>
          <w:szCs w:val="22"/>
          <w:u w:val="single"/>
        </w:rPr>
        <w:t>Workforce availability, capacity and capability</w:t>
      </w:r>
    </w:p>
    <w:p w14:paraId="74F23294" w14:textId="77777777" w:rsidR="00564510" w:rsidRDefault="00564510" w:rsidP="0049768A">
      <w:pPr>
        <w:pStyle w:val="ListParagraph"/>
        <w:numPr>
          <w:ilvl w:val="0"/>
          <w:numId w:val="22"/>
        </w:numPr>
        <w:spacing w:before="0" w:after="160" w:line="259" w:lineRule="auto"/>
        <w:rPr>
          <w:szCs w:val="22"/>
        </w:rPr>
      </w:pPr>
      <w:r w:rsidRPr="00564510">
        <w:rPr>
          <w:szCs w:val="22"/>
        </w:rPr>
        <w:t>I</w:t>
      </w:r>
      <w:r w:rsidR="0049768A" w:rsidRPr="00564510">
        <w:rPr>
          <w:szCs w:val="22"/>
        </w:rPr>
        <w:t>FS providers in rural/remote locations may have difficulty in maintaining a full staffing complement or recruiting staff with the appropriate skills and experience.</w:t>
      </w:r>
      <w:r w:rsidR="0049768A" w:rsidRPr="0049768A">
        <w:rPr>
          <w:rStyle w:val="FootnoteReference"/>
          <w:szCs w:val="22"/>
        </w:rPr>
        <w:footnoteReference w:id="20"/>
      </w:r>
    </w:p>
    <w:p w14:paraId="21499485" w14:textId="77777777" w:rsidR="00564510" w:rsidRDefault="0049768A" w:rsidP="0049768A">
      <w:pPr>
        <w:pStyle w:val="ListParagraph"/>
        <w:numPr>
          <w:ilvl w:val="0"/>
          <w:numId w:val="22"/>
        </w:numPr>
        <w:spacing w:before="0" w:after="160" w:line="259" w:lineRule="auto"/>
        <w:rPr>
          <w:szCs w:val="22"/>
        </w:rPr>
      </w:pPr>
      <w:r w:rsidRPr="00564510">
        <w:rPr>
          <w:szCs w:val="22"/>
        </w:rPr>
        <w:t>Smaller IFS services, particularly in regional areas, are not always able to implement the specialist Domestic and Family Violence (DFV) practitioner requirement and/or the practitioners sometimes carry general case management work.</w:t>
      </w:r>
      <w:r w:rsidRPr="0049768A">
        <w:rPr>
          <w:rStyle w:val="FootnoteReference"/>
          <w:szCs w:val="22"/>
        </w:rPr>
        <w:footnoteReference w:id="21"/>
      </w:r>
    </w:p>
    <w:p w14:paraId="0BEBCF4B" w14:textId="77777777" w:rsidR="00564510" w:rsidRDefault="0049768A" w:rsidP="0049768A">
      <w:pPr>
        <w:pStyle w:val="ListParagraph"/>
        <w:numPr>
          <w:ilvl w:val="0"/>
          <w:numId w:val="22"/>
        </w:numPr>
        <w:spacing w:before="0" w:after="160" w:line="259" w:lineRule="auto"/>
        <w:rPr>
          <w:szCs w:val="22"/>
        </w:rPr>
      </w:pPr>
      <w:r w:rsidRPr="00564510">
        <w:rPr>
          <w:szCs w:val="22"/>
        </w:rPr>
        <w:t>During periods of staff turnover, staff vacancies, sickness, high workloads, or other program issues affecting the capacity to allocate new families, the team leader or other senior officer often holds cases in the initial assessment stage to meet immediate needs.</w:t>
      </w:r>
    </w:p>
    <w:p w14:paraId="18CCDFB7" w14:textId="77777777" w:rsidR="00564510" w:rsidRDefault="0049768A" w:rsidP="0049768A">
      <w:pPr>
        <w:pStyle w:val="ListParagraph"/>
        <w:numPr>
          <w:ilvl w:val="0"/>
          <w:numId w:val="22"/>
        </w:numPr>
        <w:spacing w:before="0" w:after="160" w:line="259" w:lineRule="auto"/>
        <w:rPr>
          <w:szCs w:val="22"/>
        </w:rPr>
      </w:pPr>
      <w:r w:rsidRPr="00564510">
        <w:rPr>
          <w:szCs w:val="22"/>
        </w:rPr>
        <w:t>If the IFS workforce is not fully trained, skilled, and experienced, they may be less likely to build strong relationships with families and provide effective case management to address case plan goals.</w:t>
      </w:r>
    </w:p>
    <w:p w14:paraId="0189FBC1" w14:textId="12B90D4B" w:rsidR="0049768A" w:rsidRDefault="0049768A" w:rsidP="0049768A">
      <w:pPr>
        <w:pStyle w:val="ListParagraph"/>
        <w:numPr>
          <w:ilvl w:val="0"/>
          <w:numId w:val="22"/>
        </w:numPr>
        <w:spacing w:before="0" w:after="160" w:line="259" w:lineRule="auto"/>
        <w:rPr>
          <w:szCs w:val="22"/>
        </w:rPr>
      </w:pPr>
      <w:r w:rsidRPr="00564510">
        <w:rPr>
          <w:szCs w:val="22"/>
        </w:rPr>
        <w:t>Some larger IFS sites have additional, in-house, multi-disciplinary teams including specialist staff who contribute to service delivery and staff development.</w:t>
      </w:r>
    </w:p>
    <w:p w14:paraId="11AC0DF4" w14:textId="17CEFC9A" w:rsidR="00563419" w:rsidRDefault="00563419" w:rsidP="0049768A">
      <w:pPr>
        <w:pStyle w:val="ListParagraph"/>
        <w:numPr>
          <w:ilvl w:val="0"/>
          <w:numId w:val="22"/>
        </w:numPr>
        <w:spacing w:before="0" w:after="160" w:line="259" w:lineRule="auto"/>
        <w:rPr>
          <w:szCs w:val="22"/>
        </w:rPr>
      </w:pPr>
      <w:r>
        <w:rPr>
          <w:szCs w:val="22"/>
        </w:rPr>
        <w:t xml:space="preserve">Some IFS providers will have more internal capacity to risk manage employment </w:t>
      </w:r>
      <w:r w:rsidR="00150A5F">
        <w:rPr>
          <w:szCs w:val="22"/>
        </w:rPr>
        <w:t>by</w:t>
      </w:r>
      <w:r>
        <w:rPr>
          <w:szCs w:val="22"/>
        </w:rPr>
        <w:t xml:space="preserve"> </w:t>
      </w:r>
      <w:r w:rsidR="00150A5F">
        <w:rPr>
          <w:szCs w:val="22"/>
        </w:rPr>
        <w:t>increasing their</w:t>
      </w:r>
      <w:r>
        <w:rPr>
          <w:szCs w:val="22"/>
        </w:rPr>
        <w:t xml:space="preserve"> FTE establishment </w:t>
      </w:r>
      <w:r w:rsidR="00150A5F">
        <w:rPr>
          <w:szCs w:val="22"/>
        </w:rPr>
        <w:t>beyond their funding footprint</w:t>
      </w:r>
      <w:r w:rsidR="00B049EF">
        <w:rPr>
          <w:szCs w:val="22"/>
        </w:rPr>
        <w:t>. F</w:t>
      </w:r>
      <w:r w:rsidR="00150A5F">
        <w:rPr>
          <w:szCs w:val="22"/>
        </w:rPr>
        <w:t>or example:</w:t>
      </w:r>
      <w:r>
        <w:rPr>
          <w:szCs w:val="22"/>
        </w:rPr>
        <w:t xml:space="preserve"> engag</w:t>
      </w:r>
      <w:r w:rsidR="00150A5F">
        <w:rPr>
          <w:szCs w:val="22"/>
        </w:rPr>
        <w:t>ing</w:t>
      </w:r>
      <w:r>
        <w:rPr>
          <w:szCs w:val="22"/>
        </w:rPr>
        <w:t xml:space="preserve"> locum</w:t>
      </w:r>
      <w:r w:rsidR="00150A5F">
        <w:rPr>
          <w:szCs w:val="22"/>
        </w:rPr>
        <w:t>s</w:t>
      </w:r>
      <w:r>
        <w:rPr>
          <w:szCs w:val="22"/>
        </w:rPr>
        <w:t>, increas</w:t>
      </w:r>
      <w:r w:rsidR="00150A5F">
        <w:rPr>
          <w:szCs w:val="22"/>
        </w:rPr>
        <w:t>ing</w:t>
      </w:r>
      <w:r>
        <w:rPr>
          <w:szCs w:val="22"/>
        </w:rPr>
        <w:t xml:space="preserve"> part time hours to full time for </w:t>
      </w:r>
      <w:r w:rsidR="00B049EF">
        <w:rPr>
          <w:szCs w:val="22"/>
        </w:rPr>
        <w:t>a period</w:t>
      </w:r>
      <w:r>
        <w:rPr>
          <w:szCs w:val="22"/>
        </w:rPr>
        <w:t xml:space="preserve"> etc. to manage staff leave, absences,</w:t>
      </w:r>
      <w:r w:rsidR="00150A5F">
        <w:rPr>
          <w:szCs w:val="22"/>
        </w:rPr>
        <w:t xml:space="preserve"> or</w:t>
      </w:r>
      <w:r>
        <w:rPr>
          <w:szCs w:val="22"/>
        </w:rPr>
        <w:t xml:space="preserve"> turnover</w:t>
      </w:r>
      <w:r w:rsidR="00B049EF">
        <w:rPr>
          <w:szCs w:val="22"/>
        </w:rPr>
        <w:t>.</w:t>
      </w:r>
    </w:p>
    <w:p w14:paraId="1F184F79" w14:textId="52BFDE47" w:rsidR="00564510" w:rsidRPr="007A5162" w:rsidRDefault="00564510" w:rsidP="00564510">
      <w:pPr>
        <w:rPr>
          <w:szCs w:val="22"/>
          <w:u w:val="single"/>
        </w:rPr>
      </w:pPr>
      <w:r>
        <w:rPr>
          <w:szCs w:val="22"/>
          <w:u w:val="single"/>
        </w:rPr>
        <w:t>Ability to respond to service user needs</w:t>
      </w:r>
    </w:p>
    <w:p w14:paraId="0C8C7D45" w14:textId="29D25FAA" w:rsidR="00564510" w:rsidRDefault="00564510" w:rsidP="00564510">
      <w:pPr>
        <w:pStyle w:val="ListParagraph"/>
        <w:numPr>
          <w:ilvl w:val="0"/>
          <w:numId w:val="23"/>
        </w:numPr>
        <w:spacing w:before="0" w:after="160" w:line="259" w:lineRule="auto"/>
        <w:rPr>
          <w:szCs w:val="22"/>
        </w:rPr>
      </w:pPr>
      <w:r>
        <w:rPr>
          <w:szCs w:val="22"/>
        </w:rPr>
        <w:t>A</w:t>
      </w:r>
      <w:r w:rsidR="0049768A" w:rsidRPr="00564510">
        <w:rPr>
          <w:szCs w:val="22"/>
        </w:rPr>
        <w:t xml:space="preserve"> high referral volume and waitlists are common for IFS services and the practice of ‘active holding’ takes significant resources away from active case management until a warm handover has occurred with a family support practitioner</w:t>
      </w:r>
      <w:r>
        <w:rPr>
          <w:szCs w:val="22"/>
        </w:rPr>
        <w:t>.</w:t>
      </w:r>
      <w:r w:rsidR="0049768A" w:rsidRPr="00564510">
        <w:rPr>
          <w:rStyle w:val="FootnoteReference"/>
          <w:szCs w:val="22"/>
        </w:rPr>
        <w:footnoteReference w:id="22"/>
      </w:r>
      <w:r w:rsidRPr="00564510">
        <w:rPr>
          <w:szCs w:val="22"/>
        </w:rPr>
        <w:t xml:space="preserve"> </w:t>
      </w:r>
    </w:p>
    <w:p w14:paraId="576979A2" w14:textId="1C315A22" w:rsidR="00563419" w:rsidRDefault="00563419" w:rsidP="00564510">
      <w:pPr>
        <w:pStyle w:val="ListParagraph"/>
        <w:numPr>
          <w:ilvl w:val="0"/>
          <w:numId w:val="23"/>
        </w:numPr>
        <w:spacing w:before="0" w:after="160" w:line="259" w:lineRule="auto"/>
        <w:rPr>
          <w:szCs w:val="22"/>
        </w:rPr>
      </w:pPr>
      <w:r>
        <w:rPr>
          <w:szCs w:val="22"/>
        </w:rPr>
        <w:t xml:space="preserve">Differences </w:t>
      </w:r>
      <w:r w:rsidR="00A6441E">
        <w:rPr>
          <w:szCs w:val="22"/>
        </w:rPr>
        <w:t xml:space="preserve">exist between </w:t>
      </w:r>
      <w:r>
        <w:rPr>
          <w:szCs w:val="22"/>
        </w:rPr>
        <w:t xml:space="preserve">locations </w:t>
      </w:r>
      <w:r w:rsidR="00A6441E">
        <w:rPr>
          <w:szCs w:val="22"/>
        </w:rPr>
        <w:t xml:space="preserve">regarding the </w:t>
      </w:r>
      <w:r>
        <w:rPr>
          <w:szCs w:val="22"/>
        </w:rPr>
        <w:t>manage</w:t>
      </w:r>
      <w:r w:rsidR="00A6441E">
        <w:rPr>
          <w:szCs w:val="22"/>
        </w:rPr>
        <w:t>ment of</w:t>
      </w:r>
      <w:r>
        <w:rPr>
          <w:szCs w:val="22"/>
        </w:rPr>
        <w:t xml:space="preserve"> referrals and </w:t>
      </w:r>
      <w:r w:rsidR="00A6441E">
        <w:rPr>
          <w:szCs w:val="22"/>
        </w:rPr>
        <w:t xml:space="preserve">how </w:t>
      </w:r>
      <w:r>
        <w:rPr>
          <w:szCs w:val="22"/>
        </w:rPr>
        <w:t xml:space="preserve">service delivery </w:t>
      </w:r>
      <w:r w:rsidR="00B049EF">
        <w:rPr>
          <w:szCs w:val="22"/>
        </w:rPr>
        <w:t xml:space="preserve">is administered </w:t>
      </w:r>
      <w:r>
        <w:rPr>
          <w:szCs w:val="22"/>
        </w:rPr>
        <w:t>as a sector</w:t>
      </w:r>
      <w:r w:rsidR="00B049EF">
        <w:rPr>
          <w:szCs w:val="22"/>
        </w:rPr>
        <w:t>,</w:t>
      </w:r>
      <w:r>
        <w:rPr>
          <w:szCs w:val="22"/>
        </w:rPr>
        <w:t xml:space="preserve"> including F</w:t>
      </w:r>
      <w:r w:rsidR="00150A5F">
        <w:rPr>
          <w:szCs w:val="22"/>
        </w:rPr>
        <w:t>a</w:t>
      </w:r>
      <w:r>
        <w:rPr>
          <w:szCs w:val="22"/>
        </w:rPr>
        <w:t>CC, IFS and FW</w:t>
      </w:r>
      <w:r w:rsidR="00150A5F">
        <w:rPr>
          <w:szCs w:val="22"/>
        </w:rPr>
        <w:t>S</w:t>
      </w:r>
      <w:r>
        <w:rPr>
          <w:szCs w:val="22"/>
        </w:rPr>
        <w:t xml:space="preserve">.  </w:t>
      </w:r>
    </w:p>
    <w:p w14:paraId="154738C6" w14:textId="677D927B" w:rsidR="00564510" w:rsidRDefault="00564510" w:rsidP="00564510">
      <w:pPr>
        <w:pStyle w:val="ListParagraph"/>
        <w:numPr>
          <w:ilvl w:val="0"/>
          <w:numId w:val="23"/>
        </w:numPr>
        <w:spacing w:before="0" w:after="160" w:line="259" w:lineRule="auto"/>
        <w:rPr>
          <w:szCs w:val="22"/>
        </w:rPr>
      </w:pPr>
      <w:r>
        <w:rPr>
          <w:szCs w:val="22"/>
        </w:rPr>
        <w:t>A</w:t>
      </w:r>
      <w:r w:rsidR="0049768A" w:rsidRPr="00564510">
        <w:rPr>
          <w:szCs w:val="22"/>
        </w:rPr>
        <w:t xml:space="preserve"> less diverse/smaller service system can lead to longer IFS interventions due to a lack of collaborative case management and step-down/specialist services to refer families to at case closure</w:t>
      </w:r>
      <w:r>
        <w:rPr>
          <w:szCs w:val="22"/>
        </w:rPr>
        <w:t>.</w:t>
      </w:r>
    </w:p>
    <w:p w14:paraId="2434072B" w14:textId="272F5D1B" w:rsidR="00564510" w:rsidRDefault="00564510" w:rsidP="00564510">
      <w:pPr>
        <w:pStyle w:val="ListParagraph"/>
        <w:numPr>
          <w:ilvl w:val="0"/>
          <w:numId w:val="23"/>
        </w:numPr>
        <w:spacing w:before="0" w:after="160" w:line="259" w:lineRule="auto"/>
        <w:rPr>
          <w:szCs w:val="22"/>
        </w:rPr>
      </w:pPr>
      <w:r>
        <w:rPr>
          <w:szCs w:val="22"/>
        </w:rPr>
        <w:t>B</w:t>
      </w:r>
      <w:r w:rsidR="0049768A" w:rsidRPr="00564510">
        <w:rPr>
          <w:szCs w:val="22"/>
        </w:rPr>
        <w:t>rokerage funding can be exhausted quickly in areas without specialists and step-down services</w:t>
      </w:r>
      <w:r>
        <w:rPr>
          <w:szCs w:val="22"/>
        </w:rPr>
        <w:t>.</w:t>
      </w:r>
    </w:p>
    <w:p w14:paraId="062DAA88" w14:textId="3B9E6C1D" w:rsidR="00564510" w:rsidRDefault="00564510" w:rsidP="00564510">
      <w:pPr>
        <w:pStyle w:val="ListParagraph"/>
        <w:numPr>
          <w:ilvl w:val="0"/>
          <w:numId w:val="24"/>
        </w:numPr>
        <w:spacing w:before="0" w:after="160" w:line="259" w:lineRule="auto"/>
        <w:rPr>
          <w:szCs w:val="22"/>
        </w:rPr>
      </w:pPr>
      <w:r>
        <w:rPr>
          <w:szCs w:val="22"/>
        </w:rPr>
        <w:t>M</w:t>
      </w:r>
      <w:r w:rsidR="0049768A" w:rsidRPr="00564510">
        <w:rPr>
          <w:szCs w:val="22"/>
        </w:rPr>
        <w:t>eeting the regular support needs of families is more difficult in geographically dispersed areas</w:t>
      </w:r>
      <w:r>
        <w:rPr>
          <w:szCs w:val="22"/>
        </w:rPr>
        <w:t>.</w:t>
      </w:r>
      <w:r w:rsidR="0049768A" w:rsidRPr="00564510">
        <w:rPr>
          <w:rStyle w:val="FootnoteReference"/>
          <w:szCs w:val="22"/>
        </w:rPr>
        <w:footnoteReference w:id="23"/>
      </w:r>
      <w:r w:rsidRPr="00564510">
        <w:rPr>
          <w:szCs w:val="22"/>
        </w:rPr>
        <w:t xml:space="preserve"> </w:t>
      </w:r>
    </w:p>
    <w:p w14:paraId="49EDF9C2" w14:textId="5287B5B9" w:rsidR="0049768A" w:rsidRPr="00564510" w:rsidRDefault="00564510" w:rsidP="00564510">
      <w:pPr>
        <w:pStyle w:val="ListParagraph"/>
        <w:numPr>
          <w:ilvl w:val="0"/>
          <w:numId w:val="24"/>
        </w:numPr>
        <w:spacing w:before="0" w:after="160" w:line="259" w:lineRule="auto"/>
        <w:rPr>
          <w:szCs w:val="22"/>
        </w:rPr>
      </w:pPr>
      <w:r>
        <w:rPr>
          <w:szCs w:val="22"/>
        </w:rPr>
        <w:t>R</w:t>
      </w:r>
      <w:r w:rsidR="0049768A" w:rsidRPr="00564510">
        <w:rPr>
          <w:szCs w:val="22"/>
        </w:rPr>
        <w:t>eferral patterns may lead to a greater proportion of families with a higher/more complex risk profile</w:t>
      </w:r>
      <w:r>
        <w:rPr>
          <w:szCs w:val="22"/>
        </w:rPr>
        <w:t>.</w:t>
      </w:r>
      <w:r w:rsidR="0049768A" w:rsidRPr="00564510">
        <w:rPr>
          <w:rStyle w:val="FootnoteReference"/>
          <w:szCs w:val="22"/>
        </w:rPr>
        <w:footnoteReference w:id="24"/>
      </w:r>
      <w:r w:rsidR="0049768A" w:rsidRPr="00564510">
        <w:rPr>
          <w:szCs w:val="22"/>
        </w:rPr>
        <w:t xml:space="preserve"> </w:t>
      </w:r>
    </w:p>
    <w:p w14:paraId="49936E34" w14:textId="1B5BA1DC" w:rsidR="0049768A" w:rsidRPr="00564510" w:rsidRDefault="00564510" w:rsidP="00564510">
      <w:pPr>
        <w:pStyle w:val="DHHSbullet1"/>
        <w:numPr>
          <w:ilvl w:val="0"/>
          <w:numId w:val="0"/>
        </w:numPr>
        <w:spacing w:before="120" w:after="120" w:line="240" w:lineRule="auto"/>
        <w:ind w:left="284" w:hanging="284"/>
        <w:rPr>
          <w:sz w:val="22"/>
          <w:szCs w:val="22"/>
          <w:u w:val="single"/>
        </w:rPr>
      </w:pPr>
      <w:r w:rsidRPr="00564510">
        <w:rPr>
          <w:sz w:val="22"/>
          <w:szCs w:val="22"/>
          <w:u w:val="single"/>
        </w:rPr>
        <w:t>L</w:t>
      </w:r>
      <w:r w:rsidR="0049768A" w:rsidRPr="00564510">
        <w:rPr>
          <w:sz w:val="22"/>
          <w:szCs w:val="22"/>
          <w:u w:val="single"/>
        </w:rPr>
        <w:t>eadership - clinical, professional, and other</w:t>
      </w:r>
    </w:p>
    <w:p w14:paraId="37F79BDB" w14:textId="6BC54CA5" w:rsidR="0049768A" w:rsidRPr="00564510" w:rsidRDefault="00564510" w:rsidP="00564510">
      <w:pPr>
        <w:pStyle w:val="DHHSbullet2"/>
        <w:numPr>
          <w:ilvl w:val="0"/>
          <w:numId w:val="25"/>
        </w:numPr>
        <w:rPr>
          <w:sz w:val="22"/>
          <w:szCs w:val="22"/>
        </w:rPr>
      </w:pPr>
      <w:r>
        <w:rPr>
          <w:sz w:val="22"/>
          <w:szCs w:val="22"/>
        </w:rPr>
        <w:t>A</w:t>
      </w:r>
      <w:r w:rsidR="0049768A" w:rsidRPr="00564510">
        <w:rPr>
          <w:sz w:val="22"/>
          <w:szCs w:val="22"/>
        </w:rPr>
        <w:t>n effective leadership structure is critical for a well-functioning service, particularly when working with families who have multiple and complex needs and who are at risk of involvement in the child protection system</w:t>
      </w:r>
      <w:r>
        <w:rPr>
          <w:sz w:val="22"/>
          <w:szCs w:val="22"/>
        </w:rPr>
        <w:t>.</w:t>
      </w:r>
    </w:p>
    <w:p w14:paraId="3122E7AB" w14:textId="22EF09F7" w:rsidR="0049768A" w:rsidRPr="00564510" w:rsidRDefault="00564510" w:rsidP="00564510">
      <w:pPr>
        <w:pStyle w:val="DHHSbullet2"/>
        <w:numPr>
          <w:ilvl w:val="0"/>
          <w:numId w:val="25"/>
        </w:numPr>
        <w:spacing w:after="160" w:line="259" w:lineRule="auto"/>
        <w:rPr>
          <w:sz w:val="22"/>
          <w:szCs w:val="22"/>
        </w:rPr>
      </w:pPr>
      <w:r>
        <w:rPr>
          <w:sz w:val="22"/>
          <w:szCs w:val="22"/>
        </w:rPr>
        <w:lastRenderedPageBreak/>
        <w:t>P</w:t>
      </w:r>
      <w:r w:rsidR="0049768A" w:rsidRPr="00564510">
        <w:rPr>
          <w:sz w:val="22"/>
          <w:szCs w:val="22"/>
        </w:rPr>
        <w:t>ositive leadership and the availability of coaching, mentoring, supervision, and ongoing professional learning for workers is essential for supporting IFS staff</w:t>
      </w:r>
      <w:r>
        <w:rPr>
          <w:sz w:val="22"/>
          <w:szCs w:val="22"/>
        </w:rPr>
        <w:t>.</w:t>
      </w:r>
    </w:p>
    <w:p w14:paraId="231E4D0F" w14:textId="2D691B8A" w:rsidR="0049768A" w:rsidRPr="00564510" w:rsidRDefault="00564510" w:rsidP="00BC7686">
      <w:pPr>
        <w:pStyle w:val="DHHSbullet1"/>
        <w:numPr>
          <w:ilvl w:val="0"/>
          <w:numId w:val="0"/>
        </w:numPr>
        <w:rPr>
          <w:sz w:val="22"/>
          <w:szCs w:val="22"/>
          <w:u w:val="single"/>
        </w:rPr>
      </w:pPr>
      <w:r w:rsidRPr="00564510">
        <w:rPr>
          <w:sz w:val="22"/>
          <w:szCs w:val="22"/>
          <w:u w:val="single"/>
        </w:rPr>
        <w:t>R</w:t>
      </w:r>
      <w:r w:rsidR="0049768A" w:rsidRPr="00564510">
        <w:rPr>
          <w:sz w:val="22"/>
          <w:szCs w:val="22"/>
          <w:u w:val="single"/>
        </w:rPr>
        <w:t>apidity of organisational growth or change</w:t>
      </w:r>
    </w:p>
    <w:p w14:paraId="5C7F0C4B" w14:textId="30A3DC24" w:rsidR="0049768A" w:rsidRPr="00564510" w:rsidRDefault="00564510" w:rsidP="00BC7686">
      <w:pPr>
        <w:pStyle w:val="DHHSbullet2"/>
        <w:numPr>
          <w:ilvl w:val="0"/>
          <w:numId w:val="26"/>
        </w:numPr>
        <w:spacing w:after="160" w:line="259" w:lineRule="auto"/>
        <w:rPr>
          <w:sz w:val="22"/>
          <w:szCs w:val="22"/>
        </w:rPr>
      </w:pPr>
      <w:r>
        <w:rPr>
          <w:sz w:val="22"/>
          <w:szCs w:val="22"/>
        </w:rPr>
        <w:t>R</w:t>
      </w:r>
      <w:r w:rsidR="0049768A" w:rsidRPr="00564510">
        <w:rPr>
          <w:sz w:val="22"/>
          <w:szCs w:val="22"/>
        </w:rPr>
        <w:t>ecruiting and retaining a skilled IFS workforce, particularly specialist roles like the specialist DFV practitioner, can be difficult, particularly for regional and remote locations</w:t>
      </w:r>
      <w:r>
        <w:rPr>
          <w:sz w:val="22"/>
          <w:szCs w:val="22"/>
        </w:rPr>
        <w:t>.</w:t>
      </w:r>
    </w:p>
    <w:p w14:paraId="674F73B8" w14:textId="1C604DD4" w:rsidR="0049768A" w:rsidRPr="00BC7686" w:rsidRDefault="00564510" w:rsidP="00BC7686">
      <w:pPr>
        <w:pStyle w:val="DHHSbullet1"/>
        <w:numPr>
          <w:ilvl w:val="0"/>
          <w:numId w:val="0"/>
        </w:numPr>
        <w:spacing w:before="120" w:after="120" w:line="240" w:lineRule="auto"/>
        <w:rPr>
          <w:sz w:val="22"/>
          <w:szCs w:val="22"/>
          <w:u w:val="single"/>
        </w:rPr>
      </w:pPr>
      <w:r w:rsidRPr="00BC7686">
        <w:rPr>
          <w:sz w:val="22"/>
          <w:szCs w:val="22"/>
          <w:u w:val="single"/>
        </w:rPr>
        <w:t>O</w:t>
      </w:r>
      <w:r w:rsidR="0049768A" w:rsidRPr="00BC7686">
        <w:rPr>
          <w:sz w:val="22"/>
          <w:szCs w:val="22"/>
          <w:u w:val="single"/>
        </w:rPr>
        <w:t>rganisational culture</w:t>
      </w:r>
    </w:p>
    <w:p w14:paraId="180B3C27" w14:textId="62B5A77B" w:rsidR="00BC7686" w:rsidRPr="00564510" w:rsidRDefault="00BC7686" w:rsidP="009A3F7A">
      <w:pPr>
        <w:pStyle w:val="DHHSbullet2"/>
        <w:numPr>
          <w:ilvl w:val="0"/>
          <w:numId w:val="25"/>
        </w:numPr>
        <w:rPr>
          <w:sz w:val="22"/>
          <w:szCs w:val="22"/>
        </w:rPr>
      </w:pPr>
      <w:r>
        <w:rPr>
          <w:sz w:val="22"/>
          <w:szCs w:val="22"/>
        </w:rPr>
        <w:t>Professional support, supervision, mentoring, access to training and self-care strategies are essential to quality outcomes for families.</w:t>
      </w:r>
    </w:p>
    <w:p w14:paraId="2039F4AC" w14:textId="5ECC019B" w:rsidR="00BC7686" w:rsidRDefault="00BC7686" w:rsidP="009A3F7A">
      <w:pPr>
        <w:pStyle w:val="DHHSbullet2"/>
        <w:numPr>
          <w:ilvl w:val="0"/>
          <w:numId w:val="25"/>
        </w:numPr>
        <w:spacing w:after="160" w:line="259" w:lineRule="auto"/>
        <w:rPr>
          <w:sz w:val="22"/>
          <w:szCs w:val="22"/>
        </w:rPr>
      </w:pPr>
      <w:r>
        <w:rPr>
          <w:sz w:val="22"/>
          <w:szCs w:val="22"/>
        </w:rPr>
        <w:t>Higher caseloads can result in poorer outcomes for families and increase worker burnout over the long term.</w:t>
      </w:r>
      <w:r w:rsidRPr="00BC7686">
        <w:rPr>
          <w:rStyle w:val="FootnoteReference"/>
          <w:sz w:val="22"/>
          <w:szCs w:val="22"/>
        </w:rPr>
        <w:footnoteReference w:id="25"/>
      </w:r>
    </w:p>
    <w:p w14:paraId="68C55312" w14:textId="51BEACC5" w:rsidR="0049768A" w:rsidRPr="00BC7686" w:rsidRDefault="00BC7686" w:rsidP="00BC7686">
      <w:pPr>
        <w:pStyle w:val="DHHSbullet1"/>
        <w:numPr>
          <w:ilvl w:val="0"/>
          <w:numId w:val="0"/>
        </w:numPr>
        <w:spacing w:before="120" w:after="120" w:line="240" w:lineRule="auto"/>
        <w:ind w:left="284" w:hanging="284"/>
        <w:rPr>
          <w:sz w:val="22"/>
          <w:szCs w:val="22"/>
          <w:u w:val="single"/>
        </w:rPr>
      </w:pPr>
      <w:r w:rsidRPr="00BC7686">
        <w:rPr>
          <w:sz w:val="22"/>
          <w:szCs w:val="22"/>
          <w:u w:val="single"/>
        </w:rPr>
        <w:t>C</w:t>
      </w:r>
      <w:r w:rsidR="0049768A" w:rsidRPr="00BC7686">
        <w:rPr>
          <w:sz w:val="22"/>
          <w:szCs w:val="22"/>
          <w:u w:val="single"/>
        </w:rPr>
        <w:t>ultural capability</w:t>
      </w:r>
    </w:p>
    <w:p w14:paraId="7510C4FC" w14:textId="356639BB" w:rsidR="0049768A" w:rsidRPr="00BC7686" w:rsidRDefault="00BC7686" w:rsidP="00BC7686">
      <w:pPr>
        <w:pStyle w:val="DHHSbullet2"/>
        <w:numPr>
          <w:ilvl w:val="0"/>
          <w:numId w:val="28"/>
        </w:numPr>
        <w:rPr>
          <w:sz w:val="22"/>
          <w:szCs w:val="22"/>
        </w:rPr>
      </w:pPr>
      <w:r>
        <w:rPr>
          <w:sz w:val="22"/>
          <w:szCs w:val="22"/>
        </w:rPr>
        <w:t>C</w:t>
      </w:r>
      <w:r w:rsidR="0049768A" w:rsidRPr="00BC7686">
        <w:rPr>
          <w:sz w:val="22"/>
          <w:szCs w:val="22"/>
        </w:rPr>
        <w:t>ultural competence is essential as Aboriginal and/or Torres Strait Islander families comprise approximately one-quarter of all IFS cases</w:t>
      </w:r>
      <w:r>
        <w:rPr>
          <w:sz w:val="22"/>
          <w:szCs w:val="22"/>
        </w:rPr>
        <w:t>.</w:t>
      </w:r>
      <w:r w:rsidR="0049768A" w:rsidRPr="00BC7686">
        <w:rPr>
          <w:rStyle w:val="FootnoteReference"/>
          <w:sz w:val="22"/>
          <w:szCs w:val="22"/>
        </w:rPr>
        <w:footnoteReference w:id="26"/>
      </w:r>
    </w:p>
    <w:p w14:paraId="1F61E385" w14:textId="38966516" w:rsidR="0049768A" w:rsidRPr="00BC7686" w:rsidRDefault="00BC7686" w:rsidP="00BC7686">
      <w:pPr>
        <w:pStyle w:val="DHHSbullet2"/>
        <w:numPr>
          <w:ilvl w:val="0"/>
          <w:numId w:val="28"/>
        </w:numPr>
        <w:spacing w:after="160" w:line="259" w:lineRule="auto"/>
        <w:rPr>
          <w:sz w:val="22"/>
          <w:szCs w:val="22"/>
        </w:rPr>
      </w:pPr>
      <w:r>
        <w:rPr>
          <w:sz w:val="22"/>
          <w:szCs w:val="22"/>
        </w:rPr>
        <w:t>S</w:t>
      </w:r>
      <w:r w:rsidR="0049768A" w:rsidRPr="00BC7686">
        <w:rPr>
          <w:sz w:val="22"/>
          <w:szCs w:val="22"/>
        </w:rPr>
        <w:t>ome IFS providers may employ few or no staff from Aboriginal and Torres Strait Islander communities or culturally and linguistically diverse communities</w:t>
      </w:r>
      <w:r>
        <w:rPr>
          <w:sz w:val="22"/>
          <w:szCs w:val="22"/>
        </w:rPr>
        <w:t>.</w:t>
      </w:r>
    </w:p>
    <w:p w14:paraId="0962356B" w14:textId="0BD03082" w:rsidR="0049768A" w:rsidRPr="00BC7686" w:rsidRDefault="00BC7686" w:rsidP="00BC7686">
      <w:pPr>
        <w:pStyle w:val="DHHSbullet1"/>
        <w:numPr>
          <w:ilvl w:val="0"/>
          <w:numId w:val="0"/>
        </w:numPr>
        <w:spacing w:before="120" w:after="120" w:line="240" w:lineRule="auto"/>
        <w:ind w:left="284" w:hanging="284"/>
        <w:rPr>
          <w:sz w:val="22"/>
          <w:szCs w:val="22"/>
          <w:u w:val="single"/>
        </w:rPr>
      </w:pPr>
      <w:r w:rsidRPr="00BC7686">
        <w:rPr>
          <w:sz w:val="22"/>
          <w:szCs w:val="22"/>
          <w:u w:val="single"/>
        </w:rPr>
        <w:t>F</w:t>
      </w:r>
      <w:r w:rsidR="0049768A" w:rsidRPr="00BC7686">
        <w:rPr>
          <w:sz w:val="22"/>
          <w:szCs w:val="22"/>
          <w:u w:val="single"/>
        </w:rPr>
        <w:t>inancial performance</w:t>
      </w:r>
    </w:p>
    <w:p w14:paraId="17A80405" w14:textId="5A59C140" w:rsidR="0049768A" w:rsidRDefault="00BC7686" w:rsidP="00BC7686">
      <w:pPr>
        <w:pStyle w:val="DHHSbullet2"/>
        <w:numPr>
          <w:ilvl w:val="0"/>
          <w:numId w:val="29"/>
        </w:numPr>
        <w:rPr>
          <w:sz w:val="22"/>
          <w:szCs w:val="22"/>
        </w:rPr>
      </w:pPr>
      <w:r>
        <w:rPr>
          <w:sz w:val="22"/>
          <w:szCs w:val="22"/>
        </w:rPr>
        <w:t>S</w:t>
      </w:r>
      <w:r w:rsidR="0049768A" w:rsidRPr="00BC7686">
        <w:rPr>
          <w:sz w:val="22"/>
          <w:szCs w:val="22"/>
        </w:rPr>
        <w:t>ignificant unspent funds for IFS providers may result from extended staff vacancies or related factors</w:t>
      </w:r>
      <w:r>
        <w:rPr>
          <w:sz w:val="22"/>
          <w:szCs w:val="22"/>
        </w:rPr>
        <w:t>.</w:t>
      </w:r>
      <w:r w:rsidR="00563419">
        <w:rPr>
          <w:sz w:val="22"/>
          <w:szCs w:val="22"/>
        </w:rPr>
        <w:t xml:space="preserve"> </w:t>
      </w:r>
      <w:r w:rsidR="00813E6C">
        <w:rPr>
          <w:sz w:val="22"/>
          <w:szCs w:val="22"/>
        </w:rPr>
        <w:t>The i</w:t>
      </w:r>
      <w:r w:rsidR="00563419">
        <w:rPr>
          <w:sz w:val="22"/>
          <w:szCs w:val="22"/>
        </w:rPr>
        <w:t xml:space="preserve">mpact is less family support </w:t>
      </w:r>
      <w:r w:rsidR="00813E6C">
        <w:rPr>
          <w:sz w:val="22"/>
          <w:szCs w:val="22"/>
        </w:rPr>
        <w:t>is available to</w:t>
      </w:r>
      <w:r w:rsidR="00563419">
        <w:rPr>
          <w:sz w:val="22"/>
          <w:szCs w:val="22"/>
        </w:rPr>
        <w:t xml:space="preserve"> at</w:t>
      </w:r>
      <w:r w:rsidR="00813E6C">
        <w:rPr>
          <w:sz w:val="22"/>
          <w:szCs w:val="22"/>
        </w:rPr>
        <w:t>-</w:t>
      </w:r>
      <w:r w:rsidR="00563419">
        <w:rPr>
          <w:sz w:val="22"/>
          <w:szCs w:val="22"/>
        </w:rPr>
        <w:t xml:space="preserve">risk families. </w:t>
      </w:r>
    </w:p>
    <w:p w14:paraId="7CB05915" w14:textId="14567211" w:rsidR="00166A8E" w:rsidRDefault="00166A8E" w:rsidP="00166A8E">
      <w:pPr>
        <w:pStyle w:val="DHHSbullet2"/>
        <w:numPr>
          <w:ilvl w:val="0"/>
          <w:numId w:val="0"/>
        </w:numPr>
        <w:ind w:left="567" w:hanging="283"/>
        <w:rPr>
          <w:sz w:val="22"/>
          <w:szCs w:val="22"/>
        </w:rPr>
      </w:pPr>
    </w:p>
    <w:p w14:paraId="5362BE55" w14:textId="0E2C99A6" w:rsidR="00166A8E" w:rsidRDefault="00166A8E" w:rsidP="00166A8E">
      <w:pPr>
        <w:pStyle w:val="DHHSbullet2"/>
        <w:numPr>
          <w:ilvl w:val="0"/>
          <w:numId w:val="0"/>
        </w:numPr>
        <w:ind w:left="567" w:hanging="283"/>
        <w:rPr>
          <w:sz w:val="22"/>
          <w:szCs w:val="22"/>
        </w:rPr>
      </w:pPr>
    </w:p>
    <w:p w14:paraId="57A637FB" w14:textId="77777777" w:rsidR="00166A8E" w:rsidRDefault="00166A8E">
      <w:pPr>
        <w:spacing w:before="0" w:after="0"/>
        <w:rPr>
          <w:rFonts w:eastAsiaTheme="majorEastAsia" w:cstheme="majorBidi"/>
          <w:b/>
          <w:color w:val="783772"/>
          <w:sz w:val="28"/>
          <w:szCs w:val="26"/>
        </w:rPr>
      </w:pPr>
      <w:r>
        <w:br w:type="page"/>
      </w:r>
    </w:p>
    <w:p w14:paraId="3187C36C" w14:textId="38A741C3" w:rsidR="00166A8E" w:rsidRDefault="00166A8E" w:rsidP="00166A8E">
      <w:pPr>
        <w:pStyle w:val="Heading2"/>
      </w:pPr>
      <w:r>
        <w:lastRenderedPageBreak/>
        <w:t>Appendix 3: IFS performance assessment</w:t>
      </w:r>
    </w:p>
    <w:p w14:paraId="490BCACA" w14:textId="77777777" w:rsidR="00166A8E" w:rsidRDefault="00166A8E" w:rsidP="00166A8E">
      <w:r>
        <w:t>Key questions that can help inform the assessment of IFS performance include the following:</w:t>
      </w:r>
    </w:p>
    <w:p w14:paraId="646F742F"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 xml:space="preserve">Who are the primary referrers? </w:t>
      </w:r>
    </w:p>
    <w:p w14:paraId="7DEBDA64" w14:textId="77777777" w:rsidR="00B049EF" w:rsidRDefault="00166A8E" w:rsidP="00166A8E">
      <w:pPr>
        <w:pStyle w:val="DHHSbullet2"/>
        <w:numPr>
          <w:ilvl w:val="0"/>
          <w:numId w:val="31"/>
        </w:numPr>
        <w:rPr>
          <w:sz w:val="22"/>
          <w:szCs w:val="22"/>
        </w:rPr>
      </w:pPr>
      <w:r>
        <w:rPr>
          <w:sz w:val="22"/>
          <w:szCs w:val="22"/>
        </w:rPr>
        <w:t>R</w:t>
      </w:r>
      <w:r w:rsidRPr="00166A8E">
        <w:rPr>
          <w:sz w:val="22"/>
          <w:szCs w:val="22"/>
        </w:rPr>
        <w:t>eferrals from Child Safety – CSSC, Child Safety – RIS, and Police are expected to have a greater number of presenting concerns, increased overall complexity,</w:t>
      </w:r>
      <w:r w:rsidRPr="00166A8E">
        <w:rPr>
          <w:rStyle w:val="FootnoteReference"/>
          <w:sz w:val="22"/>
          <w:szCs w:val="22"/>
        </w:rPr>
        <w:footnoteReference w:id="27"/>
      </w:r>
      <w:r w:rsidRPr="00166A8E">
        <w:rPr>
          <w:sz w:val="22"/>
          <w:szCs w:val="22"/>
        </w:rPr>
        <w:t xml:space="preserve"> lower consent rates, and a lower overall rate of success. </w:t>
      </w:r>
    </w:p>
    <w:p w14:paraId="22C90FE2" w14:textId="42EC4A51" w:rsidR="00166A8E" w:rsidRPr="00166A8E" w:rsidRDefault="00166A8E" w:rsidP="00166A8E">
      <w:pPr>
        <w:pStyle w:val="DHHSbullet2"/>
        <w:numPr>
          <w:ilvl w:val="0"/>
          <w:numId w:val="31"/>
        </w:numPr>
        <w:rPr>
          <w:sz w:val="22"/>
          <w:szCs w:val="22"/>
        </w:rPr>
      </w:pPr>
      <w:r w:rsidRPr="00166A8E">
        <w:rPr>
          <w:sz w:val="22"/>
          <w:szCs w:val="22"/>
        </w:rPr>
        <w:t xml:space="preserve">Referrals from RIS and Police are likely to be </w:t>
      </w:r>
      <w:r>
        <w:rPr>
          <w:sz w:val="22"/>
          <w:szCs w:val="22"/>
        </w:rPr>
        <w:t>“</w:t>
      </w:r>
      <w:r w:rsidRPr="00166A8E">
        <w:rPr>
          <w:sz w:val="22"/>
          <w:szCs w:val="22"/>
        </w:rPr>
        <w:t>non-consenting referrals</w:t>
      </w:r>
      <w:r>
        <w:rPr>
          <w:sz w:val="22"/>
          <w:szCs w:val="22"/>
        </w:rPr>
        <w:t>”</w:t>
      </w:r>
      <w:r w:rsidRPr="00166A8E">
        <w:rPr>
          <w:sz w:val="22"/>
          <w:szCs w:val="22"/>
        </w:rPr>
        <w:t xml:space="preserve"> and engagement rates are usually lower than for referrals that have been discussed with the family and where a warm handover has occurred.  </w:t>
      </w:r>
    </w:p>
    <w:p w14:paraId="16731EA8"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What is the average level of family complexity?</w:t>
      </w:r>
    </w:p>
    <w:p w14:paraId="596BC66E" w14:textId="79AB9EB7" w:rsidR="00166A8E" w:rsidRPr="00166A8E" w:rsidRDefault="00166A8E" w:rsidP="00166A8E">
      <w:pPr>
        <w:pStyle w:val="DHHSbullet2"/>
        <w:numPr>
          <w:ilvl w:val="0"/>
          <w:numId w:val="32"/>
        </w:numPr>
        <w:rPr>
          <w:sz w:val="22"/>
          <w:szCs w:val="22"/>
        </w:rPr>
      </w:pPr>
      <w:r>
        <w:rPr>
          <w:sz w:val="22"/>
          <w:szCs w:val="22"/>
        </w:rPr>
        <w:t>A</w:t>
      </w:r>
      <w:r w:rsidRPr="00166A8E">
        <w:rPr>
          <w:sz w:val="22"/>
          <w:szCs w:val="22"/>
        </w:rPr>
        <w:t xml:space="preserve"> higher level of complexity is associated with longer-than-average interventions (12-18 months instead of 6-9 months)</w:t>
      </w:r>
      <w:r>
        <w:rPr>
          <w:sz w:val="22"/>
          <w:szCs w:val="22"/>
        </w:rPr>
        <w:t>.</w:t>
      </w:r>
      <w:r w:rsidRPr="00166A8E">
        <w:rPr>
          <w:rStyle w:val="FootnoteReference"/>
          <w:sz w:val="22"/>
          <w:szCs w:val="22"/>
        </w:rPr>
        <w:footnoteReference w:id="28"/>
      </w:r>
    </w:p>
    <w:p w14:paraId="16A85B08" w14:textId="40578D6A" w:rsidR="00166A8E" w:rsidRPr="00166A8E" w:rsidRDefault="00166A8E" w:rsidP="00166A8E">
      <w:pPr>
        <w:pStyle w:val="DHHSbullet2"/>
        <w:numPr>
          <w:ilvl w:val="0"/>
          <w:numId w:val="32"/>
        </w:numPr>
        <w:rPr>
          <w:sz w:val="22"/>
          <w:szCs w:val="22"/>
        </w:rPr>
      </w:pPr>
      <w:r>
        <w:rPr>
          <w:sz w:val="22"/>
          <w:szCs w:val="22"/>
        </w:rPr>
        <w:t>T</w:t>
      </w:r>
      <w:r w:rsidRPr="00166A8E">
        <w:rPr>
          <w:sz w:val="22"/>
          <w:szCs w:val="22"/>
        </w:rPr>
        <w:t>he proportion of families who are low risk versus moderate/high risk (with safety plans) can affect IFS throughputs</w:t>
      </w:r>
      <w:r>
        <w:rPr>
          <w:sz w:val="22"/>
          <w:szCs w:val="22"/>
        </w:rPr>
        <w:t>.</w:t>
      </w:r>
    </w:p>
    <w:p w14:paraId="53B8F90D"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Is the IFS service receiving the “right referrals”?</w:t>
      </w:r>
    </w:p>
    <w:p w14:paraId="0F67EF6E" w14:textId="6C1803C8" w:rsidR="008B47A9" w:rsidRDefault="00166A8E" w:rsidP="00166A8E">
      <w:pPr>
        <w:pStyle w:val="DHHSbullet2"/>
        <w:numPr>
          <w:ilvl w:val="0"/>
          <w:numId w:val="33"/>
        </w:numPr>
        <w:rPr>
          <w:sz w:val="22"/>
        </w:rPr>
      </w:pPr>
      <w:r w:rsidRPr="0058495D">
        <w:rPr>
          <w:sz w:val="22"/>
        </w:rPr>
        <w:t xml:space="preserve">Some IFS services may receive a disproportionate number of referrals where a statutory response through an ongoing intervention </w:t>
      </w:r>
      <w:r w:rsidR="00556AE7" w:rsidRPr="0058495D">
        <w:rPr>
          <w:sz w:val="22"/>
        </w:rPr>
        <w:t xml:space="preserve">may </w:t>
      </w:r>
      <w:r w:rsidR="002C3BDD" w:rsidRPr="0058495D">
        <w:rPr>
          <w:sz w:val="22"/>
        </w:rPr>
        <w:t xml:space="preserve">have </w:t>
      </w:r>
      <w:r w:rsidRPr="0058495D">
        <w:rPr>
          <w:sz w:val="22"/>
        </w:rPr>
        <w:t>been the more appropriate response</w:t>
      </w:r>
      <w:r w:rsidR="002C3BDD" w:rsidRPr="0058495D">
        <w:rPr>
          <w:sz w:val="22"/>
        </w:rPr>
        <w:t>; this</w:t>
      </w:r>
      <w:r w:rsidRPr="0058495D">
        <w:rPr>
          <w:sz w:val="22"/>
        </w:rPr>
        <w:t xml:space="preserve"> impacts</w:t>
      </w:r>
      <w:r w:rsidR="00556AE7" w:rsidRPr="0058495D">
        <w:rPr>
          <w:sz w:val="22"/>
        </w:rPr>
        <w:t xml:space="preserve"> consent rates,</w:t>
      </w:r>
      <w:r w:rsidRPr="0058495D">
        <w:rPr>
          <w:sz w:val="22"/>
        </w:rPr>
        <w:t xml:space="preserve"> </w:t>
      </w:r>
      <w:r w:rsidR="002C3BDD" w:rsidRPr="0058495D">
        <w:rPr>
          <w:sz w:val="22"/>
        </w:rPr>
        <w:t xml:space="preserve">the average intervention </w:t>
      </w:r>
      <w:r w:rsidR="008B47A9" w:rsidRPr="0058495D">
        <w:rPr>
          <w:sz w:val="22"/>
        </w:rPr>
        <w:t>period,</w:t>
      </w:r>
      <w:r w:rsidR="00556AE7" w:rsidRPr="0058495D">
        <w:rPr>
          <w:sz w:val="22"/>
        </w:rPr>
        <w:t xml:space="preserve"> and </w:t>
      </w:r>
      <w:r w:rsidR="006E4FF9" w:rsidRPr="0058495D">
        <w:rPr>
          <w:sz w:val="22"/>
        </w:rPr>
        <w:t>outcomes for families</w:t>
      </w:r>
      <w:r w:rsidRPr="0058495D">
        <w:rPr>
          <w:sz w:val="22"/>
        </w:rPr>
        <w:t xml:space="preserve">. </w:t>
      </w:r>
    </w:p>
    <w:p w14:paraId="7A375BEF" w14:textId="1CB2FE28" w:rsidR="00166A8E" w:rsidRPr="0058495D" w:rsidRDefault="008B47A9" w:rsidP="00166A8E">
      <w:pPr>
        <w:pStyle w:val="DHHSbullet2"/>
        <w:numPr>
          <w:ilvl w:val="0"/>
          <w:numId w:val="33"/>
        </w:numPr>
        <w:rPr>
          <w:sz w:val="22"/>
        </w:rPr>
      </w:pPr>
      <w:r>
        <w:rPr>
          <w:sz w:val="22"/>
        </w:rPr>
        <w:t xml:space="preserve">Conversely, some IFS services might receive a greater proportion of referrals with lower overall complexity, leading to a shorter average intervention period, a higher rate of consent, and more positive outcomes at case closure. </w:t>
      </w:r>
    </w:p>
    <w:p w14:paraId="71DFF099"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How many hours are spent with families?</w:t>
      </w:r>
      <w:r w:rsidRPr="00166A8E">
        <w:rPr>
          <w:rStyle w:val="FootnoteReference"/>
          <w:sz w:val="22"/>
          <w:szCs w:val="22"/>
          <w:u w:val="single"/>
        </w:rPr>
        <w:footnoteReference w:id="29"/>
      </w:r>
    </w:p>
    <w:p w14:paraId="371E0A87" w14:textId="6DE3D0B8" w:rsidR="00166A8E" w:rsidRPr="00166A8E" w:rsidRDefault="00166A8E" w:rsidP="00166A8E">
      <w:pPr>
        <w:pStyle w:val="DHHSbullet2"/>
        <w:numPr>
          <w:ilvl w:val="0"/>
          <w:numId w:val="34"/>
        </w:numPr>
        <w:rPr>
          <w:sz w:val="22"/>
          <w:szCs w:val="22"/>
        </w:rPr>
      </w:pPr>
      <w:r>
        <w:rPr>
          <w:sz w:val="22"/>
          <w:szCs w:val="22"/>
        </w:rPr>
        <w:t>T</w:t>
      </w:r>
      <w:r w:rsidRPr="00166A8E">
        <w:rPr>
          <w:sz w:val="22"/>
          <w:szCs w:val="22"/>
        </w:rPr>
        <w:t>he service hours</w:t>
      </w:r>
      <w:r w:rsidR="00075780">
        <w:rPr>
          <w:sz w:val="22"/>
          <w:szCs w:val="22"/>
        </w:rPr>
        <w:t xml:space="preserve"> by case</w:t>
      </w:r>
      <w:r w:rsidRPr="00166A8E">
        <w:rPr>
          <w:sz w:val="22"/>
          <w:szCs w:val="22"/>
        </w:rPr>
        <w:t xml:space="preserve"> report</w:t>
      </w:r>
      <w:r w:rsidR="00075780">
        <w:rPr>
          <w:sz w:val="22"/>
          <w:szCs w:val="22"/>
        </w:rPr>
        <w:t xml:space="preserve"> on ARC</w:t>
      </w:r>
      <w:r w:rsidRPr="00166A8E">
        <w:rPr>
          <w:sz w:val="22"/>
          <w:szCs w:val="22"/>
        </w:rPr>
        <w:t xml:space="preserve"> can indicate whether more or less time is spent with families than average</w:t>
      </w:r>
      <w:r>
        <w:rPr>
          <w:sz w:val="22"/>
          <w:szCs w:val="22"/>
        </w:rPr>
        <w:t>.</w:t>
      </w:r>
    </w:p>
    <w:p w14:paraId="1686BB15" w14:textId="2162A47D" w:rsidR="00166A8E" w:rsidRPr="00166A8E" w:rsidRDefault="00166A8E" w:rsidP="00166A8E">
      <w:pPr>
        <w:pStyle w:val="DHHSbullet2"/>
        <w:numPr>
          <w:ilvl w:val="0"/>
          <w:numId w:val="34"/>
        </w:numPr>
        <w:rPr>
          <w:sz w:val="22"/>
          <w:szCs w:val="22"/>
        </w:rPr>
      </w:pPr>
      <w:r>
        <w:rPr>
          <w:sz w:val="22"/>
          <w:szCs w:val="22"/>
        </w:rPr>
        <w:t>S</w:t>
      </w:r>
      <w:r w:rsidRPr="00166A8E">
        <w:rPr>
          <w:sz w:val="22"/>
          <w:szCs w:val="22"/>
        </w:rPr>
        <w:t>horter engagement durations generally limit IFS outcomes as well as the sustainability of changed behaviours</w:t>
      </w:r>
      <w:r>
        <w:rPr>
          <w:sz w:val="22"/>
          <w:szCs w:val="22"/>
        </w:rPr>
        <w:t>.</w:t>
      </w:r>
    </w:p>
    <w:p w14:paraId="49C3C688"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What is the average worker caseload?</w:t>
      </w:r>
    </w:p>
    <w:p w14:paraId="76A42831" w14:textId="0ACD223E" w:rsidR="00166A8E" w:rsidRPr="00166A8E" w:rsidRDefault="00166A8E" w:rsidP="00166A8E">
      <w:pPr>
        <w:pStyle w:val="DHHSbullet2"/>
        <w:numPr>
          <w:ilvl w:val="0"/>
          <w:numId w:val="35"/>
        </w:numPr>
        <w:rPr>
          <w:sz w:val="22"/>
          <w:szCs w:val="22"/>
        </w:rPr>
      </w:pPr>
      <w:r>
        <w:rPr>
          <w:sz w:val="22"/>
          <w:szCs w:val="22"/>
        </w:rPr>
        <w:t>A</w:t>
      </w:r>
      <w:r w:rsidRPr="00166A8E">
        <w:rPr>
          <w:sz w:val="22"/>
          <w:szCs w:val="22"/>
        </w:rPr>
        <w:t>chieving outcomes with families requires having sufficient workload capacity; most caseworkers have between 9-12 families on average (a case mix of low-moderate and high needs)</w:t>
      </w:r>
      <w:r>
        <w:rPr>
          <w:sz w:val="22"/>
          <w:szCs w:val="22"/>
        </w:rPr>
        <w:t>.</w:t>
      </w:r>
    </w:p>
    <w:p w14:paraId="12A6E95F" w14:textId="7B12A558" w:rsidR="00166A8E" w:rsidRPr="00166A8E" w:rsidRDefault="00166A8E" w:rsidP="00166A8E">
      <w:pPr>
        <w:pStyle w:val="DHHSbullet2"/>
        <w:numPr>
          <w:ilvl w:val="0"/>
          <w:numId w:val="35"/>
        </w:numPr>
        <w:rPr>
          <w:sz w:val="22"/>
          <w:szCs w:val="22"/>
        </w:rPr>
      </w:pPr>
      <w:r>
        <w:rPr>
          <w:sz w:val="22"/>
          <w:szCs w:val="22"/>
        </w:rPr>
        <w:t>H</w:t>
      </w:r>
      <w:r w:rsidRPr="00166A8E">
        <w:rPr>
          <w:sz w:val="22"/>
          <w:szCs w:val="22"/>
        </w:rPr>
        <w:t>igher-than-normal staff caseloads are associated with less impactful changes for families</w:t>
      </w:r>
      <w:r w:rsidR="008B47A9">
        <w:rPr>
          <w:sz w:val="22"/>
          <w:szCs w:val="22"/>
        </w:rPr>
        <w:t>, and conversely lighter-than-normal caseloads are associated with greater impacts</w:t>
      </w:r>
      <w:r>
        <w:rPr>
          <w:sz w:val="22"/>
          <w:szCs w:val="22"/>
        </w:rPr>
        <w:t>.</w:t>
      </w:r>
    </w:p>
    <w:p w14:paraId="2853A7DF"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How is performance across the longer term?</w:t>
      </w:r>
    </w:p>
    <w:p w14:paraId="2C5BDEFE" w14:textId="70FA5ED8" w:rsidR="00166A8E" w:rsidRPr="00166A8E" w:rsidRDefault="00166A8E" w:rsidP="00166A8E">
      <w:pPr>
        <w:pStyle w:val="DHHSbullet2"/>
        <w:numPr>
          <w:ilvl w:val="0"/>
          <w:numId w:val="36"/>
        </w:numPr>
        <w:rPr>
          <w:sz w:val="22"/>
          <w:szCs w:val="22"/>
        </w:rPr>
      </w:pPr>
      <w:r>
        <w:rPr>
          <w:sz w:val="22"/>
          <w:szCs w:val="22"/>
        </w:rPr>
        <w:lastRenderedPageBreak/>
        <w:t>Q</w:t>
      </w:r>
      <w:r w:rsidRPr="00166A8E">
        <w:rPr>
          <w:sz w:val="22"/>
          <w:szCs w:val="22"/>
        </w:rPr>
        <w:t>uarterly performance reports have less meaning under the IFS performance framework; at least four quarter’s worth of data is necessary due to the length of time families are supported under the service model</w:t>
      </w:r>
      <w:r>
        <w:rPr>
          <w:sz w:val="22"/>
          <w:szCs w:val="22"/>
        </w:rPr>
        <w:t>.</w:t>
      </w:r>
    </w:p>
    <w:p w14:paraId="5B868CF7" w14:textId="160F71AD" w:rsidR="00166A8E" w:rsidRPr="00166A8E" w:rsidRDefault="00166A8E" w:rsidP="00166A8E">
      <w:pPr>
        <w:pStyle w:val="DHHSbullet2"/>
        <w:numPr>
          <w:ilvl w:val="0"/>
          <w:numId w:val="36"/>
        </w:numPr>
        <w:rPr>
          <w:sz w:val="22"/>
          <w:szCs w:val="22"/>
        </w:rPr>
      </w:pPr>
      <w:r>
        <w:rPr>
          <w:sz w:val="22"/>
          <w:szCs w:val="22"/>
        </w:rPr>
        <w:t>T</w:t>
      </w:r>
      <w:r w:rsidRPr="00166A8E">
        <w:rPr>
          <w:sz w:val="22"/>
          <w:szCs w:val="22"/>
        </w:rPr>
        <w:t>he primary deliverable (all/majority case plan goals achieved) should be considered in combination with other performance indicators for the relevant period, specifically the number of hours provided, number of referrals received, number of service users with cases commenced, and number of existing service users at the beginning of the period</w:t>
      </w:r>
      <w:r>
        <w:rPr>
          <w:sz w:val="22"/>
          <w:szCs w:val="22"/>
        </w:rPr>
        <w:t>.</w:t>
      </w:r>
    </w:p>
    <w:p w14:paraId="53DABFA3"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Does the service have a significant waitlist?</w:t>
      </w:r>
    </w:p>
    <w:p w14:paraId="09F6BD3D" w14:textId="2CFEA1D6" w:rsidR="00166A8E" w:rsidRPr="00166A8E" w:rsidRDefault="00166A8E" w:rsidP="00166A8E">
      <w:pPr>
        <w:pStyle w:val="DHHSbullet2"/>
        <w:numPr>
          <w:ilvl w:val="0"/>
          <w:numId w:val="37"/>
        </w:numPr>
        <w:rPr>
          <w:sz w:val="22"/>
          <w:szCs w:val="22"/>
        </w:rPr>
      </w:pPr>
      <w:r>
        <w:rPr>
          <w:sz w:val="22"/>
          <w:szCs w:val="22"/>
        </w:rPr>
        <w:t>F</w:t>
      </w:r>
      <w:r w:rsidRPr="00166A8E">
        <w:rPr>
          <w:sz w:val="22"/>
          <w:szCs w:val="22"/>
        </w:rPr>
        <w:t>uture ARC reporting capabilities will capture both the number and average of waitlisted families and the average length of time before a case is allocated</w:t>
      </w:r>
      <w:r>
        <w:rPr>
          <w:sz w:val="22"/>
          <w:szCs w:val="22"/>
        </w:rPr>
        <w:t>.</w:t>
      </w:r>
    </w:p>
    <w:p w14:paraId="59C68BA6" w14:textId="48A6CCB5" w:rsidR="00166A8E" w:rsidRPr="00166A8E" w:rsidRDefault="00166A8E" w:rsidP="00166A8E">
      <w:pPr>
        <w:pStyle w:val="DHHSbullet2"/>
        <w:numPr>
          <w:ilvl w:val="0"/>
          <w:numId w:val="37"/>
        </w:numPr>
        <w:rPr>
          <w:sz w:val="22"/>
          <w:szCs w:val="22"/>
        </w:rPr>
      </w:pPr>
      <w:r w:rsidRPr="00166A8E">
        <w:rPr>
          <w:sz w:val="22"/>
          <w:szCs w:val="22"/>
        </w:rPr>
        <w:t>“</w:t>
      </w:r>
      <w:r>
        <w:rPr>
          <w:sz w:val="22"/>
          <w:szCs w:val="22"/>
        </w:rPr>
        <w:t>A</w:t>
      </w:r>
      <w:r w:rsidRPr="00166A8E">
        <w:rPr>
          <w:sz w:val="22"/>
          <w:szCs w:val="22"/>
        </w:rPr>
        <w:t>ctive holding” for a waitlist requires significant human resources due to the requirement for regular consensual contact (weekly or fortnightly), initial safety assessments, potential Principal Child Protection Practitioner (PCPP) and specialist DFV practitioner consults, and the meeting of any immediate support needs until a warm handover has occurred</w:t>
      </w:r>
      <w:r>
        <w:rPr>
          <w:sz w:val="22"/>
          <w:szCs w:val="22"/>
        </w:rPr>
        <w:t>.</w:t>
      </w:r>
      <w:r w:rsidRPr="00166A8E">
        <w:rPr>
          <w:rStyle w:val="FootnoteReference"/>
          <w:sz w:val="22"/>
          <w:szCs w:val="22"/>
        </w:rPr>
        <w:footnoteReference w:id="30"/>
      </w:r>
    </w:p>
    <w:p w14:paraId="30E84BE1" w14:textId="63B70909" w:rsidR="00166A8E" w:rsidRPr="00166A8E" w:rsidRDefault="00166A8E" w:rsidP="00166A8E">
      <w:pPr>
        <w:pStyle w:val="DHHSbullet2"/>
        <w:numPr>
          <w:ilvl w:val="0"/>
          <w:numId w:val="37"/>
        </w:numPr>
        <w:rPr>
          <w:sz w:val="22"/>
          <w:szCs w:val="22"/>
        </w:rPr>
      </w:pPr>
      <w:r>
        <w:rPr>
          <w:sz w:val="22"/>
          <w:szCs w:val="22"/>
        </w:rPr>
        <w:t>F</w:t>
      </w:r>
      <w:r w:rsidRPr="00166A8E">
        <w:rPr>
          <w:sz w:val="22"/>
          <w:szCs w:val="22"/>
        </w:rPr>
        <w:t xml:space="preserve">amilial consent is far less likely if an IFS service is not offered as close to the date of referral as possible, </w:t>
      </w:r>
      <w:r w:rsidRPr="003A3C46">
        <w:rPr>
          <w:sz w:val="22"/>
          <w:szCs w:val="22"/>
        </w:rPr>
        <w:t xml:space="preserve">preferably within a </w:t>
      </w:r>
      <w:r w:rsidR="002C3BDD" w:rsidRPr="003A3C46">
        <w:rPr>
          <w:sz w:val="22"/>
          <w:szCs w:val="22"/>
        </w:rPr>
        <w:t>two-to-four-week</w:t>
      </w:r>
      <w:r w:rsidRPr="003A3C46">
        <w:rPr>
          <w:sz w:val="22"/>
          <w:szCs w:val="22"/>
        </w:rPr>
        <w:t xml:space="preserve"> period</w:t>
      </w:r>
      <w:r w:rsidRPr="00166A8E">
        <w:rPr>
          <w:sz w:val="22"/>
          <w:szCs w:val="22"/>
        </w:rPr>
        <w:t>.</w:t>
      </w:r>
    </w:p>
    <w:p w14:paraId="5AB3B1C8"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Are staffing circumstances impacting performance?</w:t>
      </w:r>
    </w:p>
    <w:p w14:paraId="3AB82497" w14:textId="7FE27D5A" w:rsidR="00166A8E" w:rsidRPr="00166A8E" w:rsidRDefault="002C3BDD" w:rsidP="00166A8E">
      <w:pPr>
        <w:pStyle w:val="DHHSbullet2"/>
        <w:numPr>
          <w:ilvl w:val="0"/>
          <w:numId w:val="38"/>
        </w:numPr>
        <w:rPr>
          <w:sz w:val="22"/>
          <w:szCs w:val="22"/>
        </w:rPr>
      </w:pPr>
      <w:r>
        <w:rPr>
          <w:sz w:val="22"/>
          <w:szCs w:val="22"/>
        </w:rPr>
        <w:t>S</w:t>
      </w:r>
      <w:r w:rsidR="00166A8E" w:rsidRPr="00166A8E">
        <w:rPr>
          <w:sz w:val="22"/>
          <w:szCs w:val="22"/>
        </w:rPr>
        <w:t>taffing impacts may include positions that are unfilled for extended periods, staff turnover, sickness/burnout, appointees without recommended qualifications, lack of access to a local PCPP / specialist DFV practitioner / Aboriginal and Torres Strait Islander specialist, and staff untrained in the IFS guidelines/framework</w:t>
      </w:r>
      <w:r>
        <w:rPr>
          <w:sz w:val="22"/>
          <w:szCs w:val="22"/>
        </w:rPr>
        <w:t>.</w:t>
      </w:r>
      <w:r w:rsidR="00166A8E" w:rsidRPr="00166A8E">
        <w:rPr>
          <w:rStyle w:val="FootnoteReference"/>
          <w:sz w:val="22"/>
          <w:szCs w:val="22"/>
        </w:rPr>
        <w:footnoteReference w:id="31"/>
      </w:r>
    </w:p>
    <w:p w14:paraId="45609404" w14:textId="2EEFD2CB" w:rsidR="00166A8E" w:rsidRPr="00166A8E" w:rsidRDefault="00166A8E" w:rsidP="00166A8E">
      <w:pPr>
        <w:pStyle w:val="DHHSbullet2"/>
        <w:numPr>
          <w:ilvl w:val="0"/>
          <w:numId w:val="38"/>
        </w:numPr>
        <w:rPr>
          <w:sz w:val="22"/>
          <w:szCs w:val="22"/>
        </w:rPr>
      </w:pPr>
      <w:r w:rsidRPr="00166A8E">
        <w:rPr>
          <w:sz w:val="22"/>
          <w:szCs w:val="22"/>
        </w:rPr>
        <w:t>IFS providers with smaller teams may not always have dedicated specialist roles – staff may be needed for general case management work, or only work part-time in their specialist position</w:t>
      </w:r>
      <w:r w:rsidR="002C3BDD">
        <w:rPr>
          <w:sz w:val="22"/>
          <w:szCs w:val="22"/>
        </w:rPr>
        <w:t>.</w:t>
      </w:r>
    </w:p>
    <w:p w14:paraId="251B2B28"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Are local circumstances impacting performance?</w:t>
      </w:r>
    </w:p>
    <w:p w14:paraId="1E535EDF" w14:textId="28068564" w:rsidR="00166A8E" w:rsidRPr="00166A8E" w:rsidRDefault="002C3BDD" w:rsidP="00166A8E">
      <w:pPr>
        <w:pStyle w:val="DHHSbullet2"/>
        <w:numPr>
          <w:ilvl w:val="0"/>
          <w:numId w:val="39"/>
        </w:numPr>
        <w:rPr>
          <w:sz w:val="22"/>
          <w:szCs w:val="22"/>
        </w:rPr>
      </w:pPr>
      <w:r>
        <w:rPr>
          <w:sz w:val="22"/>
          <w:szCs w:val="22"/>
        </w:rPr>
        <w:t>R</w:t>
      </w:r>
      <w:r w:rsidR="00166A8E" w:rsidRPr="00166A8E">
        <w:rPr>
          <w:sz w:val="22"/>
          <w:szCs w:val="22"/>
        </w:rPr>
        <w:t>egional areas may need to provide more in-house family support, leading to more complex casework, longer family engagement, and a lower overall caseload capacity</w:t>
      </w:r>
      <w:r>
        <w:rPr>
          <w:sz w:val="22"/>
          <w:szCs w:val="22"/>
        </w:rPr>
        <w:t>.</w:t>
      </w:r>
      <w:r w:rsidR="00166A8E" w:rsidRPr="00166A8E">
        <w:rPr>
          <w:rStyle w:val="FootnoteReference"/>
          <w:sz w:val="22"/>
          <w:szCs w:val="22"/>
        </w:rPr>
        <w:footnoteReference w:id="32"/>
      </w:r>
    </w:p>
    <w:p w14:paraId="7F6B5378" w14:textId="39245E36" w:rsidR="00166A8E" w:rsidRPr="00166A8E" w:rsidRDefault="002C3BDD" w:rsidP="00166A8E">
      <w:pPr>
        <w:pStyle w:val="DHHSbullet2"/>
        <w:numPr>
          <w:ilvl w:val="0"/>
          <w:numId w:val="39"/>
        </w:numPr>
        <w:rPr>
          <w:sz w:val="22"/>
          <w:szCs w:val="22"/>
        </w:rPr>
      </w:pPr>
      <w:r>
        <w:rPr>
          <w:sz w:val="22"/>
          <w:szCs w:val="22"/>
        </w:rPr>
        <w:t>R</w:t>
      </w:r>
      <w:r w:rsidR="00166A8E" w:rsidRPr="00166A8E">
        <w:rPr>
          <w:sz w:val="22"/>
          <w:szCs w:val="22"/>
        </w:rPr>
        <w:t>egional areas may have limited access to professional supervision, mentoring, training, and appropriate information resources (which promote high quality service delivery and staff retention)</w:t>
      </w:r>
      <w:r>
        <w:rPr>
          <w:sz w:val="22"/>
          <w:szCs w:val="22"/>
        </w:rPr>
        <w:t>.</w:t>
      </w:r>
    </w:p>
    <w:p w14:paraId="536E2737" w14:textId="1D99BBA9" w:rsidR="00166A8E" w:rsidRPr="00166A8E" w:rsidRDefault="002C3BDD" w:rsidP="00166A8E">
      <w:pPr>
        <w:pStyle w:val="DHHSbullet2"/>
        <w:numPr>
          <w:ilvl w:val="0"/>
          <w:numId w:val="39"/>
        </w:numPr>
        <w:rPr>
          <w:sz w:val="22"/>
          <w:szCs w:val="22"/>
        </w:rPr>
      </w:pPr>
      <w:r>
        <w:rPr>
          <w:sz w:val="22"/>
          <w:szCs w:val="22"/>
        </w:rPr>
        <w:t>O</w:t>
      </w:r>
      <w:r w:rsidR="00166A8E" w:rsidRPr="00166A8E">
        <w:rPr>
          <w:sz w:val="22"/>
          <w:szCs w:val="22"/>
        </w:rPr>
        <w:t>ther local circumstances may be relevant e.g., natural disasters, a limited existing local service system for collaborative case planning/step-down support</w:t>
      </w:r>
      <w:r>
        <w:rPr>
          <w:sz w:val="22"/>
          <w:szCs w:val="22"/>
        </w:rPr>
        <w:t>.</w:t>
      </w:r>
      <w:r w:rsidR="00166A8E" w:rsidRPr="00166A8E">
        <w:rPr>
          <w:rStyle w:val="FootnoteReference"/>
          <w:sz w:val="22"/>
          <w:szCs w:val="22"/>
        </w:rPr>
        <w:footnoteReference w:id="33"/>
      </w:r>
    </w:p>
    <w:p w14:paraId="43E3564D" w14:textId="608AD588" w:rsidR="00166A8E" w:rsidRPr="00166A8E" w:rsidRDefault="002C3BDD" w:rsidP="00166A8E">
      <w:pPr>
        <w:pStyle w:val="DHHSbullet2"/>
        <w:numPr>
          <w:ilvl w:val="0"/>
          <w:numId w:val="39"/>
        </w:numPr>
        <w:rPr>
          <w:sz w:val="22"/>
          <w:szCs w:val="22"/>
        </w:rPr>
      </w:pPr>
      <w:r>
        <w:rPr>
          <w:sz w:val="22"/>
          <w:szCs w:val="22"/>
        </w:rPr>
        <w:t>A</w:t>
      </w:r>
      <w:r w:rsidR="00166A8E" w:rsidRPr="00166A8E">
        <w:rPr>
          <w:sz w:val="22"/>
          <w:szCs w:val="22"/>
        </w:rPr>
        <w:t xml:space="preserve"> greater proportion of culturally diverse clients such as Aboriginal and Torres Strait Islander families, immigrant or refugee families can impact staff confidence in achieving sustainable outcomes</w:t>
      </w:r>
      <w:r>
        <w:rPr>
          <w:sz w:val="22"/>
          <w:szCs w:val="22"/>
        </w:rPr>
        <w:t>.</w:t>
      </w:r>
      <w:r w:rsidR="00166A8E" w:rsidRPr="00166A8E">
        <w:rPr>
          <w:rStyle w:val="FootnoteReference"/>
          <w:sz w:val="22"/>
          <w:szCs w:val="22"/>
        </w:rPr>
        <w:footnoteReference w:id="34"/>
      </w:r>
    </w:p>
    <w:p w14:paraId="0372A257" w14:textId="77777777" w:rsidR="00166A8E" w:rsidRPr="00166A8E" w:rsidRDefault="00166A8E" w:rsidP="009A3F7A">
      <w:pPr>
        <w:pStyle w:val="DHHSbullet1"/>
        <w:numPr>
          <w:ilvl w:val="0"/>
          <w:numId w:val="0"/>
        </w:numPr>
        <w:spacing w:before="120" w:after="120" w:line="240" w:lineRule="auto"/>
        <w:ind w:left="284" w:hanging="284"/>
        <w:rPr>
          <w:sz w:val="22"/>
          <w:szCs w:val="22"/>
          <w:u w:val="single"/>
        </w:rPr>
      </w:pPr>
      <w:r w:rsidRPr="00166A8E">
        <w:rPr>
          <w:sz w:val="22"/>
          <w:szCs w:val="22"/>
          <w:u w:val="single"/>
        </w:rPr>
        <w:t>Are tolerance adjustments justified in the circumstances?</w:t>
      </w:r>
    </w:p>
    <w:p w14:paraId="5FCA9954" w14:textId="18B974B6" w:rsidR="00166A8E" w:rsidRPr="0058495D" w:rsidRDefault="00B049EF" w:rsidP="00166A8E">
      <w:pPr>
        <w:pStyle w:val="DHHSbullet2"/>
        <w:numPr>
          <w:ilvl w:val="0"/>
          <w:numId w:val="40"/>
        </w:numPr>
        <w:rPr>
          <w:sz w:val="22"/>
        </w:rPr>
      </w:pPr>
      <w:r>
        <w:rPr>
          <w:sz w:val="22"/>
          <w:szCs w:val="22"/>
        </w:rPr>
        <w:t>I</w:t>
      </w:r>
      <w:r w:rsidR="003A3C46" w:rsidRPr="00C96797">
        <w:rPr>
          <w:sz w:val="22"/>
          <w:szCs w:val="22"/>
        </w:rPr>
        <w:t>n the future</w:t>
      </w:r>
      <w:r w:rsidR="00166A8E" w:rsidRPr="00C96797">
        <w:rPr>
          <w:sz w:val="22"/>
        </w:rPr>
        <w:t>, consideration</w:t>
      </w:r>
      <w:r w:rsidR="00166A8E" w:rsidRPr="0058495D">
        <w:rPr>
          <w:sz w:val="22"/>
        </w:rPr>
        <w:t xml:space="preserve"> might be given to recalculating the expected percentage of families having all/majority case plan goals achieved</w:t>
      </w:r>
      <w:r>
        <w:rPr>
          <w:sz w:val="22"/>
        </w:rPr>
        <w:t xml:space="preserve"> in exceptional circumstances</w:t>
      </w:r>
      <w:r w:rsidR="002C3BDD" w:rsidRPr="0058495D">
        <w:rPr>
          <w:sz w:val="22"/>
        </w:rPr>
        <w:t>.</w:t>
      </w:r>
      <w:r w:rsidR="00166A8E" w:rsidRPr="0058495D">
        <w:rPr>
          <w:rStyle w:val="FootnoteReference"/>
          <w:sz w:val="22"/>
        </w:rPr>
        <w:footnoteReference w:id="35"/>
      </w:r>
    </w:p>
    <w:p w14:paraId="6E71A229" w14:textId="0F49EADC" w:rsidR="0053498D" w:rsidRDefault="002C3BDD" w:rsidP="00166A8E">
      <w:pPr>
        <w:pStyle w:val="DHHSbullet2"/>
        <w:numPr>
          <w:ilvl w:val="0"/>
          <w:numId w:val="40"/>
        </w:numPr>
      </w:pPr>
      <w:r>
        <w:rPr>
          <w:sz w:val="22"/>
          <w:szCs w:val="22"/>
        </w:rPr>
        <w:lastRenderedPageBreak/>
        <w:t>L</w:t>
      </w:r>
      <w:r w:rsidR="00166A8E" w:rsidRPr="00166A8E">
        <w:rPr>
          <w:sz w:val="22"/>
          <w:szCs w:val="22"/>
        </w:rPr>
        <w:t>arge catchments will necessarily require extra travel time (for staff and families) and lead to a longer-than-average intervention period, along with reduced throughputs</w:t>
      </w:r>
      <w:r>
        <w:rPr>
          <w:sz w:val="22"/>
          <w:szCs w:val="22"/>
        </w:rPr>
        <w:t>.</w:t>
      </w:r>
    </w:p>
    <w:sectPr w:rsidR="0053498D" w:rsidSect="00EC197D">
      <w:pgSz w:w="11900" w:h="16840"/>
      <w:pgMar w:top="1440" w:right="1440" w:bottom="1440" w:left="1440"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8A1" w14:textId="77777777" w:rsidR="00372967" w:rsidRDefault="00372967" w:rsidP="000A1003">
      <w:pPr>
        <w:spacing w:before="0" w:after="0"/>
      </w:pPr>
      <w:r>
        <w:separator/>
      </w:r>
    </w:p>
  </w:endnote>
  <w:endnote w:type="continuationSeparator" w:id="0">
    <w:p w14:paraId="39A40010" w14:textId="77777777" w:rsidR="00372967" w:rsidRDefault="00372967" w:rsidP="000A1003">
      <w:pPr>
        <w:spacing w:before="0" w:after="0"/>
      </w:pPr>
      <w:r>
        <w:continuationSeparator/>
      </w:r>
    </w:p>
  </w:endnote>
  <w:endnote w:type="continuationNotice" w:id="1">
    <w:p w14:paraId="07AE4847" w14:textId="77777777" w:rsidR="00372967" w:rsidRDefault="003729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1F9B" w14:textId="4660AAF0" w:rsidR="008C7A8C" w:rsidRDefault="001C6EF1">
    <w:pPr>
      <w:pStyle w:val="Footer"/>
    </w:pPr>
    <w:r>
      <w:t xml:space="preserve">Addendum: </w:t>
    </w:r>
    <w:r w:rsidR="008C7A8C">
      <w:t xml:space="preserve">Performance Framework </w:t>
    </w:r>
    <w:r>
      <w:t>for Intensive Family Support</w:t>
    </w:r>
    <w:r w:rsidR="008C7A8C" w:rsidRPr="000A1003">
      <w:rPr>
        <w:noProof/>
      </w:rPr>
      <w:t xml:space="preserve"> </w:t>
    </w:r>
    <w:r w:rsidR="008C7A8C" w:rsidRPr="000A1003">
      <w:rPr>
        <w:noProof/>
      </w:rPr>
      <mc:AlternateContent>
        <mc:Choice Requires="wps">
          <w:drawing>
            <wp:anchor distT="0" distB="0" distL="114300" distR="114300" simplePos="0" relativeHeight="251655680" behindDoc="0" locked="0" layoutInCell="1" allowOverlap="1" wp14:anchorId="5D3C602C" wp14:editId="62936BA9">
              <wp:simplePos x="0" y="0"/>
              <wp:positionH relativeFrom="column">
                <wp:posOffset>-920115</wp:posOffset>
              </wp:positionH>
              <wp:positionV relativeFrom="paragraph">
                <wp:posOffset>245110</wp:posOffset>
              </wp:positionV>
              <wp:extent cx="7531100"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531100" cy="381000"/>
                      </a:xfrm>
                      <a:prstGeom prst="rect">
                        <a:avLst/>
                      </a:prstGeom>
                      <a:noFill/>
                      <a:ln w="6350">
                        <a:noFill/>
                      </a:ln>
                    </wps:spPr>
                    <wps:txbx>
                      <w:txbxContent>
                        <w:p w14:paraId="7056542D" w14:textId="77777777" w:rsidR="008C7A8C" w:rsidRDefault="008C7A8C" w:rsidP="000A1003">
                          <w:pPr>
                            <w:jc w:val="center"/>
                          </w:pPr>
                          <w:r>
                            <w:t xml:space="preserve">Page </w:t>
                          </w:r>
                          <w:r w:rsidRPr="00492BF4">
                            <w:fldChar w:fldCharType="begin"/>
                          </w:r>
                          <w:r w:rsidRPr="00492BF4">
                            <w:instrText xml:space="preserve"> PAGE   \* MERGEFORMAT </w:instrText>
                          </w:r>
                          <w:r w:rsidRPr="00492BF4">
                            <w:fldChar w:fldCharType="separate"/>
                          </w:r>
                          <w:r>
                            <w:t>3</w:t>
                          </w:r>
                          <w:r w:rsidRPr="00492BF4">
                            <w:rPr>
                              <w:noProof/>
                            </w:rPr>
                            <w:fldChar w:fldCharType="end"/>
                          </w:r>
                        </w:p>
                        <w:p w14:paraId="3AE83298" w14:textId="77777777" w:rsidR="008C7A8C" w:rsidRDefault="008C7A8C" w:rsidP="000A10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D3C602C" id="_x0000_t202" coordsize="21600,21600" o:spt="202" path="m,l,21600r21600,l21600,xe">
              <v:stroke joinstyle="miter"/>
              <v:path gradientshapeok="t" o:connecttype="rect"/>
            </v:shapetype>
            <v:shape id="Text Box 12" o:spid="_x0000_s1027" type="#_x0000_t202" style="position:absolute;margin-left:-72.45pt;margin-top:19.3pt;width:593pt;height:30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" filled="f" stroked="f" strokeweight=".5pt">
              <v:textbox inset="0,0,0,0">
                <w:txbxContent>
                  <w:p w14:paraId="7056542D" w14:textId="77777777" w:rsidR="008C7A8C" w:rsidRDefault="008C7A8C" w:rsidP="000A1003">
                    <w:pPr>
                      <w:jc w:val="center"/>
                    </w:pPr>
                    <w:r>
                      <w:t xml:space="preserve">Page </w:t>
                    </w:r>
                    <w:r w:rsidRPr="00492BF4">
                      <w:fldChar w:fldCharType="begin"/>
                    </w:r>
                    <w:r w:rsidRPr="00492BF4">
                      <w:instrText xml:space="preserve"> PAGE   \* MERGEFORMAT </w:instrText>
                    </w:r>
                    <w:r w:rsidRPr="00492BF4">
                      <w:fldChar w:fldCharType="separate"/>
                    </w:r>
                    <w:r>
                      <w:t>3</w:t>
                    </w:r>
                    <w:r w:rsidRPr="00492BF4">
                      <w:rPr>
                        <w:noProof/>
                      </w:rPr>
                      <w:fldChar w:fldCharType="end"/>
                    </w:r>
                  </w:p>
                  <w:p w14:paraId="3AE83298" w14:textId="77777777" w:rsidR="008C7A8C" w:rsidRDefault="008C7A8C" w:rsidP="000A1003"/>
                </w:txbxContent>
              </v:textbox>
            </v:shape>
          </w:pict>
        </mc:Fallback>
      </mc:AlternateContent>
    </w:r>
    <w:r w:rsidR="008C7A8C" w:rsidRPr="000A1003">
      <w:rPr>
        <w:noProof/>
      </w:rPr>
      <w:drawing>
        <wp:anchor distT="0" distB="0" distL="114300" distR="114300" simplePos="0" relativeHeight="251656704" behindDoc="1" locked="1" layoutInCell="1" allowOverlap="1" wp14:anchorId="3BA2F951" wp14:editId="5250C600">
          <wp:simplePos x="0" y="0"/>
          <wp:positionH relativeFrom="column">
            <wp:posOffset>-965200</wp:posOffset>
          </wp:positionH>
          <wp:positionV relativeFrom="page">
            <wp:posOffset>9989185</wp:posOffset>
          </wp:positionV>
          <wp:extent cx="7581265" cy="72707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81265" cy="7270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DCD" w14:textId="62D42A1C" w:rsidR="00C31092" w:rsidRDefault="00C31092" w:rsidP="00C31092">
    <w:pPr>
      <w:pStyle w:val="Footer"/>
    </w:pPr>
    <w:r>
      <w:t>Addendum: Performance Framework for Intensive Family Support</w:t>
    </w:r>
    <w:r w:rsidRPr="000A1003">
      <w:rPr>
        <w:noProof/>
      </w:rPr>
      <w:t xml:space="preserve"> </w:t>
    </w:r>
    <w:r w:rsidRPr="000A1003">
      <w:rPr>
        <w:noProof/>
      </w:rPr>
      <w:drawing>
        <wp:anchor distT="0" distB="0" distL="114300" distR="114300" simplePos="0" relativeHeight="251662848" behindDoc="1" locked="1" layoutInCell="1" allowOverlap="1" wp14:anchorId="02130FE0" wp14:editId="738190B3">
          <wp:simplePos x="0" y="0"/>
          <wp:positionH relativeFrom="column">
            <wp:posOffset>-965200</wp:posOffset>
          </wp:positionH>
          <wp:positionV relativeFrom="page">
            <wp:posOffset>9989185</wp:posOffset>
          </wp:positionV>
          <wp:extent cx="7581265" cy="7270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81265" cy="727075"/>
                  </a:xfrm>
                  <a:prstGeom prst="rect">
                    <a:avLst/>
                  </a:prstGeom>
                </pic:spPr>
              </pic:pic>
            </a:graphicData>
          </a:graphic>
          <wp14:sizeRelH relativeFrom="margin">
            <wp14:pctWidth>0</wp14:pctWidth>
          </wp14:sizeRelH>
          <wp14:sizeRelV relativeFrom="margin">
            <wp14:pctHeight>0</wp14:pctHeight>
          </wp14:sizeRelV>
        </wp:anchor>
      </w:drawing>
    </w:r>
  </w:p>
  <w:p w14:paraId="38F752AC" w14:textId="00606E4F" w:rsidR="00C31092" w:rsidRDefault="00C31092">
    <w:pPr>
      <w:pStyle w:val="Footer"/>
    </w:pPr>
    <w:r w:rsidRPr="000A1003">
      <w:rPr>
        <w:noProof/>
      </w:rPr>
      <mc:AlternateContent>
        <mc:Choice Requires="wps">
          <w:drawing>
            <wp:anchor distT="0" distB="0" distL="114300" distR="114300" simplePos="0" relativeHeight="251661824" behindDoc="0" locked="0" layoutInCell="1" allowOverlap="1" wp14:anchorId="54FBD504" wp14:editId="0823B204">
              <wp:simplePos x="0" y="0"/>
              <wp:positionH relativeFrom="column">
                <wp:posOffset>2462213</wp:posOffset>
              </wp:positionH>
              <wp:positionV relativeFrom="paragraph">
                <wp:posOffset>83503</wp:posOffset>
              </wp:positionV>
              <wp:extent cx="4149724" cy="3810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149724" cy="381000"/>
                      </a:xfrm>
                      <a:prstGeom prst="rect">
                        <a:avLst/>
                      </a:prstGeom>
                      <a:noFill/>
                      <a:ln w="6350">
                        <a:noFill/>
                      </a:ln>
                    </wps:spPr>
                    <wps:txbx>
                      <w:txbxContent>
                        <w:p w14:paraId="032B6442" w14:textId="77777777" w:rsidR="00C31092" w:rsidRDefault="00C31092" w:rsidP="00C31092">
                          <w:r>
                            <w:t xml:space="preserve">Page </w:t>
                          </w:r>
                          <w:r w:rsidRPr="00492BF4">
                            <w:fldChar w:fldCharType="begin"/>
                          </w:r>
                          <w:r w:rsidRPr="00492BF4">
                            <w:instrText xml:space="preserve"> PAGE   \* MERGEFORMAT </w:instrText>
                          </w:r>
                          <w:r w:rsidRPr="00492BF4">
                            <w:fldChar w:fldCharType="separate"/>
                          </w:r>
                          <w:r>
                            <w:t>3</w:t>
                          </w:r>
                          <w:r w:rsidRPr="00492BF4">
                            <w:rPr>
                              <w:noProof/>
                            </w:rPr>
                            <w:fldChar w:fldCharType="end"/>
                          </w:r>
                        </w:p>
                        <w:p w14:paraId="32B1EE4D" w14:textId="77777777" w:rsidR="00C31092" w:rsidRDefault="00C31092" w:rsidP="00C31092">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FBD504" id="_x0000_t202" coordsize="21600,21600" o:spt="202" path="m,l,21600r21600,l21600,xe">
              <v:stroke joinstyle="miter"/>
              <v:path gradientshapeok="t" o:connecttype="rect"/>
            </v:shapetype>
            <v:shape id="Text Box 4" o:spid="_x0000_s1028" type="#_x0000_t202" style="position:absolute;margin-left:193.9pt;margin-top:6.6pt;width:326.75pt;height:30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" filled="f" stroked="f" strokeweight=".5pt">
              <v:textbox inset="0,0,0,0">
                <w:txbxContent>
                  <w:p w14:paraId="032B6442" w14:textId="77777777" w:rsidR="00C31092" w:rsidRDefault="00C31092" w:rsidP="00C31092">
                    <w:r>
                      <w:t xml:space="preserve">Page </w:t>
                    </w:r>
                    <w:r w:rsidRPr="00492BF4">
                      <w:fldChar w:fldCharType="begin"/>
                    </w:r>
                    <w:r w:rsidRPr="00492BF4">
                      <w:instrText xml:space="preserve"> PAGE   \* MERGEFORMAT </w:instrText>
                    </w:r>
                    <w:r w:rsidRPr="00492BF4">
                      <w:fldChar w:fldCharType="separate"/>
                    </w:r>
                    <w:r>
                      <w:t>3</w:t>
                    </w:r>
                    <w:r w:rsidRPr="00492BF4">
                      <w:rPr>
                        <w:noProof/>
                      </w:rPr>
                      <w:fldChar w:fldCharType="end"/>
                    </w:r>
                  </w:p>
                  <w:p w14:paraId="32B1EE4D" w14:textId="77777777" w:rsidR="00C31092" w:rsidRDefault="00C31092" w:rsidP="00C31092">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0FBD" w14:textId="77777777" w:rsidR="00372967" w:rsidRDefault="00372967" w:rsidP="000A1003">
      <w:pPr>
        <w:spacing w:before="0" w:after="0"/>
      </w:pPr>
      <w:r>
        <w:separator/>
      </w:r>
    </w:p>
  </w:footnote>
  <w:footnote w:type="continuationSeparator" w:id="0">
    <w:p w14:paraId="2A3969EA" w14:textId="77777777" w:rsidR="00372967" w:rsidRDefault="00372967" w:rsidP="000A1003">
      <w:pPr>
        <w:spacing w:before="0" w:after="0"/>
      </w:pPr>
      <w:r>
        <w:continuationSeparator/>
      </w:r>
    </w:p>
  </w:footnote>
  <w:footnote w:type="continuationNotice" w:id="1">
    <w:p w14:paraId="7776FA2F" w14:textId="77777777" w:rsidR="00372967" w:rsidRDefault="00372967">
      <w:pPr>
        <w:spacing w:before="0" w:after="0"/>
      </w:pPr>
    </w:p>
  </w:footnote>
  <w:footnote w:id="2">
    <w:p w14:paraId="3EAB17B1" w14:textId="6A698AAA" w:rsidR="001F7684" w:rsidRPr="008B2B2B" w:rsidRDefault="001F7684">
      <w:pPr>
        <w:pStyle w:val="FootnoteText"/>
        <w:rPr>
          <w:sz w:val="18"/>
          <w:szCs w:val="18"/>
        </w:rPr>
      </w:pPr>
      <w:r w:rsidRPr="008B2B2B">
        <w:rPr>
          <w:rStyle w:val="FootnoteReference"/>
          <w:sz w:val="18"/>
          <w:szCs w:val="18"/>
        </w:rPr>
        <w:footnoteRef/>
      </w:r>
      <w:r w:rsidRPr="008B2B2B">
        <w:rPr>
          <w:sz w:val="18"/>
          <w:szCs w:val="18"/>
        </w:rPr>
        <w:t xml:space="preserve"> Additional questions about the IFS performance framework can be addressed to the Children, Youth and Families Team: </w:t>
      </w:r>
      <w:hyperlink r:id="rId1" w:history="1">
        <w:r w:rsidRPr="008B2B2B">
          <w:rPr>
            <w:rStyle w:val="Hyperlink"/>
            <w:sz w:val="18"/>
            <w:szCs w:val="18"/>
          </w:rPr>
          <w:t>childandfamilycommissioning@cyjma.qld.gov.au</w:t>
        </w:r>
      </w:hyperlink>
      <w:r w:rsidRPr="008B2B2B">
        <w:rPr>
          <w:sz w:val="18"/>
          <w:szCs w:val="18"/>
        </w:rPr>
        <w:t xml:space="preserve"> </w:t>
      </w:r>
    </w:p>
  </w:footnote>
  <w:footnote w:id="3">
    <w:p w14:paraId="5A5FA89E" w14:textId="0EB268B9" w:rsidR="008C7A8C" w:rsidRPr="008B2B2B" w:rsidRDefault="008C7A8C">
      <w:pPr>
        <w:pStyle w:val="FootnoteText"/>
        <w:rPr>
          <w:sz w:val="18"/>
          <w:szCs w:val="18"/>
        </w:rPr>
      </w:pPr>
      <w:r w:rsidRPr="008B2B2B">
        <w:rPr>
          <w:rStyle w:val="FootnoteReference"/>
          <w:sz w:val="18"/>
          <w:szCs w:val="18"/>
        </w:rPr>
        <w:footnoteRef/>
      </w:r>
      <w:r w:rsidRPr="008B2B2B">
        <w:rPr>
          <w:sz w:val="18"/>
          <w:szCs w:val="18"/>
        </w:rPr>
        <w:t xml:space="preserve"> The initial FAST, when followed by periodic reassessment, assists family members, support workers, and their supervisors to assess changes in family functioning and assess the impacts of their work together.</w:t>
      </w:r>
    </w:p>
  </w:footnote>
  <w:footnote w:id="4">
    <w:p w14:paraId="2294F271" w14:textId="06FC8233" w:rsidR="008C7A8C" w:rsidRPr="002C3BDD" w:rsidRDefault="008C7A8C">
      <w:pPr>
        <w:pStyle w:val="FootnoteText"/>
        <w:rPr>
          <w:rFonts w:cs="Arial"/>
          <w:sz w:val="18"/>
          <w:szCs w:val="18"/>
        </w:rPr>
      </w:pPr>
      <w:r w:rsidRPr="002C3BDD">
        <w:rPr>
          <w:rStyle w:val="FootnoteReference"/>
          <w:rFonts w:cs="Arial"/>
          <w:sz w:val="18"/>
          <w:szCs w:val="18"/>
        </w:rPr>
        <w:footnoteRef/>
      </w:r>
      <w:r w:rsidRPr="002C3BDD">
        <w:rPr>
          <w:rFonts w:cs="Arial"/>
          <w:sz w:val="18"/>
          <w:szCs w:val="18"/>
        </w:rPr>
        <w:t xml:space="preserve"> See Appendix 1 in </w:t>
      </w:r>
      <w:r w:rsidRPr="002C3BDD">
        <w:rPr>
          <w:rFonts w:cs="Arial"/>
          <w:bCs/>
          <w:i/>
          <w:iCs/>
          <w:sz w:val="18"/>
          <w:szCs w:val="18"/>
        </w:rPr>
        <w:t xml:space="preserve">Performance framework for funded service providers </w:t>
      </w:r>
      <w:r w:rsidRPr="002C3BDD">
        <w:rPr>
          <w:rFonts w:cs="Arial"/>
          <w:bCs/>
          <w:sz w:val="18"/>
          <w:szCs w:val="18"/>
        </w:rPr>
        <w:t>for further detail.</w:t>
      </w:r>
    </w:p>
  </w:footnote>
  <w:footnote w:id="5">
    <w:p w14:paraId="19171F5C" w14:textId="25DE8550" w:rsidR="008C7A8C" w:rsidRPr="002C3BDD" w:rsidRDefault="008C7A8C">
      <w:pPr>
        <w:pStyle w:val="FootnoteText"/>
        <w:rPr>
          <w:rFonts w:cs="Arial"/>
          <w:sz w:val="18"/>
          <w:szCs w:val="18"/>
        </w:rPr>
      </w:pPr>
      <w:r w:rsidRPr="002C3BDD">
        <w:rPr>
          <w:rStyle w:val="FootnoteReference"/>
          <w:rFonts w:cs="Arial"/>
          <w:sz w:val="18"/>
          <w:szCs w:val="18"/>
        </w:rPr>
        <w:footnoteRef/>
      </w:r>
      <w:r w:rsidRPr="002C3BDD">
        <w:rPr>
          <w:rFonts w:cs="Arial"/>
          <w:sz w:val="18"/>
          <w:szCs w:val="18"/>
        </w:rPr>
        <w:t xml:space="preserve"> Such as annual or quarterly meetings, respectively.</w:t>
      </w:r>
    </w:p>
  </w:footnote>
  <w:footnote w:id="6">
    <w:p w14:paraId="0F9A523F" w14:textId="1B993E41" w:rsidR="008C7A8C" w:rsidRPr="002C3BDD" w:rsidRDefault="008C7A8C">
      <w:pPr>
        <w:pStyle w:val="FootnoteText"/>
        <w:rPr>
          <w:rFonts w:cs="Arial"/>
          <w:sz w:val="18"/>
          <w:szCs w:val="18"/>
        </w:rPr>
      </w:pPr>
      <w:r w:rsidRPr="002C3BDD">
        <w:rPr>
          <w:rStyle w:val="FootnoteReference"/>
          <w:rFonts w:cs="Arial"/>
          <w:sz w:val="18"/>
          <w:szCs w:val="18"/>
        </w:rPr>
        <w:footnoteRef/>
      </w:r>
      <w:r w:rsidRPr="002C3BDD">
        <w:rPr>
          <w:rFonts w:cs="Arial"/>
          <w:sz w:val="18"/>
          <w:szCs w:val="18"/>
        </w:rPr>
        <w:t xml:space="preserve"> A performance target threshold of ±10% is often used for family support services.  </w:t>
      </w:r>
    </w:p>
  </w:footnote>
  <w:footnote w:id="7">
    <w:p w14:paraId="7415ABF9" w14:textId="79DF5E17" w:rsidR="008C7A8C" w:rsidRPr="002C3BDD" w:rsidRDefault="008C7A8C">
      <w:pPr>
        <w:pStyle w:val="FootnoteText"/>
        <w:rPr>
          <w:sz w:val="18"/>
          <w:szCs w:val="18"/>
        </w:rPr>
      </w:pPr>
      <w:r w:rsidRPr="002C3BDD">
        <w:rPr>
          <w:rStyle w:val="FootnoteReference"/>
          <w:sz w:val="18"/>
          <w:szCs w:val="18"/>
        </w:rPr>
        <w:footnoteRef/>
      </w:r>
      <w:r w:rsidRPr="002C3BDD">
        <w:rPr>
          <w:sz w:val="18"/>
          <w:szCs w:val="18"/>
        </w:rPr>
        <w:t xml:space="preserve"> The new target measure was derived from four years’ worth of IFS data (2017-18 to 2020-21). It represents cases that are in-scope to receive a service; several early exit categories are removed since there is no prospect of a case ever being initiated.</w:t>
      </w:r>
    </w:p>
  </w:footnote>
  <w:footnote w:id="8">
    <w:p w14:paraId="06BE5982" w14:textId="5D41F4BD" w:rsidR="008C7A8C" w:rsidRPr="002C3BDD" w:rsidRDefault="008C7A8C">
      <w:pPr>
        <w:pStyle w:val="FootnoteText"/>
        <w:rPr>
          <w:sz w:val="18"/>
          <w:szCs w:val="18"/>
        </w:rPr>
      </w:pPr>
      <w:r w:rsidRPr="002C3BDD">
        <w:rPr>
          <w:rStyle w:val="FootnoteReference"/>
          <w:sz w:val="18"/>
          <w:szCs w:val="18"/>
        </w:rPr>
        <w:footnoteRef/>
      </w:r>
      <w:r w:rsidRPr="002C3BDD">
        <w:rPr>
          <w:sz w:val="18"/>
          <w:szCs w:val="18"/>
        </w:rPr>
        <w:t xml:space="preserve"> This avoids creating an incentive to cherry-pick cases that may be easier to engage. If the total is only cases who consent, services could be discouraged from working as actively with families who are hard to reach and difficult to engage, but also eligible for an IFS response.</w:t>
      </w:r>
    </w:p>
  </w:footnote>
  <w:footnote w:id="9">
    <w:p w14:paraId="7616D7E3" w14:textId="68118B94" w:rsidR="00FA7F0B" w:rsidRPr="002C3BDD" w:rsidRDefault="00FA7F0B">
      <w:pPr>
        <w:pStyle w:val="FootnoteText"/>
        <w:rPr>
          <w:sz w:val="18"/>
          <w:szCs w:val="18"/>
        </w:rPr>
      </w:pPr>
      <w:r w:rsidRPr="002C3BDD">
        <w:rPr>
          <w:rStyle w:val="FootnoteReference"/>
          <w:sz w:val="18"/>
          <w:szCs w:val="18"/>
        </w:rPr>
        <w:footnoteRef/>
      </w:r>
      <w:r w:rsidRPr="002C3BDD">
        <w:rPr>
          <w:sz w:val="18"/>
          <w:szCs w:val="18"/>
        </w:rPr>
        <w:t xml:space="preserve"> Namely: “Performing” – performance is currently on target; “Performance Flag” – performance is below target but is within the agreed tolerance range; and “Not performing” – performance is below target and is outside the agreed tolerance range.</w:t>
      </w:r>
    </w:p>
  </w:footnote>
  <w:footnote w:id="10">
    <w:p w14:paraId="0895D84D" w14:textId="6B5B6186" w:rsidR="008C7A8C" w:rsidRPr="002C3BDD" w:rsidRDefault="008C7A8C">
      <w:pPr>
        <w:pStyle w:val="FootnoteText"/>
        <w:rPr>
          <w:sz w:val="18"/>
          <w:szCs w:val="18"/>
        </w:rPr>
      </w:pPr>
      <w:r w:rsidRPr="002C3BDD">
        <w:rPr>
          <w:rStyle w:val="FootnoteReference"/>
          <w:sz w:val="18"/>
          <w:szCs w:val="18"/>
        </w:rPr>
        <w:footnoteRef/>
      </w:r>
      <w:r w:rsidRPr="002C3BDD">
        <w:rPr>
          <w:sz w:val="18"/>
          <w:szCs w:val="18"/>
        </w:rPr>
        <w:t xml:space="preserve"> This is not necessarily the case if certain IFS locations have families presenting with a lower-than-average level of complexity. </w:t>
      </w:r>
    </w:p>
  </w:footnote>
  <w:footnote w:id="11">
    <w:p w14:paraId="6CEDD376" w14:textId="2CE2C4D8" w:rsidR="00C2161C" w:rsidRPr="00C2161C" w:rsidRDefault="00C2161C">
      <w:pPr>
        <w:pStyle w:val="FootnoteText"/>
        <w:rPr>
          <w:sz w:val="18"/>
          <w:szCs w:val="18"/>
        </w:rPr>
      </w:pPr>
      <w:r w:rsidRPr="00C2161C">
        <w:rPr>
          <w:rStyle w:val="FootnoteReference"/>
          <w:sz w:val="18"/>
          <w:szCs w:val="18"/>
        </w:rPr>
        <w:footnoteRef/>
      </w:r>
      <w:r w:rsidRPr="00C2161C">
        <w:rPr>
          <w:sz w:val="18"/>
          <w:szCs w:val="18"/>
        </w:rPr>
        <w:t xml:space="preserve"> Upcoming ARC changes will rename the existing ARC OASIS report to ARC contract report.</w:t>
      </w:r>
    </w:p>
  </w:footnote>
  <w:footnote w:id="12">
    <w:p w14:paraId="2D61B148" w14:textId="6F0CBEE1" w:rsidR="008C7A8C" w:rsidRPr="002C3BDD" w:rsidRDefault="008C7A8C" w:rsidP="00E163FE">
      <w:pPr>
        <w:rPr>
          <w:sz w:val="18"/>
          <w:szCs w:val="18"/>
        </w:rPr>
      </w:pPr>
      <w:r w:rsidRPr="002C3BDD">
        <w:rPr>
          <w:rStyle w:val="FootnoteReference"/>
          <w:sz w:val="18"/>
          <w:szCs w:val="18"/>
        </w:rPr>
        <w:footnoteRef/>
      </w:r>
      <w:r w:rsidRPr="002C3BDD">
        <w:rPr>
          <w:sz w:val="18"/>
          <w:szCs w:val="18"/>
        </w:rPr>
        <w:t xml:space="preserve"> For example, the </w:t>
      </w:r>
      <w:hyperlink r:id="rId2" w:history="1">
        <w:r w:rsidRPr="002C3BDD">
          <w:rPr>
            <w:rStyle w:val="Hyperlink"/>
            <w:i/>
            <w:iCs/>
            <w:sz w:val="18"/>
            <w:szCs w:val="18"/>
          </w:rPr>
          <w:t>Intensive Family Support: Service Model and Guidelines</w:t>
        </w:r>
        <w:r w:rsidRPr="002C3BDD">
          <w:rPr>
            <w:rStyle w:val="Hyperlink"/>
            <w:sz w:val="18"/>
            <w:szCs w:val="18"/>
          </w:rPr>
          <w:t>’</w:t>
        </w:r>
      </w:hyperlink>
      <w:r w:rsidRPr="002C3BDD">
        <w:rPr>
          <w:sz w:val="18"/>
          <w:szCs w:val="18"/>
        </w:rPr>
        <w:t xml:space="preserve"> section 3.2 Staffing notes that preferred candidates for vacant IFS positions who do not have the relevant qualification can still be employed with the permission of the Children, Youth and Families Team.</w:t>
      </w:r>
    </w:p>
  </w:footnote>
  <w:footnote w:id="13">
    <w:p w14:paraId="23A5EC77" w14:textId="63C6E672" w:rsidR="00C2161C" w:rsidRPr="00C2161C" w:rsidRDefault="00C2161C" w:rsidP="00C2161C">
      <w:pPr>
        <w:pStyle w:val="DHHSbullet1"/>
        <w:numPr>
          <w:ilvl w:val="0"/>
          <w:numId w:val="0"/>
        </w:numPr>
        <w:rPr>
          <w:sz w:val="18"/>
          <w:szCs w:val="18"/>
        </w:rPr>
      </w:pPr>
      <w:r w:rsidRPr="00C2161C">
        <w:rPr>
          <w:rStyle w:val="FootnoteReference"/>
          <w:sz w:val="18"/>
          <w:szCs w:val="18"/>
        </w:rPr>
        <w:footnoteRef/>
      </w:r>
      <w:r w:rsidRPr="00C2161C">
        <w:rPr>
          <w:sz w:val="18"/>
          <w:szCs w:val="18"/>
        </w:rPr>
        <w:t xml:space="preserve"> IS245: Number of in-scope Service Users eligible to receive a service who have exited from the service</w:t>
      </w:r>
      <w:r w:rsidR="00097AE0">
        <w:rPr>
          <w:sz w:val="18"/>
          <w:szCs w:val="18"/>
        </w:rPr>
        <w:t xml:space="preserve"> is excluded when determining a rating, because it is outside the control of the service.</w:t>
      </w:r>
    </w:p>
  </w:footnote>
  <w:footnote w:id="14">
    <w:p w14:paraId="256B5601" w14:textId="18DDAC21" w:rsidR="008C7A8C" w:rsidRPr="002C3BDD" w:rsidRDefault="008C7A8C">
      <w:pPr>
        <w:pStyle w:val="FootnoteText"/>
        <w:rPr>
          <w:sz w:val="18"/>
          <w:szCs w:val="18"/>
        </w:rPr>
      </w:pPr>
      <w:r w:rsidRPr="002C3BDD">
        <w:rPr>
          <w:rStyle w:val="FootnoteReference"/>
          <w:sz w:val="18"/>
          <w:szCs w:val="18"/>
        </w:rPr>
        <w:footnoteRef/>
      </w:r>
      <w:r w:rsidRPr="002C3BDD">
        <w:rPr>
          <w:sz w:val="18"/>
          <w:szCs w:val="18"/>
        </w:rPr>
        <w:t xml:space="preserve"> Families engaged with IFS have on average eight major presenting needs and risks which are associated with increased risk of child abuse or neglect.</w:t>
      </w:r>
    </w:p>
  </w:footnote>
  <w:footnote w:id="15">
    <w:p w14:paraId="1CBA75AE" w14:textId="77777777" w:rsidR="00EB6478" w:rsidRPr="002C3BDD" w:rsidRDefault="00EB6478" w:rsidP="00EB6478">
      <w:pPr>
        <w:pStyle w:val="FootnoteText"/>
      </w:pPr>
      <w:r w:rsidRPr="002C3BDD">
        <w:rPr>
          <w:rStyle w:val="FootnoteReference"/>
          <w:sz w:val="18"/>
          <w:szCs w:val="18"/>
        </w:rPr>
        <w:footnoteRef/>
      </w:r>
      <w:r w:rsidRPr="002C3BDD">
        <w:rPr>
          <w:sz w:val="18"/>
          <w:szCs w:val="18"/>
        </w:rPr>
        <w:t xml:space="preserve"> Other non-prescribed entities include: Early Childhood Education and Care Professional, Domestic and Family Violence Service, Community/Friend/Family, Other - Government, Other - Non-Government, Elders, Educational/Employment Service, Housing/Homelessness Service, Mental Health Service, Neighbourhood Centre, Psychologist and Counsellor, Sexual Assault/Abuse and Trauma Service, and Youth Service.</w:t>
      </w:r>
    </w:p>
  </w:footnote>
  <w:footnote w:id="16">
    <w:p w14:paraId="5BDCF705" w14:textId="77777777" w:rsidR="008C7A8C" w:rsidRPr="002C3BDD" w:rsidRDefault="008C7A8C" w:rsidP="007A5162">
      <w:pPr>
        <w:pStyle w:val="FootnoteText"/>
      </w:pPr>
      <w:r w:rsidRPr="002C3BDD">
        <w:rPr>
          <w:rStyle w:val="FootnoteReference"/>
          <w:sz w:val="18"/>
          <w:szCs w:val="18"/>
        </w:rPr>
        <w:footnoteRef/>
      </w:r>
      <w:r w:rsidRPr="002C3BDD">
        <w:rPr>
          <w:sz w:val="18"/>
          <w:szCs w:val="18"/>
        </w:rPr>
        <w:t xml:space="preserve"> Other prescribed entities include: Corrective Services, Disability Service, Housing Service, Family Wellbeing Services, Assessment and Service Connect, and Intensive Family Support.</w:t>
      </w:r>
    </w:p>
  </w:footnote>
  <w:footnote w:id="17">
    <w:p w14:paraId="6435BC57" w14:textId="7AADD884" w:rsidR="008C7A8C" w:rsidRPr="002C3BDD" w:rsidRDefault="008C7A8C" w:rsidP="0053498D">
      <w:pPr>
        <w:pStyle w:val="FootnoteText"/>
        <w:rPr>
          <w:sz w:val="18"/>
          <w:szCs w:val="18"/>
        </w:rPr>
      </w:pPr>
      <w:r w:rsidRPr="002C3BDD">
        <w:rPr>
          <w:rStyle w:val="FootnoteReference"/>
          <w:sz w:val="18"/>
          <w:szCs w:val="18"/>
        </w:rPr>
        <w:footnoteRef/>
      </w:r>
      <w:r w:rsidRPr="002C3BDD">
        <w:rPr>
          <w:sz w:val="18"/>
          <w:szCs w:val="18"/>
        </w:rPr>
        <w:t xml:space="preserve"> Note that families with less-complex needs are expected to engage for around six months. Some families may also require an intervention longer than nine months; in some complex cases families may engage for 12-18 months, particularly when there is limited access to support services.</w:t>
      </w:r>
    </w:p>
  </w:footnote>
  <w:footnote w:id="18">
    <w:p w14:paraId="3B04BDFD" w14:textId="40FAFB79" w:rsidR="008C7A8C" w:rsidRPr="002C3BDD" w:rsidRDefault="008C7A8C">
      <w:pPr>
        <w:pStyle w:val="FootnoteText"/>
        <w:rPr>
          <w:sz w:val="18"/>
          <w:szCs w:val="18"/>
        </w:rPr>
      </w:pPr>
      <w:r w:rsidRPr="002C3BDD">
        <w:rPr>
          <w:rStyle w:val="FootnoteReference"/>
          <w:sz w:val="18"/>
          <w:szCs w:val="18"/>
        </w:rPr>
        <w:footnoteRef/>
      </w:r>
      <w:r w:rsidRPr="002C3BDD">
        <w:rPr>
          <w:sz w:val="18"/>
          <w:szCs w:val="18"/>
        </w:rPr>
        <w:t xml:space="preserve"> Queensland Intensive Family Support Services Evaluation: Implementation Evaluation Report (2018).</w:t>
      </w:r>
    </w:p>
  </w:footnote>
  <w:footnote w:id="19">
    <w:p w14:paraId="4E914957" w14:textId="5373D54D" w:rsidR="008C7A8C" w:rsidRPr="002C3BDD" w:rsidRDefault="008C7A8C">
      <w:pPr>
        <w:pStyle w:val="FootnoteText"/>
        <w:rPr>
          <w:sz w:val="18"/>
          <w:szCs w:val="18"/>
        </w:rPr>
      </w:pPr>
      <w:r w:rsidRPr="002C3BDD">
        <w:rPr>
          <w:rStyle w:val="FootnoteReference"/>
          <w:sz w:val="18"/>
          <w:szCs w:val="18"/>
        </w:rPr>
        <w:footnoteRef/>
      </w:r>
      <w:r w:rsidRPr="002C3BDD">
        <w:rPr>
          <w:sz w:val="18"/>
          <w:szCs w:val="18"/>
        </w:rPr>
        <w:t xml:space="preserve"> IFS managers have noted in some areas that IFS staff caseloads had to be reduced to 6-7 families (from an average of 13-15 families in most other regions) to allow for additional travel time and extra in-house IFS support where specialist services are not available in the community.</w:t>
      </w:r>
    </w:p>
  </w:footnote>
  <w:footnote w:id="20">
    <w:p w14:paraId="23AEE57F" w14:textId="77777777" w:rsidR="0049768A" w:rsidRPr="002C3BDD" w:rsidRDefault="0049768A" w:rsidP="0049768A">
      <w:pPr>
        <w:pStyle w:val="FootnoteText"/>
        <w:rPr>
          <w:sz w:val="18"/>
          <w:szCs w:val="18"/>
        </w:rPr>
      </w:pPr>
      <w:r w:rsidRPr="002C3BDD">
        <w:rPr>
          <w:rStyle w:val="FootnoteReference"/>
          <w:sz w:val="18"/>
          <w:szCs w:val="18"/>
        </w:rPr>
        <w:footnoteRef/>
      </w:r>
      <w:r w:rsidRPr="002C3BDD">
        <w:rPr>
          <w:sz w:val="18"/>
          <w:szCs w:val="18"/>
        </w:rPr>
        <w:t xml:space="preserve"> The </w:t>
      </w:r>
      <w:hyperlink r:id="rId3" w:history="1">
        <w:r w:rsidRPr="002C3BDD">
          <w:rPr>
            <w:rStyle w:val="Hyperlink"/>
            <w:i/>
            <w:iCs/>
            <w:sz w:val="18"/>
            <w:szCs w:val="18"/>
          </w:rPr>
          <w:t>Intensive Family Support: Service Model and Guidelines</w:t>
        </w:r>
      </w:hyperlink>
      <w:r w:rsidRPr="002C3BDD">
        <w:rPr>
          <w:sz w:val="18"/>
          <w:szCs w:val="18"/>
        </w:rPr>
        <w:t xml:space="preserve"> allows for staff to be employed who have a mix of qualifications, cultural connections and knowledge of the local area, skills and life experience.</w:t>
      </w:r>
    </w:p>
  </w:footnote>
  <w:footnote w:id="21">
    <w:p w14:paraId="07A6FD07" w14:textId="77777777" w:rsidR="0049768A" w:rsidRPr="002C3BDD" w:rsidRDefault="0049768A" w:rsidP="0049768A">
      <w:pPr>
        <w:pStyle w:val="FootnoteText"/>
        <w:rPr>
          <w:sz w:val="18"/>
          <w:szCs w:val="18"/>
        </w:rPr>
      </w:pPr>
      <w:r w:rsidRPr="002C3BDD">
        <w:rPr>
          <w:rStyle w:val="FootnoteReference"/>
          <w:sz w:val="18"/>
          <w:szCs w:val="18"/>
        </w:rPr>
        <w:footnoteRef/>
      </w:r>
      <w:r w:rsidRPr="002C3BDD">
        <w:rPr>
          <w:sz w:val="18"/>
          <w:szCs w:val="18"/>
        </w:rPr>
        <w:t xml:space="preserve"> DFV staffing vacancies can also lead to less effective service responses to addressed identified concerns.</w:t>
      </w:r>
    </w:p>
  </w:footnote>
  <w:footnote w:id="22">
    <w:p w14:paraId="2C459863" w14:textId="77777777" w:rsidR="0049768A" w:rsidRPr="002C3BDD" w:rsidRDefault="0049768A" w:rsidP="0049768A">
      <w:pPr>
        <w:pStyle w:val="FootnoteText"/>
        <w:rPr>
          <w:sz w:val="18"/>
          <w:szCs w:val="18"/>
        </w:rPr>
      </w:pPr>
      <w:r w:rsidRPr="002C3BDD">
        <w:rPr>
          <w:rStyle w:val="FootnoteReference"/>
          <w:sz w:val="18"/>
          <w:szCs w:val="18"/>
        </w:rPr>
        <w:footnoteRef/>
      </w:r>
      <w:r w:rsidRPr="002C3BDD">
        <w:rPr>
          <w:sz w:val="18"/>
          <w:szCs w:val="18"/>
        </w:rPr>
        <w:t xml:space="preserve"> Active holding usually involves weekly or fortnightly contact (via phone, text, or email) to check in on a family’s safety and wellbeing, as well as any changes to their circumstances (re-assessing the key concerns/support needs), updating internal risk assessment tools and ascertaining if families wish to remain on the waitlist.</w:t>
      </w:r>
    </w:p>
  </w:footnote>
  <w:footnote w:id="23">
    <w:p w14:paraId="04F3D334" w14:textId="77777777" w:rsidR="0049768A" w:rsidRPr="002C3BDD" w:rsidRDefault="0049768A" w:rsidP="0049768A">
      <w:pPr>
        <w:pStyle w:val="FootnoteText"/>
        <w:rPr>
          <w:sz w:val="18"/>
          <w:szCs w:val="18"/>
        </w:rPr>
      </w:pPr>
      <w:r w:rsidRPr="002C3BDD">
        <w:rPr>
          <w:rStyle w:val="FootnoteReference"/>
          <w:sz w:val="18"/>
          <w:szCs w:val="18"/>
        </w:rPr>
        <w:footnoteRef/>
      </w:r>
      <w:r w:rsidRPr="002C3BDD">
        <w:rPr>
          <w:sz w:val="18"/>
          <w:szCs w:val="18"/>
        </w:rPr>
        <w:t xml:space="preserve"> The implication is there should be reduced expectations around the possible caseloads held by workers and associated outputs/outcomes. Evaluations suggest caseloads in some regional and rural areas may need to be halved i.e. 7-10 maximum per IFS worker.</w:t>
      </w:r>
    </w:p>
  </w:footnote>
  <w:footnote w:id="24">
    <w:p w14:paraId="18FA1F13" w14:textId="77777777" w:rsidR="0049768A" w:rsidRPr="002C3BDD" w:rsidRDefault="0049768A" w:rsidP="0049768A">
      <w:pPr>
        <w:pStyle w:val="FootnoteText"/>
        <w:rPr>
          <w:sz w:val="18"/>
          <w:szCs w:val="18"/>
        </w:rPr>
      </w:pPr>
      <w:r w:rsidRPr="002C3BDD">
        <w:rPr>
          <w:rStyle w:val="FootnoteReference"/>
          <w:sz w:val="18"/>
          <w:szCs w:val="18"/>
        </w:rPr>
        <w:footnoteRef/>
      </w:r>
      <w:r w:rsidRPr="002C3BDD">
        <w:rPr>
          <w:sz w:val="18"/>
          <w:szCs w:val="18"/>
        </w:rPr>
        <w:t xml:space="preserve"> In some locations, IFS referrals from Child Safety – RIS are reported to be very high risk.</w:t>
      </w:r>
    </w:p>
  </w:footnote>
  <w:footnote w:id="25">
    <w:p w14:paraId="789F1709" w14:textId="0CEE1443" w:rsidR="00BC7686" w:rsidRPr="002C3BDD" w:rsidRDefault="00BC7686" w:rsidP="00BC7686">
      <w:pPr>
        <w:pStyle w:val="FootnoteText"/>
        <w:rPr>
          <w:sz w:val="18"/>
          <w:szCs w:val="18"/>
        </w:rPr>
      </w:pPr>
      <w:r w:rsidRPr="002C3BDD">
        <w:rPr>
          <w:rStyle w:val="FootnoteReference"/>
          <w:sz w:val="18"/>
          <w:szCs w:val="18"/>
        </w:rPr>
        <w:footnoteRef/>
      </w:r>
      <w:r w:rsidRPr="002C3BDD">
        <w:rPr>
          <w:sz w:val="18"/>
          <w:szCs w:val="18"/>
        </w:rPr>
        <w:t xml:space="preserve"> The </w:t>
      </w:r>
      <w:hyperlink r:id="rId4" w:history="1">
        <w:r w:rsidRPr="002C3BDD">
          <w:rPr>
            <w:rStyle w:val="Hyperlink"/>
            <w:i/>
            <w:iCs/>
            <w:sz w:val="18"/>
            <w:szCs w:val="18"/>
          </w:rPr>
          <w:t>Intensive Family Support</w:t>
        </w:r>
        <w:r w:rsidRPr="002C3BDD">
          <w:rPr>
            <w:rStyle w:val="Hyperlink"/>
            <w:sz w:val="18"/>
            <w:szCs w:val="18"/>
          </w:rPr>
          <w:t xml:space="preserve">: </w:t>
        </w:r>
        <w:r w:rsidRPr="002C3BDD">
          <w:rPr>
            <w:rStyle w:val="Hyperlink"/>
            <w:i/>
            <w:iCs/>
            <w:sz w:val="18"/>
            <w:szCs w:val="18"/>
          </w:rPr>
          <w:t>Service Model and Guidelines</w:t>
        </w:r>
      </w:hyperlink>
      <w:r w:rsidRPr="002C3BDD">
        <w:rPr>
          <w:sz w:val="18"/>
          <w:szCs w:val="18"/>
        </w:rPr>
        <w:t xml:space="preserve"> states that case managers will have a caseload of 18-23 families per year on average (cases last 6-7 months). This suggests full-time </w:t>
      </w:r>
      <w:r w:rsidR="007B50B9">
        <w:rPr>
          <w:sz w:val="18"/>
          <w:szCs w:val="18"/>
        </w:rPr>
        <w:t>c</w:t>
      </w:r>
      <w:r w:rsidR="00150A5F">
        <w:rPr>
          <w:sz w:val="18"/>
          <w:szCs w:val="18"/>
        </w:rPr>
        <w:t>ase managers</w:t>
      </w:r>
      <w:r w:rsidR="00150A5F" w:rsidRPr="002C3BDD">
        <w:rPr>
          <w:sz w:val="18"/>
          <w:szCs w:val="18"/>
        </w:rPr>
        <w:t xml:space="preserve"> </w:t>
      </w:r>
      <w:r w:rsidRPr="002C3BDD">
        <w:rPr>
          <w:sz w:val="18"/>
          <w:szCs w:val="18"/>
        </w:rPr>
        <w:t xml:space="preserve">should not have more than </w:t>
      </w:r>
      <w:r w:rsidRPr="007B50B9">
        <w:rPr>
          <w:sz w:val="18"/>
        </w:rPr>
        <w:t>10-12</w:t>
      </w:r>
      <w:r w:rsidRPr="002C3BDD">
        <w:rPr>
          <w:sz w:val="18"/>
          <w:szCs w:val="18"/>
        </w:rPr>
        <w:t xml:space="preserve"> cases (of mixed complexity) at any one time. Workers with highly complex cases might have far fewer on their caseload.</w:t>
      </w:r>
    </w:p>
  </w:footnote>
  <w:footnote w:id="26">
    <w:p w14:paraId="27D98ADD" w14:textId="77777777" w:rsidR="0049768A" w:rsidRPr="002C3BDD" w:rsidRDefault="0049768A" w:rsidP="0049768A">
      <w:pPr>
        <w:pStyle w:val="FootnoteText"/>
        <w:rPr>
          <w:sz w:val="18"/>
          <w:szCs w:val="18"/>
        </w:rPr>
      </w:pPr>
      <w:r w:rsidRPr="002C3BDD">
        <w:rPr>
          <w:rStyle w:val="FootnoteReference"/>
          <w:sz w:val="18"/>
          <w:szCs w:val="18"/>
        </w:rPr>
        <w:footnoteRef/>
      </w:r>
      <w:r w:rsidRPr="002C3BDD">
        <w:rPr>
          <w:sz w:val="18"/>
          <w:szCs w:val="18"/>
        </w:rPr>
        <w:t xml:space="preserve"> The Aboriginal and/or Torres Strait Islander population in Queensland is nearly five per cent.</w:t>
      </w:r>
    </w:p>
  </w:footnote>
  <w:footnote w:id="27">
    <w:p w14:paraId="2B5B1615"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At entry to IFS, families have on average eight presenting needs. In nearly all cases, child emotional or mental health problems are identified.</w:t>
      </w:r>
    </w:p>
  </w:footnote>
  <w:footnote w:id="28">
    <w:p w14:paraId="606AFD2B"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Significant long-standing challenges such as substantial mental health problems, past trauma, unresolved DFV, long-standing physical health problems or disabilities, intellectual impairment or substance abuse slow the pace of change for families, reduce positive outcomes at exit, and affect the sustainability of changes achieved.</w:t>
      </w:r>
    </w:p>
  </w:footnote>
  <w:footnote w:id="29">
    <w:p w14:paraId="42658088"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Future iterations of the IFS performance framework may consider ‘escalation data’ in further detail i.e., those outlets with a high(er) proportion of families (re-)entering the child protection system. This may include the average number of support hours provided to families with an all/majority needs met outcome recorded.</w:t>
      </w:r>
    </w:p>
  </w:footnote>
  <w:footnote w:id="30">
    <w:p w14:paraId="4B00AE22"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Analysis of the 2020 calendar year shows that for providers with a waitlist, most families needed to wait 2-3 weeks before being allocated to a caseworker. In extreme cases, families waited 3-4 months for a service.</w:t>
      </w:r>
    </w:p>
  </w:footnote>
  <w:footnote w:id="31">
    <w:p w14:paraId="74252830"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Untrained or unprepared IFS staff can negatively affect the outcomes that can be achieved.</w:t>
      </w:r>
    </w:p>
  </w:footnote>
  <w:footnote w:id="32">
    <w:p w14:paraId="5083B179"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For instance, service gaps may exist in smaller regional communities or there may be limited specialist services to assist families. More community-based support options are known to help sustain family outcomes.</w:t>
      </w:r>
    </w:p>
  </w:footnote>
  <w:footnote w:id="33">
    <w:p w14:paraId="673C487F"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Specialist services found to be most useful for assisting IFS families include child and adult mental health services, housing assistance, drug and alcohol services, paediatric services, and disability services.</w:t>
      </w:r>
    </w:p>
  </w:footnote>
  <w:footnote w:id="34">
    <w:p w14:paraId="0EB60C4D"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In the absence of culturally appropriate assessment tools, resources, training and supports to improve service provision.</w:t>
      </w:r>
    </w:p>
  </w:footnote>
  <w:footnote w:id="35">
    <w:p w14:paraId="7902A97B" w14:textId="77777777" w:rsidR="00166A8E" w:rsidRPr="002C3BDD" w:rsidRDefault="00166A8E" w:rsidP="00166A8E">
      <w:pPr>
        <w:pStyle w:val="FootnoteText"/>
        <w:rPr>
          <w:sz w:val="18"/>
          <w:szCs w:val="18"/>
        </w:rPr>
      </w:pPr>
      <w:r w:rsidRPr="002C3BDD">
        <w:rPr>
          <w:rStyle w:val="FootnoteReference"/>
          <w:sz w:val="18"/>
          <w:szCs w:val="18"/>
        </w:rPr>
        <w:footnoteRef/>
      </w:r>
      <w:r w:rsidRPr="002C3BDD">
        <w:rPr>
          <w:sz w:val="18"/>
          <w:szCs w:val="18"/>
        </w:rPr>
        <w:t xml:space="preserve"> Consultation with the Children, Youth and Families Team is required in this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EE48" w14:textId="519B1427" w:rsidR="008C7A8C" w:rsidRDefault="008C7A8C">
    <w:pPr>
      <w:pStyle w:val="Header"/>
    </w:pPr>
    <w:r>
      <w:rPr>
        <w:noProof/>
      </w:rPr>
      <w:drawing>
        <wp:anchor distT="0" distB="0" distL="114300" distR="114300" simplePos="0" relativeHeight="251654656" behindDoc="1" locked="1" layoutInCell="1" allowOverlap="1" wp14:anchorId="381B88AD" wp14:editId="631DDC96">
          <wp:simplePos x="0" y="0"/>
          <wp:positionH relativeFrom="column">
            <wp:posOffset>-909320</wp:posOffset>
          </wp:positionH>
          <wp:positionV relativeFrom="page">
            <wp:posOffset>5080</wp:posOffset>
          </wp:positionV>
          <wp:extent cx="7588250" cy="751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88250" cy="751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EBD6" w14:textId="0E2FF3E0" w:rsidR="008C7A8C" w:rsidRDefault="008C7A8C">
    <w:pPr>
      <w:pStyle w:val="Header"/>
    </w:pPr>
    <w:r>
      <w:rPr>
        <w:noProof/>
      </w:rPr>
      <w:drawing>
        <wp:anchor distT="0" distB="0" distL="114300" distR="114300" simplePos="0" relativeHeight="251658752" behindDoc="1" locked="0" layoutInCell="1" allowOverlap="1" wp14:anchorId="60AB925E" wp14:editId="665B1106">
          <wp:simplePos x="0" y="0"/>
          <wp:positionH relativeFrom="column">
            <wp:posOffset>-906780</wp:posOffset>
          </wp:positionH>
          <wp:positionV relativeFrom="paragraph">
            <wp:posOffset>-344805</wp:posOffset>
          </wp:positionV>
          <wp:extent cx="7569835" cy="10712235"/>
          <wp:effectExtent l="0" t="0" r="0" b="0"/>
          <wp:wrapNone/>
          <wp:docPr id="9" name="Picture 9" descr="Graphical user interface, application,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3197" cy="1071699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1" layoutInCell="1" allowOverlap="1" wp14:anchorId="369EFDD3" wp14:editId="0CE36BE8">
          <wp:simplePos x="0" y="0"/>
          <wp:positionH relativeFrom="column">
            <wp:posOffset>-904875</wp:posOffset>
          </wp:positionH>
          <wp:positionV relativeFrom="page">
            <wp:posOffset>361950</wp:posOffset>
          </wp:positionV>
          <wp:extent cx="8493125" cy="75184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8493125" cy="751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B43E" w14:textId="18BB72DD" w:rsidR="008C7A8C" w:rsidRDefault="008C7A8C">
    <w:pPr>
      <w:pStyle w:val="Header"/>
    </w:pPr>
    <w:r>
      <w:rPr>
        <w:noProof/>
      </w:rPr>
      <w:drawing>
        <wp:anchor distT="0" distB="0" distL="114300" distR="114300" simplePos="0" relativeHeight="251659776" behindDoc="1" locked="1" layoutInCell="1" allowOverlap="1" wp14:anchorId="255A573B" wp14:editId="6A324C65">
          <wp:simplePos x="0" y="0"/>
          <wp:positionH relativeFrom="column">
            <wp:posOffset>-904875</wp:posOffset>
          </wp:positionH>
          <wp:positionV relativeFrom="page">
            <wp:posOffset>361950</wp:posOffset>
          </wp:positionV>
          <wp:extent cx="8493125" cy="751840"/>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8493125" cy="751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C9B"/>
    <w:multiLevelType w:val="hybridMultilevel"/>
    <w:tmpl w:val="430A5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92CA6"/>
    <w:multiLevelType w:val="multilevel"/>
    <w:tmpl w:val="C68A0DE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AC31F0E"/>
    <w:multiLevelType w:val="hybridMultilevel"/>
    <w:tmpl w:val="6804D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224864"/>
    <w:multiLevelType w:val="multilevel"/>
    <w:tmpl w:val="B10EE6A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204689E"/>
    <w:multiLevelType w:val="hybridMultilevel"/>
    <w:tmpl w:val="A3709D0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5E8146F"/>
    <w:multiLevelType w:val="multilevel"/>
    <w:tmpl w:val="1E3E71F0"/>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0C0621"/>
    <w:multiLevelType w:val="hybridMultilevel"/>
    <w:tmpl w:val="C1D0ED30"/>
    <w:lvl w:ilvl="0" w:tplc="2C1A4ED0">
      <w:start w:val="1"/>
      <w:numFmt w:val="bullet"/>
      <w:lvlText w:val=""/>
      <w:lvlJc w:val="left"/>
      <w:pPr>
        <w:ind w:left="1440" w:hanging="360"/>
      </w:pPr>
      <w:rPr>
        <w:rFonts w:ascii="Symbol" w:hAnsi="Symbol" w:hint="default"/>
      </w:rPr>
    </w:lvl>
    <w:lvl w:ilvl="1" w:tplc="61BE1B32">
      <w:start w:val="1"/>
      <w:numFmt w:val="bullet"/>
      <w:lvlText w:val="­"/>
      <w:lvlJc w:val="left"/>
      <w:pPr>
        <w:ind w:left="2160" w:hanging="360"/>
      </w:pPr>
      <w:rPr>
        <w:rFonts w:ascii="Courier New" w:hAnsi="Courier New" w:hint="default"/>
      </w:rPr>
    </w:lvl>
    <w:lvl w:ilvl="2" w:tplc="D0CEF3AE">
      <w:start w:val="7"/>
      <w:numFmt w:val="bullet"/>
      <w:lvlText w:val="-"/>
      <w:lvlJc w:val="left"/>
      <w:pPr>
        <w:ind w:left="2880" w:hanging="360"/>
      </w:pPr>
      <w:rPr>
        <w:rFonts w:ascii="Calibri" w:eastAsiaTheme="minorHAnsi" w:hAnsi="Calibri" w:cs="Calibri"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815FF7"/>
    <w:multiLevelType w:val="multilevel"/>
    <w:tmpl w:val="9216D7B0"/>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EC92C9D"/>
    <w:multiLevelType w:val="hybridMultilevel"/>
    <w:tmpl w:val="E4681F8C"/>
    <w:lvl w:ilvl="0" w:tplc="A924475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E06C5"/>
    <w:multiLevelType w:val="hybridMultilevel"/>
    <w:tmpl w:val="BD667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103DBD"/>
    <w:multiLevelType w:val="hybridMultilevel"/>
    <w:tmpl w:val="75442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400BAB"/>
    <w:multiLevelType w:val="multilevel"/>
    <w:tmpl w:val="C1FA4A9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7622390"/>
    <w:multiLevelType w:val="hybridMultilevel"/>
    <w:tmpl w:val="0F2A40B6"/>
    <w:lvl w:ilvl="0" w:tplc="61BE1B32">
      <w:start w:val="1"/>
      <w:numFmt w:val="bullet"/>
      <w:lvlText w:val="­"/>
      <w:lvlJc w:val="left"/>
      <w:pPr>
        <w:ind w:left="720" w:hanging="360"/>
      </w:pPr>
      <w:rPr>
        <w:rFonts w:ascii="Courier New" w:hAnsi="Courier New" w:hint="default"/>
      </w:rPr>
    </w:lvl>
    <w:lvl w:ilvl="1" w:tplc="61BE1B3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46EBE"/>
    <w:multiLevelType w:val="hybridMultilevel"/>
    <w:tmpl w:val="79982B50"/>
    <w:lvl w:ilvl="0" w:tplc="04090001">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80AE4"/>
    <w:multiLevelType w:val="hybridMultilevel"/>
    <w:tmpl w:val="E7625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0871AA"/>
    <w:multiLevelType w:val="multilevel"/>
    <w:tmpl w:val="53401DA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FF90CE4"/>
    <w:multiLevelType w:val="multilevel"/>
    <w:tmpl w:val="65DE6D66"/>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0206681"/>
    <w:multiLevelType w:val="multilevel"/>
    <w:tmpl w:val="53401DA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07D7755"/>
    <w:multiLevelType w:val="hybridMultilevel"/>
    <w:tmpl w:val="AE627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6275D0"/>
    <w:multiLevelType w:val="hybridMultilevel"/>
    <w:tmpl w:val="D74AB118"/>
    <w:lvl w:ilvl="0" w:tplc="61BE1B3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90AD3"/>
    <w:multiLevelType w:val="hybridMultilevel"/>
    <w:tmpl w:val="E8EC6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040B7D"/>
    <w:multiLevelType w:val="multilevel"/>
    <w:tmpl w:val="B77A799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C7F06A0"/>
    <w:multiLevelType w:val="hybridMultilevel"/>
    <w:tmpl w:val="B7C23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AC1DE7"/>
    <w:multiLevelType w:val="hybridMultilevel"/>
    <w:tmpl w:val="BC688654"/>
    <w:lvl w:ilvl="0" w:tplc="61BE1B32">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3EFD35EF"/>
    <w:multiLevelType w:val="multilevel"/>
    <w:tmpl w:val="8DD4655A"/>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1F63554"/>
    <w:multiLevelType w:val="hybridMultilevel"/>
    <w:tmpl w:val="2918D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643CBA"/>
    <w:multiLevelType w:val="hybridMultilevel"/>
    <w:tmpl w:val="BEB82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755B64"/>
    <w:multiLevelType w:val="hybridMultilevel"/>
    <w:tmpl w:val="A0CA0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2A3939"/>
    <w:multiLevelType w:val="hybridMultilevel"/>
    <w:tmpl w:val="14266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CAF1A07"/>
    <w:multiLevelType w:val="hybridMultilevel"/>
    <w:tmpl w:val="55761D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1" w15:restartNumberingAfterBreak="0">
    <w:nsid w:val="4E0725F4"/>
    <w:multiLevelType w:val="hybridMultilevel"/>
    <w:tmpl w:val="6E6A69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DA0290"/>
    <w:multiLevelType w:val="multilevel"/>
    <w:tmpl w:val="E924916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7534A51"/>
    <w:multiLevelType w:val="hybridMultilevel"/>
    <w:tmpl w:val="93547B32"/>
    <w:lvl w:ilvl="0" w:tplc="61BE1B3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411DE3"/>
    <w:multiLevelType w:val="multilevel"/>
    <w:tmpl w:val="ABE28B1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2330EF1"/>
    <w:multiLevelType w:val="hybridMultilevel"/>
    <w:tmpl w:val="D66C79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71301D8"/>
    <w:multiLevelType w:val="multilevel"/>
    <w:tmpl w:val="C78499C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7696FBF"/>
    <w:multiLevelType w:val="hybridMultilevel"/>
    <w:tmpl w:val="F98E6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432780"/>
    <w:multiLevelType w:val="multilevel"/>
    <w:tmpl w:val="048A724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8A96FC6"/>
    <w:multiLevelType w:val="multilevel"/>
    <w:tmpl w:val="8A52FEE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8F83DB3"/>
    <w:multiLevelType w:val="hybridMultilevel"/>
    <w:tmpl w:val="572A5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331556"/>
    <w:multiLevelType w:val="hybridMultilevel"/>
    <w:tmpl w:val="5FBAE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515C86"/>
    <w:multiLevelType w:val="multilevel"/>
    <w:tmpl w:val="852EA936"/>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C427FE2"/>
    <w:multiLevelType w:val="multilevel"/>
    <w:tmpl w:val="CE40EFB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7A2535DB"/>
    <w:multiLevelType w:val="multilevel"/>
    <w:tmpl w:val="9998CFA6"/>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7E8A3BE0"/>
    <w:multiLevelType w:val="hybridMultilevel"/>
    <w:tmpl w:val="8A5E9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9437EB"/>
    <w:multiLevelType w:val="hybridMultilevel"/>
    <w:tmpl w:val="C68EBE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9042632">
    <w:abstractNumId w:val="8"/>
  </w:num>
  <w:num w:numId="2" w16cid:durableId="24433767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765915">
    <w:abstractNumId w:val="32"/>
  </w:num>
  <w:num w:numId="4" w16cid:durableId="571358475">
    <w:abstractNumId w:val="13"/>
  </w:num>
  <w:num w:numId="5" w16cid:durableId="1276324168">
    <w:abstractNumId w:val="4"/>
  </w:num>
  <w:num w:numId="6" w16cid:durableId="1873692201">
    <w:abstractNumId w:val="6"/>
  </w:num>
  <w:num w:numId="7" w16cid:durableId="1779761961">
    <w:abstractNumId w:val="1"/>
  </w:num>
  <w:num w:numId="8" w16cid:durableId="1852141801">
    <w:abstractNumId w:val="31"/>
  </w:num>
  <w:num w:numId="9" w16cid:durableId="1312254940">
    <w:abstractNumId w:val="12"/>
  </w:num>
  <w:num w:numId="10" w16cid:durableId="1161122160">
    <w:abstractNumId w:val="47"/>
  </w:num>
  <w:num w:numId="11" w16cid:durableId="1224297358">
    <w:abstractNumId w:val="22"/>
  </w:num>
  <w:num w:numId="12" w16cid:durableId="1049959881">
    <w:abstractNumId w:val="27"/>
  </w:num>
  <w:num w:numId="13" w16cid:durableId="695888865">
    <w:abstractNumId w:val="42"/>
  </w:num>
  <w:num w:numId="14" w16cid:durableId="1787768364">
    <w:abstractNumId w:val="19"/>
  </w:num>
  <w:num w:numId="15" w16cid:durableId="1225990369">
    <w:abstractNumId w:val="38"/>
  </w:num>
  <w:num w:numId="16" w16cid:durableId="264927018">
    <w:abstractNumId w:val="9"/>
  </w:num>
  <w:num w:numId="17" w16cid:durableId="1260523256">
    <w:abstractNumId w:val="26"/>
  </w:num>
  <w:num w:numId="18" w16cid:durableId="122315155">
    <w:abstractNumId w:val="28"/>
  </w:num>
  <w:num w:numId="19" w16cid:durableId="726684985">
    <w:abstractNumId w:val="23"/>
  </w:num>
  <w:num w:numId="20" w16cid:durableId="1736658072">
    <w:abstractNumId w:val="18"/>
  </w:num>
  <w:num w:numId="21" w16cid:durableId="985204020">
    <w:abstractNumId w:val="34"/>
  </w:num>
  <w:num w:numId="22" w16cid:durableId="283973099">
    <w:abstractNumId w:val="35"/>
  </w:num>
  <w:num w:numId="23" w16cid:durableId="449936345">
    <w:abstractNumId w:val="41"/>
  </w:num>
  <w:num w:numId="24" w16cid:durableId="1915317182">
    <w:abstractNumId w:val="10"/>
  </w:num>
  <w:num w:numId="25" w16cid:durableId="555165344">
    <w:abstractNumId w:val="24"/>
  </w:num>
  <w:num w:numId="26" w16cid:durableId="1516531202">
    <w:abstractNumId w:val="7"/>
  </w:num>
  <w:num w:numId="27" w16cid:durableId="578254883">
    <w:abstractNumId w:val="44"/>
  </w:num>
  <w:num w:numId="28" w16cid:durableId="1502544447">
    <w:abstractNumId w:val="21"/>
  </w:num>
  <w:num w:numId="29" w16cid:durableId="102309467">
    <w:abstractNumId w:val="17"/>
  </w:num>
  <w:num w:numId="30" w16cid:durableId="1689483649">
    <w:abstractNumId w:val="15"/>
  </w:num>
  <w:num w:numId="31" w16cid:durableId="1798452842">
    <w:abstractNumId w:val="45"/>
  </w:num>
  <w:num w:numId="32" w16cid:durableId="1810777644">
    <w:abstractNumId w:val="16"/>
  </w:num>
  <w:num w:numId="33" w16cid:durableId="1106314809">
    <w:abstractNumId w:val="33"/>
  </w:num>
  <w:num w:numId="34" w16cid:durableId="325938517">
    <w:abstractNumId w:val="43"/>
  </w:num>
  <w:num w:numId="35" w16cid:durableId="751701546">
    <w:abstractNumId w:val="3"/>
  </w:num>
  <w:num w:numId="36" w16cid:durableId="1538010572">
    <w:abstractNumId w:val="11"/>
  </w:num>
  <w:num w:numId="37" w16cid:durableId="797996109">
    <w:abstractNumId w:val="39"/>
  </w:num>
  <w:num w:numId="38" w16cid:durableId="1539658074">
    <w:abstractNumId w:val="40"/>
  </w:num>
  <w:num w:numId="39" w16cid:durableId="742874899">
    <w:abstractNumId w:val="5"/>
  </w:num>
  <w:num w:numId="40" w16cid:durableId="1524978822">
    <w:abstractNumId w:val="37"/>
  </w:num>
  <w:num w:numId="41" w16cid:durableId="1801218103">
    <w:abstractNumId w:val="46"/>
  </w:num>
  <w:num w:numId="42" w16cid:durableId="603343685">
    <w:abstractNumId w:val="30"/>
  </w:num>
  <w:num w:numId="43" w16cid:durableId="184707870">
    <w:abstractNumId w:val="14"/>
  </w:num>
  <w:num w:numId="44" w16cid:durableId="619460938">
    <w:abstractNumId w:val="0"/>
  </w:num>
  <w:num w:numId="45" w16cid:durableId="546065960">
    <w:abstractNumId w:val="36"/>
  </w:num>
  <w:num w:numId="46" w16cid:durableId="53043639">
    <w:abstractNumId w:val="25"/>
  </w:num>
  <w:num w:numId="47" w16cid:durableId="1558010685">
    <w:abstractNumId w:val="20"/>
  </w:num>
  <w:num w:numId="48" w16cid:durableId="209532409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03"/>
    <w:rsid w:val="0001250D"/>
    <w:rsid w:val="0001507A"/>
    <w:rsid w:val="000159A9"/>
    <w:rsid w:val="000240A1"/>
    <w:rsid w:val="0002572C"/>
    <w:rsid w:val="00034DFB"/>
    <w:rsid w:val="00035618"/>
    <w:rsid w:val="00041D98"/>
    <w:rsid w:val="000469FF"/>
    <w:rsid w:val="00050E21"/>
    <w:rsid w:val="000570B8"/>
    <w:rsid w:val="0007318C"/>
    <w:rsid w:val="00075780"/>
    <w:rsid w:val="000768C3"/>
    <w:rsid w:val="00077A97"/>
    <w:rsid w:val="000826C7"/>
    <w:rsid w:val="00082EC8"/>
    <w:rsid w:val="00097AE0"/>
    <w:rsid w:val="000A1003"/>
    <w:rsid w:val="000A2C52"/>
    <w:rsid w:val="000A66AC"/>
    <w:rsid w:val="000A7674"/>
    <w:rsid w:val="000B10EE"/>
    <w:rsid w:val="000B7DBD"/>
    <w:rsid w:val="000C21EB"/>
    <w:rsid w:val="000C7A9D"/>
    <w:rsid w:val="000D5D3E"/>
    <w:rsid w:val="000F0E91"/>
    <w:rsid w:val="000F4E4C"/>
    <w:rsid w:val="000F7BD3"/>
    <w:rsid w:val="00106424"/>
    <w:rsid w:val="00107F1A"/>
    <w:rsid w:val="00111134"/>
    <w:rsid w:val="00113C6C"/>
    <w:rsid w:val="001206EA"/>
    <w:rsid w:val="00126722"/>
    <w:rsid w:val="001275FC"/>
    <w:rsid w:val="0013189E"/>
    <w:rsid w:val="00133C77"/>
    <w:rsid w:val="001346B9"/>
    <w:rsid w:val="0013528F"/>
    <w:rsid w:val="00143A2A"/>
    <w:rsid w:val="00150A5F"/>
    <w:rsid w:val="00155877"/>
    <w:rsid w:val="00156A63"/>
    <w:rsid w:val="00157565"/>
    <w:rsid w:val="00166A8E"/>
    <w:rsid w:val="0016723F"/>
    <w:rsid w:val="00172401"/>
    <w:rsid w:val="00177D2A"/>
    <w:rsid w:val="00186D2A"/>
    <w:rsid w:val="001A2939"/>
    <w:rsid w:val="001C158B"/>
    <w:rsid w:val="001C17EE"/>
    <w:rsid w:val="001C2820"/>
    <w:rsid w:val="001C3937"/>
    <w:rsid w:val="001C6EF1"/>
    <w:rsid w:val="001D0540"/>
    <w:rsid w:val="001D0761"/>
    <w:rsid w:val="001D2646"/>
    <w:rsid w:val="001D52D4"/>
    <w:rsid w:val="001D611C"/>
    <w:rsid w:val="001E47C4"/>
    <w:rsid w:val="001E489B"/>
    <w:rsid w:val="001E7F89"/>
    <w:rsid w:val="001F23BD"/>
    <w:rsid w:val="001F585C"/>
    <w:rsid w:val="001F7466"/>
    <w:rsid w:val="001F7684"/>
    <w:rsid w:val="00200C95"/>
    <w:rsid w:val="002011D9"/>
    <w:rsid w:val="00201F51"/>
    <w:rsid w:val="0020295A"/>
    <w:rsid w:val="00207D28"/>
    <w:rsid w:val="002110F5"/>
    <w:rsid w:val="00211B42"/>
    <w:rsid w:val="002167B2"/>
    <w:rsid w:val="00220FCA"/>
    <w:rsid w:val="00222D59"/>
    <w:rsid w:val="00224402"/>
    <w:rsid w:val="0023665E"/>
    <w:rsid w:val="00240AD4"/>
    <w:rsid w:val="00254C8F"/>
    <w:rsid w:val="00271394"/>
    <w:rsid w:val="00276E03"/>
    <w:rsid w:val="002819D2"/>
    <w:rsid w:val="00283900"/>
    <w:rsid w:val="00294FCB"/>
    <w:rsid w:val="0029751F"/>
    <w:rsid w:val="002A53A1"/>
    <w:rsid w:val="002B39D8"/>
    <w:rsid w:val="002B44B3"/>
    <w:rsid w:val="002B52C2"/>
    <w:rsid w:val="002B5FC3"/>
    <w:rsid w:val="002C3BDD"/>
    <w:rsid w:val="002D504D"/>
    <w:rsid w:val="002F09EC"/>
    <w:rsid w:val="002F349F"/>
    <w:rsid w:val="003124D0"/>
    <w:rsid w:val="003156BF"/>
    <w:rsid w:val="00322A96"/>
    <w:rsid w:val="003441AC"/>
    <w:rsid w:val="00344E28"/>
    <w:rsid w:val="003518E7"/>
    <w:rsid w:val="00354623"/>
    <w:rsid w:val="003561E3"/>
    <w:rsid w:val="00372967"/>
    <w:rsid w:val="00386A03"/>
    <w:rsid w:val="00391652"/>
    <w:rsid w:val="00394293"/>
    <w:rsid w:val="003A3C46"/>
    <w:rsid w:val="003A4537"/>
    <w:rsid w:val="003B1319"/>
    <w:rsid w:val="003B226A"/>
    <w:rsid w:val="003C216F"/>
    <w:rsid w:val="003C4931"/>
    <w:rsid w:val="003D3AE8"/>
    <w:rsid w:val="003E0373"/>
    <w:rsid w:val="003E16CD"/>
    <w:rsid w:val="003E1E35"/>
    <w:rsid w:val="003F5CAD"/>
    <w:rsid w:val="0040245F"/>
    <w:rsid w:val="0040309C"/>
    <w:rsid w:val="004032DE"/>
    <w:rsid w:val="00413675"/>
    <w:rsid w:val="004163F1"/>
    <w:rsid w:val="00420469"/>
    <w:rsid w:val="00422641"/>
    <w:rsid w:val="004227FE"/>
    <w:rsid w:val="004227FF"/>
    <w:rsid w:val="0042562E"/>
    <w:rsid w:val="00425BC2"/>
    <w:rsid w:val="0043047E"/>
    <w:rsid w:val="00430803"/>
    <w:rsid w:val="004312D3"/>
    <w:rsid w:val="00432692"/>
    <w:rsid w:val="0043756B"/>
    <w:rsid w:val="00442E65"/>
    <w:rsid w:val="00455B53"/>
    <w:rsid w:val="00457B0F"/>
    <w:rsid w:val="004677DA"/>
    <w:rsid w:val="004734F5"/>
    <w:rsid w:val="00480409"/>
    <w:rsid w:val="00485AAD"/>
    <w:rsid w:val="00494B44"/>
    <w:rsid w:val="00496140"/>
    <w:rsid w:val="0049768A"/>
    <w:rsid w:val="004A13AA"/>
    <w:rsid w:val="004A3A04"/>
    <w:rsid w:val="004A6390"/>
    <w:rsid w:val="004D5102"/>
    <w:rsid w:val="004E08F6"/>
    <w:rsid w:val="004E1F82"/>
    <w:rsid w:val="004E2D18"/>
    <w:rsid w:val="004E6E76"/>
    <w:rsid w:val="004F6831"/>
    <w:rsid w:val="00510721"/>
    <w:rsid w:val="00513834"/>
    <w:rsid w:val="00517545"/>
    <w:rsid w:val="0052451C"/>
    <w:rsid w:val="00531EAF"/>
    <w:rsid w:val="0053498D"/>
    <w:rsid w:val="0054464A"/>
    <w:rsid w:val="005474E3"/>
    <w:rsid w:val="005540BA"/>
    <w:rsid w:val="005546B6"/>
    <w:rsid w:val="005558A9"/>
    <w:rsid w:val="00556AE7"/>
    <w:rsid w:val="00563419"/>
    <w:rsid w:val="00564510"/>
    <w:rsid w:val="00564F46"/>
    <w:rsid w:val="00565A9C"/>
    <w:rsid w:val="00567BAD"/>
    <w:rsid w:val="00576698"/>
    <w:rsid w:val="00577E50"/>
    <w:rsid w:val="0058122D"/>
    <w:rsid w:val="005814EB"/>
    <w:rsid w:val="0058495D"/>
    <w:rsid w:val="00592E81"/>
    <w:rsid w:val="00593CF5"/>
    <w:rsid w:val="005946D8"/>
    <w:rsid w:val="00597177"/>
    <w:rsid w:val="00597F14"/>
    <w:rsid w:val="005A1762"/>
    <w:rsid w:val="005A67EE"/>
    <w:rsid w:val="005B3D23"/>
    <w:rsid w:val="005B60AD"/>
    <w:rsid w:val="005C5ECD"/>
    <w:rsid w:val="005C6476"/>
    <w:rsid w:val="005D5E50"/>
    <w:rsid w:val="005E0D75"/>
    <w:rsid w:val="005E5DC4"/>
    <w:rsid w:val="005F3050"/>
    <w:rsid w:val="005F3675"/>
    <w:rsid w:val="005F3939"/>
    <w:rsid w:val="00600207"/>
    <w:rsid w:val="006003FF"/>
    <w:rsid w:val="00605678"/>
    <w:rsid w:val="006106B0"/>
    <w:rsid w:val="006313A5"/>
    <w:rsid w:val="00657353"/>
    <w:rsid w:val="006771AD"/>
    <w:rsid w:val="00685C0A"/>
    <w:rsid w:val="006A4BF5"/>
    <w:rsid w:val="006B2A10"/>
    <w:rsid w:val="006C7852"/>
    <w:rsid w:val="006D0EEB"/>
    <w:rsid w:val="006D41FE"/>
    <w:rsid w:val="006D6BAA"/>
    <w:rsid w:val="006E35FE"/>
    <w:rsid w:val="006E4FF9"/>
    <w:rsid w:val="006E7ABF"/>
    <w:rsid w:val="006F0F00"/>
    <w:rsid w:val="006F2ED0"/>
    <w:rsid w:val="006F30B2"/>
    <w:rsid w:val="006F545D"/>
    <w:rsid w:val="006F63D2"/>
    <w:rsid w:val="0070048B"/>
    <w:rsid w:val="007040B6"/>
    <w:rsid w:val="00713899"/>
    <w:rsid w:val="00716BBF"/>
    <w:rsid w:val="00723E5B"/>
    <w:rsid w:val="007410E4"/>
    <w:rsid w:val="00756453"/>
    <w:rsid w:val="007569BE"/>
    <w:rsid w:val="00771915"/>
    <w:rsid w:val="00775323"/>
    <w:rsid w:val="0077620E"/>
    <w:rsid w:val="00782436"/>
    <w:rsid w:val="00786845"/>
    <w:rsid w:val="00790F32"/>
    <w:rsid w:val="00791638"/>
    <w:rsid w:val="007A1CA4"/>
    <w:rsid w:val="007A414E"/>
    <w:rsid w:val="007A5162"/>
    <w:rsid w:val="007B327D"/>
    <w:rsid w:val="007B50B9"/>
    <w:rsid w:val="007C11FF"/>
    <w:rsid w:val="007D1D52"/>
    <w:rsid w:val="007D375A"/>
    <w:rsid w:val="007E5F7D"/>
    <w:rsid w:val="00807A22"/>
    <w:rsid w:val="00813E6C"/>
    <w:rsid w:val="00830DEE"/>
    <w:rsid w:val="00846524"/>
    <w:rsid w:val="008508A3"/>
    <w:rsid w:val="0085455E"/>
    <w:rsid w:val="00860A94"/>
    <w:rsid w:val="00860FF5"/>
    <w:rsid w:val="00862054"/>
    <w:rsid w:val="00862699"/>
    <w:rsid w:val="008629D5"/>
    <w:rsid w:val="008657BA"/>
    <w:rsid w:val="008662BC"/>
    <w:rsid w:val="0086651D"/>
    <w:rsid w:val="00874A2C"/>
    <w:rsid w:val="008848C8"/>
    <w:rsid w:val="00886373"/>
    <w:rsid w:val="0089685D"/>
    <w:rsid w:val="008A0A79"/>
    <w:rsid w:val="008B00B1"/>
    <w:rsid w:val="008B2513"/>
    <w:rsid w:val="008B2B2B"/>
    <w:rsid w:val="008B3FB9"/>
    <w:rsid w:val="008B47A9"/>
    <w:rsid w:val="008B65AD"/>
    <w:rsid w:val="008B7D9D"/>
    <w:rsid w:val="008B7EB6"/>
    <w:rsid w:val="008C2F72"/>
    <w:rsid w:val="008C488F"/>
    <w:rsid w:val="008C6D03"/>
    <w:rsid w:val="008C7A8C"/>
    <w:rsid w:val="008D0F53"/>
    <w:rsid w:val="008D2075"/>
    <w:rsid w:val="008D4334"/>
    <w:rsid w:val="008D475D"/>
    <w:rsid w:val="008E1CFE"/>
    <w:rsid w:val="008E38C1"/>
    <w:rsid w:val="008F2B24"/>
    <w:rsid w:val="00902DB0"/>
    <w:rsid w:val="00905AC3"/>
    <w:rsid w:val="00912ABD"/>
    <w:rsid w:val="00914D52"/>
    <w:rsid w:val="0092472B"/>
    <w:rsid w:val="00924B26"/>
    <w:rsid w:val="00935DBA"/>
    <w:rsid w:val="00940485"/>
    <w:rsid w:val="0094262B"/>
    <w:rsid w:val="009446B7"/>
    <w:rsid w:val="00944E3D"/>
    <w:rsid w:val="009553A9"/>
    <w:rsid w:val="0096525C"/>
    <w:rsid w:val="0097194B"/>
    <w:rsid w:val="00973DBD"/>
    <w:rsid w:val="009779F4"/>
    <w:rsid w:val="00982110"/>
    <w:rsid w:val="00991A25"/>
    <w:rsid w:val="0099203C"/>
    <w:rsid w:val="00997EBA"/>
    <w:rsid w:val="009A28E7"/>
    <w:rsid w:val="009A3F7A"/>
    <w:rsid w:val="009A5858"/>
    <w:rsid w:val="009B0079"/>
    <w:rsid w:val="009B08E7"/>
    <w:rsid w:val="009B1B69"/>
    <w:rsid w:val="009B602C"/>
    <w:rsid w:val="009C2DA7"/>
    <w:rsid w:val="009C6062"/>
    <w:rsid w:val="009D17E8"/>
    <w:rsid w:val="009E09E7"/>
    <w:rsid w:val="009E4A0C"/>
    <w:rsid w:val="009E6D37"/>
    <w:rsid w:val="009F0842"/>
    <w:rsid w:val="009F2F67"/>
    <w:rsid w:val="009F67D3"/>
    <w:rsid w:val="00A02069"/>
    <w:rsid w:val="00A0598F"/>
    <w:rsid w:val="00A4570E"/>
    <w:rsid w:val="00A476FF"/>
    <w:rsid w:val="00A504BA"/>
    <w:rsid w:val="00A53852"/>
    <w:rsid w:val="00A61C9C"/>
    <w:rsid w:val="00A6441E"/>
    <w:rsid w:val="00A64D1B"/>
    <w:rsid w:val="00A94735"/>
    <w:rsid w:val="00A97328"/>
    <w:rsid w:val="00AA42B9"/>
    <w:rsid w:val="00AC2177"/>
    <w:rsid w:val="00AC4D98"/>
    <w:rsid w:val="00AD11B7"/>
    <w:rsid w:val="00AD7B8D"/>
    <w:rsid w:val="00AF2A02"/>
    <w:rsid w:val="00AF35AF"/>
    <w:rsid w:val="00AF5DC4"/>
    <w:rsid w:val="00B04803"/>
    <w:rsid w:val="00B049EF"/>
    <w:rsid w:val="00B0519C"/>
    <w:rsid w:val="00B1154D"/>
    <w:rsid w:val="00B154F2"/>
    <w:rsid w:val="00B21E9E"/>
    <w:rsid w:val="00B23D86"/>
    <w:rsid w:val="00B34191"/>
    <w:rsid w:val="00B4209D"/>
    <w:rsid w:val="00B511E4"/>
    <w:rsid w:val="00B518B4"/>
    <w:rsid w:val="00B549E0"/>
    <w:rsid w:val="00B61238"/>
    <w:rsid w:val="00B75497"/>
    <w:rsid w:val="00B77A51"/>
    <w:rsid w:val="00B909AB"/>
    <w:rsid w:val="00B9274C"/>
    <w:rsid w:val="00B96A6B"/>
    <w:rsid w:val="00B96F91"/>
    <w:rsid w:val="00BA3F20"/>
    <w:rsid w:val="00BA40B6"/>
    <w:rsid w:val="00BA5865"/>
    <w:rsid w:val="00BA7366"/>
    <w:rsid w:val="00BB0EEE"/>
    <w:rsid w:val="00BB1E71"/>
    <w:rsid w:val="00BB29F3"/>
    <w:rsid w:val="00BC5145"/>
    <w:rsid w:val="00BC7686"/>
    <w:rsid w:val="00BD1765"/>
    <w:rsid w:val="00BD1E21"/>
    <w:rsid w:val="00BD4592"/>
    <w:rsid w:val="00BD5ECC"/>
    <w:rsid w:val="00BE1BDF"/>
    <w:rsid w:val="00BF036D"/>
    <w:rsid w:val="00BF5117"/>
    <w:rsid w:val="00C02920"/>
    <w:rsid w:val="00C10BB5"/>
    <w:rsid w:val="00C14101"/>
    <w:rsid w:val="00C2161C"/>
    <w:rsid w:val="00C27462"/>
    <w:rsid w:val="00C27E50"/>
    <w:rsid w:val="00C31092"/>
    <w:rsid w:val="00C332DF"/>
    <w:rsid w:val="00C34E31"/>
    <w:rsid w:val="00C41FDB"/>
    <w:rsid w:val="00C445A7"/>
    <w:rsid w:val="00C56DAF"/>
    <w:rsid w:val="00C723C9"/>
    <w:rsid w:val="00C7541A"/>
    <w:rsid w:val="00C758DF"/>
    <w:rsid w:val="00C80493"/>
    <w:rsid w:val="00C815B1"/>
    <w:rsid w:val="00C82152"/>
    <w:rsid w:val="00C96797"/>
    <w:rsid w:val="00C96E80"/>
    <w:rsid w:val="00CA02B0"/>
    <w:rsid w:val="00CB79C5"/>
    <w:rsid w:val="00CC4361"/>
    <w:rsid w:val="00CC77AF"/>
    <w:rsid w:val="00CD6E12"/>
    <w:rsid w:val="00CD7BB1"/>
    <w:rsid w:val="00CE7E77"/>
    <w:rsid w:val="00D010E1"/>
    <w:rsid w:val="00D05244"/>
    <w:rsid w:val="00D12775"/>
    <w:rsid w:val="00D20BC1"/>
    <w:rsid w:val="00D26B55"/>
    <w:rsid w:val="00D31420"/>
    <w:rsid w:val="00D34887"/>
    <w:rsid w:val="00D475C0"/>
    <w:rsid w:val="00D52EE6"/>
    <w:rsid w:val="00D62F7E"/>
    <w:rsid w:val="00D7420D"/>
    <w:rsid w:val="00D750E0"/>
    <w:rsid w:val="00D81EF6"/>
    <w:rsid w:val="00D83A68"/>
    <w:rsid w:val="00D86154"/>
    <w:rsid w:val="00D93AA9"/>
    <w:rsid w:val="00D956D2"/>
    <w:rsid w:val="00D965E9"/>
    <w:rsid w:val="00DA18B6"/>
    <w:rsid w:val="00DA7256"/>
    <w:rsid w:val="00DA79D9"/>
    <w:rsid w:val="00DB2DCA"/>
    <w:rsid w:val="00DB58D4"/>
    <w:rsid w:val="00DB7E77"/>
    <w:rsid w:val="00DD37E5"/>
    <w:rsid w:val="00DD4388"/>
    <w:rsid w:val="00DD4D26"/>
    <w:rsid w:val="00DD4ECD"/>
    <w:rsid w:val="00DD68C2"/>
    <w:rsid w:val="00DE1B30"/>
    <w:rsid w:val="00DE1DDD"/>
    <w:rsid w:val="00E076BB"/>
    <w:rsid w:val="00E103B4"/>
    <w:rsid w:val="00E163FE"/>
    <w:rsid w:val="00E31BE4"/>
    <w:rsid w:val="00E31D68"/>
    <w:rsid w:val="00E3561E"/>
    <w:rsid w:val="00E40CFD"/>
    <w:rsid w:val="00E66AA3"/>
    <w:rsid w:val="00E70CCE"/>
    <w:rsid w:val="00E71F12"/>
    <w:rsid w:val="00E746AC"/>
    <w:rsid w:val="00E80B2C"/>
    <w:rsid w:val="00E81931"/>
    <w:rsid w:val="00E8253C"/>
    <w:rsid w:val="00E86ED5"/>
    <w:rsid w:val="00E91B4B"/>
    <w:rsid w:val="00E91C80"/>
    <w:rsid w:val="00EB3691"/>
    <w:rsid w:val="00EB4973"/>
    <w:rsid w:val="00EB6478"/>
    <w:rsid w:val="00EC050D"/>
    <w:rsid w:val="00EC10CF"/>
    <w:rsid w:val="00EC197D"/>
    <w:rsid w:val="00EC4596"/>
    <w:rsid w:val="00EC71FF"/>
    <w:rsid w:val="00ED006D"/>
    <w:rsid w:val="00ED7C48"/>
    <w:rsid w:val="00EE0DDC"/>
    <w:rsid w:val="00EE5284"/>
    <w:rsid w:val="00EE6263"/>
    <w:rsid w:val="00EF2E72"/>
    <w:rsid w:val="00EF61E5"/>
    <w:rsid w:val="00F00AB8"/>
    <w:rsid w:val="00F05864"/>
    <w:rsid w:val="00F1232F"/>
    <w:rsid w:val="00F151EE"/>
    <w:rsid w:val="00F153BA"/>
    <w:rsid w:val="00F27155"/>
    <w:rsid w:val="00F27994"/>
    <w:rsid w:val="00F33F56"/>
    <w:rsid w:val="00F349DD"/>
    <w:rsid w:val="00F614D9"/>
    <w:rsid w:val="00F63BD3"/>
    <w:rsid w:val="00F655B2"/>
    <w:rsid w:val="00F67F00"/>
    <w:rsid w:val="00F7617E"/>
    <w:rsid w:val="00F80C35"/>
    <w:rsid w:val="00F855FE"/>
    <w:rsid w:val="00FA7F0B"/>
    <w:rsid w:val="00FB376D"/>
    <w:rsid w:val="00FC26EC"/>
    <w:rsid w:val="00FC3856"/>
    <w:rsid w:val="00FD1C78"/>
    <w:rsid w:val="00FD2540"/>
    <w:rsid w:val="00FD3B3F"/>
    <w:rsid w:val="00FD6195"/>
    <w:rsid w:val="00FD7739"/>
    <w:rsid w:val="00FE069B"/>
    <w:rsid w:val="00FE2119"/>
    <w:rsid w:val="00FE6929"/>
    <w:rsid w:val="00FF4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540FFB"/>
  <w15:chartTrackingRefBased/>
  <w15:docId w15:val="{8ACB3428-9651-4747-9EAC-D9F93D03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D3"/>
    <w:pPr>
      <w:spacing w:before="120" w:after="120"/>
    </w:pPr>
    <w:rPr>
      <w:rFonts w:ascii="Arial" w:hAnsi="Arial"/>
      <w:sz w:val="22"/>
    </w:rPr>
  </w:style>
  <w:style w:type="paragraph" w:styleId="Heading1">
    <w:name w:val="heading 1"/>
    <w:basedOn w:val="Normal"/>
    <w:next w:val="Normal"/>
    <w:link w:val="Heading1Char"/>
    <w:uiPriority w:val="9"/>
    <w:qFormat/>
    <w:rsid w:val="000A1003"/>
    <w:pPr>
      <w:keepNext/>
      <w:keepLines/>
      <w:spacing w:before="240" w:after="0"/>
      <w:outlineLvl w:val="0"/>
    </w:pPr>
    <w:rPr>
      <w:rFonts w:eastAsiaTheme="majorEastAsia" w:cstheme="majorBidi"/>
      <w:b/>
      <w:color w:val="1A3045"/>
      <w:sz w:val="52"/>
      <w:szCs w:val="32"/>
    </w:rPr>
  </w:style>
  <w:style w:type="paragraph" w:styleId="Heading2">
    <w:name w:val="heading 2"/>
    <w:basedOn w:val="Normal"/>
    <w:next w:val="Normal"/>
    <w:link w:val="Heading2Char"/>
    <w:uiPriority w:val="9"/>
    <w:unhideWhenUsed/>
    <w:qFormat/>
    <w:rsid w:val="000F7BD3"/>
    <w:pPr>
      <w:keepNext/>
      <w:keepLines/>
      <w:spacing w:before="320" w:after="0"/>
      <w:outlineLvl w:val="1"/>
    </w:pPr>
    <w:rPr>
      <w:rFonts w:eastAsiaTheme="majorEastAsia" w:cstheme="majorBidi"/>
      <w:b/>
      <w:color w:val="783772"/>
      <w:sz w:val="28"/>
      <w:szCs w:val="26"/>
    </w:rPr>
  </w:style>
  <w:style w:type="paragraph" w:styleId="Heading3">
    <w:name w:val="heading 3"/>
    <w:basedOn w:val="Normal"/>
    <w:next w:val="Normal"/>
    <w:link w:val="Heading3Char"/>
    <w:uiPriority w:val="9"/>
    <w:unhideWhenUsed/>
    <w:qFormat/>
    <w:rsid w:val="000F7BD3"/>
    <w:pPr>
      <w:keepNext/>
      <w:keepLines/>
      <w:spacing w:after="0"/>
      <w:outlineLvl w:val="2"/>
    </w:pPr>
    <w:rPr>
      <w:rFonts w:eastAsiaTheme="majorEastAsia" w:cs="Arial"/>
      <w:color w:val="A879B5"/>
      <w:sz w:val="28"/>
    </w:rPr>
  </w:style>
  <w:style w:type="paragraph" w:styleId="Heading4">
    <w:name w:val="heading 4"/>
    <w:basedOn w:val="Normal"/>
    <w:next w:val="Normal"/>
    <w:link w:val="Heading4Char"/>
    <w:uiPriority w:val="9"/>
    <w:unhideWhenUsed/>
    <w:qFormat/>
    <w:rsid w:val="007C11FF"/>
    <w:pPr>
      <w:keepNext/>
      <w:keepLines/>
      <w:spacing w:after="0"/>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unhideWhenUsed/>
    <w:qFormat/>
    <w:rsid w:val="007C11FF"/>
    <w:pPr>
      <w:keepNext/>
      <w:keepLines/>
      <w:spacing w:before="40" w:after="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003"/>
    <w:pPr>
      <w:tabs>
        <w:tab w:val="center" w:pos="4680"/>
        <w:tab w:val="right" w:pos="9360"/>
      </w:tabs>
      <w:spacing w:before="0" w:after="0"/>
    </w:pPr>
  </w:style>
  <w:style w:type="character" w:customStyle="1" w:styleId="HeaderChar">
    <w:name w:val="Header Char"/>
    <w:basedOn w:val="DefaultParagraphFont"/>
    <w:link w:val="Header"/>
    <w:uiPriority w:val="99"/>
    <w:rsid w:val="000A1003"/>
    <w:rPr>
      <w:rFonts w:ascii="Arial" w:hAnsi="Arial"/>
      <w:sz w:val="22"/>
    </w:rPr>
  </w:style>
  <w:style w:type="paragraph" w:styleId="Footer">
    <w:name w:val="footer"/>
    <w:basedOn w:val="Normal"/>
    <w:link w:val="FooterChar"/>
    <w:uiPriority w:val="99"/>
    <w:unhideWhenUsed/>
    <w:rsid w:val="000A1003"/>
    <w:pPr>
      <w:tabs>
        <w:tab w:val="center" w:pos="4680"/>
        <w:tab w:val="right" w:pos="9360"/>
      </w:tabs>
      <w:spacing w:before="0" w:after="0"/>
    </w:pPr>
  </w:style>
  <w:style w:type="character" w:customStyle="1" w:styleId="FooterChar">
    <w:name w:val="Footer Char"/>
    <w:basedOn w:val="DefaultParagraphFont"/>
    <w:link w:val="Footer"/>
    <w:uiPriority w:val="99"/>
    <w:rsid w:val="000A1003"/>
    <w:rPr>
      <w:rFonts w:ascii="Arial" w:hAnsi="Arial"/>
      <w:sz w:val="22"/>
    </w:rPr>
  </w:style>
  <w:style w:type="character" w:customStyle="1" w:styleId="Heading1Char">
    <w:name w:val="Heading 1 Char"/>
    <w:basedOn w:val="DefaultParagraphFont"/>
    <w:link w:val="Heading1"/>
    <w:uiPriority w:val="9"/>
    <w:rsid w:val="000A1003"/>
    <w:rPr>
      <w:rFonts w:ascii="Arial" w:eastAsiaTheme="majorEastAsia" w:hAnsi="Arial" w:cstheme="majorBidi"/>
      <w:b/>
      <w:color w:val="1A3045"/>
      <w:sz w:val="52"/>
      <w:szCs w:val="32"/>
    </w:rPr>
  </w:style>
  <w:style w:type="character" w:customStyle="1" w:styleId="Heading2Char">
    <w:name w:val="Heading 2 Char"/>
    <w:basedOn w:val="DefaultParagraphFont"/>
    <w:link w:val="Heading2"/>
    <w:uiPriority w:val="9"/>
    <w:rsid w:val="000F7BD3"/>
    <w:rPr>
      <w:rFonts w:ascii="Arial" w:eastAsiaTheme="majorEastAsia" w:hAnsi="Arial" w:cstheme="majorBidi"/>
      <w:b/>
      <w:color w:val="783772"/>
      <w:sz w:val="28"/>
      <w:szCs w:val="26"/>
    </w:rPr>
  </w:style>
  <w:style w:type="character" w:customStyle="1" w:styleId="Heading3Char">
    <w:name w:val="Heading 3 Char"/>
    <w:basedOn w:val="DefaultParagraphFont"/>
    <w:link w:val="Heading3"/>
    <w:uiPriority w:val="9"/>
    <w:rsid w:val="000F7BD3"/>
    <w:rPr>
      <w:rFonts w:ascii="Arial" w:eastAsiaTheme="majorEastAsia" w:hAnsi="Arial" w:cs="Arial"/>
      <w:color w:val="A879B5"/>
      <w:sz w:val="28"/>
    </w:rPr>
  </w:style>
  <w:style w:type="character" w:customStyle="1" w:styleId="Heading4Char">
    <w:name w:val="Heading 4 Char"/>
    <w:basedOn w:val="DefaultParagraphFont"/>
    <w:link w:val="Heading4"/>
    <w:uiPriority w:val="9"/>
    <w:rsid w:val="007C11FF"/>
    <w:rPr>
      <w:rFonts w:ascii="Arial" w:eastAsiaTheme="majorEastAsia" w:hAnsi="Arial" w:cstheme="majorBidi"/>
      <w:b/>
      <w:iCs/>
      <w:color w:val="000000" w:themeColor="text1"/>
    </w:rPr>
  </w:style>
  <w:style w:type="paragraph" w:styleId="NoSpacing">
    <w:name w:val="No Spacing"/>
    <w:uiPriority w:val="1"/>
    <w:qFormat/>
    <w:rsid w:val="000F7BD3"/>
    <w:rPr>
      <w:rFonts w:ascii="Arial" w:hAnsi="Arial"/>
      <w:sz w:val="22"/>
    </w:rPr>
  </w:style>
  <w:style w:type="paragraph" w:styleId="ListParagraph">
    <w:name w:val="List Paragraph"/>
    <w:aliases w:val="Bullet copy,Bulleted Para,CV text,Dot pt,F5 List Paragraph,FooterText,L,List Paragraph1,List Paragraph11,List Paragraph111,List Paragraph2,Medium Grid 1 - Accent 21,NAST Quote,NFP GP Bulleted List,Numbered Paragraph,Recommendation"/>
    <w:basedOn w:val="Normal"/>
    <w:link w:val="ListParagraphChar"/>
    <w:uiPriority w:val="34"/>
    <w:qFormat/>
    <w:rsid w:val="000F7BD3"/>
    <w:pPr>
      <w:numPr>
        <w:numId w:val="1"/>
      </w:numPr>
      <w:contextualSpacing/>
    </w:pPr>
  </w:style>
  <w:style w:type="character" w:customStyle="1" w:styleId="Heading5Char">
    <w:name w:val="Heading 5 Char"/>
    <w:basedOn w:val="DefaultParagraphFont"/>
    <w:link w:val="Heading5"/>
    <w:uiPriority w:val="9"/>
    <w:rsid w:val="007C11FF"/>
    <w:rPr>
      <w:rFonts w:ascii="Arial" w:eastAsiaTheme="majorEastAsia" w:hAnsi="Arial" w:cstheme="majorBidi"/>
      <w:b/>
      <w:i/>
      <w:color w:val="000000" w:themeColor="text1"/>
      <w:sz w:val="22"/>
    </w:rPr>
  </w:style>
  <w:style w:type="paragraph" w:styleId="BodyText">
    <w:name w:val="Body Text"/>
    <w:basedOn w:val="Normal"/>
    <w:link w:val="BodyTextChar"/>
    <w:uiPriority w:val="99"/>
    <w:rsid w:val="006F30B2"/>
    <w:pPr>
      <w:spacing w:line="276" w:lineRule="auto"/>
    </w:pPr>
    <w:rPr>
      <w:rFonts w:eastAsia="Times New Roman" w:cs="Times New Roman"/>
      <w:lang w:eastAsia="en-AU"/>
    </w:rPr>
  </w:style>
  <w:style w:type="character" w:customStyle="1" w:styleId="BodyTextChar">
    <w:name w:val="Body Text Char"/>
    <w:basedOn w:val="DefaultParagraphFont"/>
    <w:link w:val="BodyText"/>
    <w:uiPriority w:val="99"/>
    <w:rsid w:val="006F30B2"/>
    <w:rPr>
      <w:rFonts w:ascii="Arial" w:eastAsia="Times New Roman" w:hAnsi="Arial" w:cs="Times New Roman"/>
      <w:sz w:val="22"/>
      <w:lang w:eastAsia="en-AU"/>
    </w:rPr>
  </w:style>
  <w:style w:type="paragraph" w:styleId="Caption">
    <w:name w:val="caption"/>
    <w:basedOn w:val="Normal"/>
    <w:next w:val="BodyText"/>
    <w:qFormat/>
    <w:rsid w:val="006F30B2"/>
    <w:rPr>
      <w:rFonts w:eastAsia="Times New Roman" w:cs="Times New Roman"/>
      <w:b/>
      <w:bCs/>
      <w:sz w:val="20"/>
      <w:szCs w:val="20"/>
      <w:lang w:eastAsia="en-AU"/>
    </w:rPr>
  </w:style>
  <w:style w:type="paragraph" w:customStyle="1" w:styleId="TableTextLeft">
    <w:name w:val="Table Text Left"/>
    <w:basedOn w:val="Normal"/>
    <w:link w:val="TableTextLeftCharChar"/>
    <w:rsid w:val="006F30B2"/>
    <w:pPr>
      <w:spacing w:before="60" w:after="40"/>
    </w:pPr>
    <w:rPr>
      <w:rFonts w:eastAsia="MS Mincho" w:cs="Times New Roman"/>
      <w:sz w:val="20"/>
    </w:rPr>
  </w:style>
  <w:style w:type="character" w:customStyle="1" w:styleId="TableTextLeftCharChar">
    <w:name w:val="Table Text Left Char Char"/>
    <w:link w:val="TableTextLeft"/>
    <w:rsid w:val="006F30B2"/>
    <w:rPr>
      <w:rFonts w:ascii="Arial" w:eastAsia="MS Mincho" w:hAnsi="Arial" w:cs="Times New Roman"/>
      <w:sz w:val="20"/>
    </w:rPr>
  </w:style>
  <w:style w:type="paragraph" w:customStyle="1" w:styleId="TableHeadingLeft-White">
    <w:name w:val="Table Heading Left - White"/>
    <w:basedOn w:val="Normal"/>
    <w:rsid w:val="006F30B2"/>
    <w:pPr>
      <w:spacing w:before="60" w:after="40"/>
    </w:pPr>
    <w:rPr>
      <w:rFonts w:eastAsia="MS Mincho" w:cs="Times New Roman"/>
      <w:b/>
      <w:color w:val="FFFFFF"/>
      <w:sz w:val="20"/>
      <w:lang w:val="en-NZ"/>
    </w:rPr>
  </w:style>
  <w:style w:type="character" w:customStyle="1" w:styleId="ListParagraphChar">
    <w:name w:val="List Paragraph Char"/>
    <w:aliases w:val="Bullet copy Char,Bulleted Para Char,CV text Char,Dot pt Char,F5 List Paragraph Char,FooterText Char,L Char,List Paragraph1 Char,List Paragraph11 Char,List Paragraph111 Char,List Paragraph2 Char,Medium Grid 1 - Accent 21 Char"/>
    <w:basedOn w:val="DefaultParagraphFont"/>
    <w:link w:val="ListParagraph"/>
    <w:uiPriority w:val="34"/>
    <w:qFormat/>
    <w:locked/>
    <w:rsid w:val="006F30B2"/>
    <w:rPr>
      <w:rFonts w:ascii="Arial" w:hAnsi="Arial"/>
      <w:sz w:val="22"/>
    </w:rPr>
  </w:style>
  <w:style w:type="paragraph" w:styleId="FootnoteText">
    <w:name w:val="footnote text"/>
    <w:basedOn w:val="Normal"/>
    <w:link w:val="FootnoteTextChar"/>
    <w:uiPriority w:val="99"/>
    <w:rsid w:val="006F30B2"/>
    <w:pPr>
      <w:spacing w:before="0"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6F30B2"/>
    <w:rPr>
      <w:rFonts w:ascii="Arial" w:eastAsia="Times New Roman" w:hAnsi="Arial" w:cs="Times New Roman"/>
      <w:sz w:val="20"/>
      <w:szCs w:val="20"/>
      <w:lang w:eastAsia="en-AU"/>
    </w:rPr>
  </w:style>
  <w:style w:type="character" w:styleId="FootnoteReference">
    <w:name w:val="footnote reference"/>
    <w:uiPriority w:val="99"/>
    <w:rsid w:val="006F30B2"/>
    <w:rPr>
      <w:vertAlign w:val="superscript"/>
    </w:rPr>
  </w:style>
  <w:style w:type="paragraph" w:customStyle="1" w:styleId="TableBullet">
    <w:name w:val="Table Bullet"/>
    <w:basedOn w:val="TableTextLeft"/>
    <w:rsid w:val="006F30B2"/>
    <w:pPr>
      <w:numPr>
        <w:numId w:val="2"/>
      </w:numPr>
      <w:tabs>
        <w:tab w:val="clear" w:pos="227"/>
        <w:tab w:val="num" w:pos="360"/>
      </w:tabs>
      <w:ind w:left="0" w:firstLine="0"/>
    </w:pPr>
  </w:style>
  <w:style w:type="paragraph" w:customStyle="1" w:styleId="DHHSbody">
    <w:name w:val="DHHS body"/>
    <w:qFormat/>
    <w:rsid w:val="006F30B2"/>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6F30B2"/>
    <w:pPr>
      <w:numPr>
        <w:numId w:val="3"/>
      </w:numPr>
      <w:spacing w:after="40"/>
    </w:pPr>
  </w:style>
  <w:style w:type="paragraph" w:customStyle="1" w:styleId="DHHSfigurecaption">
    <w:name w:val="DHHS figure caption"/>
    <w:next w:val="DHHSbody"/>
    <w:link w:val="DHHSfigurecaptionChar"/>
    <w:uiPriority w:val="4"/>
    <w:rsid w:val="006F30B2"/>
    <w:pPr>
      <w:keepNext/>
      <w:keepLines/>
      <w:spacing w:before="240" w:after="120"/>
    </w:pPr>
    <w:rPr>
      <w:rFonts w:ascii="Arial" w:eastAsia="Times New Roman" w:hAnsi="Arial" w:cs="Times New Roman"/>
      <w:b/>
      <w:sz w:val="20"/>
      <w:szCs w:val="20"/>
    </w:rPr>
  </w:style>
  <w:style w:type="paragraph" w:customStyle="1" w:styleId="DHHSbullet2">
    <w:name w:val="DHHS bullet 2"/>
    <w:basedOn w:val="DHHSbody"/>
    <w:uiPriority w:val="2"/>
    <w:qFormat/>
    <w:rsid w:val="006F30B2"/>
    <w:pPr>
      <w:numPr>
        <w:ilvl w:val="1"/>
        <w:numId w:val="3"/>
      </w:numPr>
      <w:spacing w:after="40"/>
    </w:pPr>
  </w:style>
  <w:style w:type="numbering" w:customStyle="1" w:styleId="ZZBullets">
    <w:name w:val="ZZ Bullets"/>
    <w:rsid w:val="006F30B2"/>
    <w:pPr>
      <w:numPr>
        <w:numId w:val="3"/>
      </w:numPr>
    </w:pPr>
  </w:style>
  <w:style w:type="character" w:customStyle="1" w:styleId="DHHSfigurecaptionChar">
    <w:name w:val="DHHS figure caption Char"/>
    <w:link w:val="DHHSfigurecaption"/>
    <w:uiPriority w:val="4"/>
    <w:locked/>
    <w:rsid w:val="006F30B2"/>
    <w:rPr>
      <w:rFonts w:ascii="Arial" w:eastAsia="Times New Roman" w:hAnsi="Arial" w:cs="Times New Roman"/>
      <w:b/>
      <w:sz w:val="20"/>
      <w:szCs w:val="20"/>
    </w:rPr>
  </w:style>
  <w:style w:type="table" w:styleId="TableGrid">
    <w:name w:val="Table Grid"/>
    <w:basedOn w:val="TableNormal"/>
    <w:uiPriority w:val="39"/>
    <w:rsid w:val="00EB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75497"/>
    <w:rPr>
      <w:color w:val="0000FF"/>
      <w:u w:val="single"/>
    </w:rPr>
  </w:style>
  <w:style w:type="paragraph" w:styleId="TOC2">
    <w:name w:val="toc 2"/>
    <w:basedOn w:val="Normal"/>
    <w:next w:val="Normal"/>
    <w:uiPriority w:val="39"/>
    <w:rsid w:val="000240A1"/>
    <w:pPr>
      <w:spacing w:before="0" w:after="0" w:line="259" w:lineRule="auto"/>
    </w:pPr>
    <w:rPr>
      <w:rFonts w:asciiTheme="minorHAnsi" w:hAnsiTheme="minorHAnsi"/>
      <w:b/>
      <w:bCs/>
      <w:smallCaps/>
      <w:szCs w:val="22"/>
    </w:rPr>
  </w:style>
  <w:style w:type="paragraph" w:styleId="TOC1">
    <w:name w:val="toc 1"/>
    <w:basedOn w:val="Normal"/>
    <w:next w:val="Normal"/>
    <w:uiPriority w:val="39"/>
    <w:rsid w:val="000240A1"/>
    <w:pPr>
      <w:spacing w:before="360" w:after="360" w:line="259" w:lineRule="auto"/>
    </w:pPr>
    <w:rPr>
      <w:rFonts w:asciiTheme="minorHAnsi" w:hAnsiTheme="minorHAnsi"/>
      <w:b/>
      <w:bCs/>
      <w:caps/>
      <w:szCs w:val="22"/>
      <w:u w:val="single"/>
    </w:rPr>
  </w:style>
  <w:style w:type="paragraph" w:styleId="TOC3">
    <w:name w:val="toc 3"/>
    <w:basedOn w:val="Normal"/>
    <w:next w:val="Normal"/>
    <w:uiPriority w:val="39"/>
    <w:rsid w:val="000240A1"/>
    <w:pPr>
      <w:spacing w:before="0" w:after="0" w:line="259" w:lineRule="auto"/>
    </w:pPr>
    <w:rPr>
      <w:rFonts w:asciiTheme="minorHAnsi" w:hAnsiTheme="minorHAnsi"/>
      <w:smallCaps/>
      <w:szCs w:val="22"/>
    </w:rPr>
  </w:style>
  <w:style w:type="paragraph" w:styleId="TOCHeading">
    <w:name w:val="TOC Heading"/>
    <w:basedOn w:val="Heading1"/>
    <w:next w:val="Normal"/>
    <w:uiPriority w:val="39"/>
    <w:unhideWhenUsed/>
    <w:qFormat/>
    <w:rsid w:val="000240A1"/>
    <w:pPr>
      <w:spacing w:before="480" w:line="276" w:lineRule="auto"/>
      <w:outlineLvl w:val="9"/>
    </w:pPr>
    <w:rPr>
      <w:rFonts w:asciiTheme="majorHAnsi" w:hAnsiTheme="majorHAnsi"/>
      <w:bCs/>
      <w:color w:val="2F5496" w:themeColor="accent1" w:themeShade="BF"/>
      <w:sz w:val="28"/>
      <w:szCs w:val="28"/>
      <w:lang w:val="en-US"/>
    </w:rPr>
  </w:style>
  <w:style w:type="paragraph" w:styleId="Subtitle">
    <w:name w:val="Subtitle"/>
    <w:basedOn w:val="Normal"/>
    <w:next w:val="Normal"/>
    <w:link w:val="SubtitleChar"/>
    <w:uiPriority w:val="11"/>
    <w:qFormat/>
    <w:rsid w:val="001346B9"/>
    <w:pPr>
      <w:numPr>
        <w:ilvl w:val="1"/>
      </w:numPr>
      <w:spacing w:before="0" w:after="160" w:line="360" w:lineRule="auto"/>
    </w:pPr>
    <w:rPr>
      <w:rFonts w:eastAsiaTheme="minorEastAsia"/>
      <w:spacing w:val="15"/>
      <w:szCs w:val="22"/>
    </w:rPr>
  </w:style>
  <w:style w:type="character" w:customStyle="1" w:styleId="SubtitleChar">
    <w:name w:val="Subtitle Char"/>
    <w:basedOn w:val="DefaultParagraphFont"/>
    <w:link w:val="Subtitle"/>
    <w:uiPriority w:val="11"/>
    <w:rsid w:val="001346B9"/>
    <w:rPr>
      <w:rFonts w:ascii="Arial" w:eastAsiaTheme="minorEastAsia" w:hAnsi="Arial"/>
      <w:spacing w:val="15"/>
      <w:sz w:val="22"/>
      <w:szCs w:val="22"/>
    </w:rPr>
  </w:style>
  <w:style w:type="paragraph" w:customStyle="1" w:styleId="DHHSbodyafterbullets">
    <w:name w:val="DHHS body after bullets"/>
    <w:basedOn w:val="DHHSbody"/>
    <w:rsid w:val="003E0373"/>
    <w:pPr>
      <w:spacing w:before="120"/>
    </w:pPr>
    <w:rPr>
      <w:rFonts w:ascii="Helv" w:eastAsia="Times New Roman" w:hAnsi="Helv" w:cs="Helv"/>
      <w:color w:val="000000"/>
      <w:lang w:eastAsia="en-AU"/>
    </w:rPr>
  </w:style>
  <w:style w:type="paragraph" w:customStyle="1" w:styleId="DHHStablecaption">
    <w:name w:val="DHHS table caption"/>
    <w:next w:val="Normal"/>
    <w:uiPriority w:val="3"/>
    <w:qFormat/>
    <w:rsid w:val="00F7617E"/>
    <w:pPr>
      <w:keepNext/>
      <w:keepLines/>
      <w:spacing w:before="240" w:after="120" w:line="240" w:lineRule="atLeast"/>
    </w:pPr>
    <w:rPr>
      <w:rFonts w:ascii="Arial" w:eastAsia="Times New Roman" w:hAnsi="Arial" w:cs="Times New Roman"/>
      <w:b/>
      <w:sz w:val="20"/>
      <w:szCs w:val="20"/>
    </w:rPr>
  </w:style>
  <w:style w:type="paragraph" w:customStyle="1" w:styleId="DHHStabletext">
    <w:name w:val="DHHS table text"/>
    <w:uiPriority w:val="3"/>
    <w:qFormat/>
    <w:rsid w:val="00F7617E"/>
    <w:pPr>
      <w:spacing w:before="80" w:after="60"/>
    </w:pPr>
    <w:rPr>
      <w:rFonts w:ascii="Arial" w:eastAsia="Times New Roman" w:hAnsi="Arial" w:cs="Times New Roman"/>
      <w:sz w:val="20"/>
      <w:szCs w:val="20"/>
    </w:rPr>
  </w:style>
  <w:style w:type="paragraph" w:customStyle="1" w:styleId="DHHStablecolhead">
    <w:name w:val="DHHS table col head"/>
    <w:uiPriority w:val="3"/>
    <w:qFormat/>
    <w:rsid w:val="00F7617E"/>
    <w:pPr>
      <w:spacing w:before="80" w:after="60"/>
    </w:pPr>
    <w:rPr>
      <w:rFonts w:ascii="Arial" w:eastAsia="Times New Roman" w:hAnsi="Arial" w:cs="Times New Roman"/>
      <w:b/>
      <w:color w:val="FFFFFF" w:themeColor="background1"/>
      <w:sz w:val="20"/>
      <w:szCs w:val="20"/>
    </w:rPr>
  </w:style>
  <w:style w:type="paragraph" w:customStyle="1" w:styleId="DHHSbodyaftertablefigure">
    <w:name w:val="DHHS body after table/figure"/>
    <w:basedOn w:val="Normal"/>
    <w:next w:val="Normal"/>
    <w:uiPriority w:val="99"/>
    <w:rsid w:val="00B77A51"/>
    <w:pPr>
      <w:spacing w:before="240" w:line="270" w:lineRule="atLeast"/>
    </w:pPr>
    <w:rPr>
      <w:rFonts w:eastAsia="Times New Roman" w:cs="Times New Roman"/>
      <w:sz w:val="20"/>
      <w:szCs w:val="20"/>
    </w:rPr>
  </w:style>
  <w:style w:type="character" w:styleId="UnresolvedMention">
    <w:name w:val="Unresolved Mention"/>
    <w:basedOn w:val="DefaultParagraphFont"/>
    <w:uiPriority w:val="99"/>
    <w:semiHidden/>
    <w:unhideWhenUsed/>
    <w:rsid w:val="00AD11B7"/>
    <w:rPr>
      <w:color w:val="605E5C"/>
      <w:shd w:val="clear" w:color="auto" w:fill="E1DFDD"/>
    </w:rPr>
  </w:style>
  <w:style w:type="character" w:styleId="FollowedHyperlink">
    <w:name w:val="FollowedHyperlink"/>
    <w:basedOn w:val="DefaultParagraphFont"/>
    <w:uiPriority w:val="99"/>
    <w:semiHidden/>
    <w:unhideWhenUsed/>
    <w:rsid w:val="006A4BF5"/>
    <w:rPr>
      <w:color w:val="954F72" w:themeColor="followedHyperlink"/>
      <w:u w:val="single"/>
    </w:rPr>
  </w:style>
  <w:style w:type="character" w:styleId="CommentReference">
    <w:name w:val="annotation reference"/>
    <w:basedOn w:val="DefaultParagraphFont"/>
    <w:uiPriority w:val="99"/>
    <w:semiHidden/>
    <w:unhideWhenUsed/>
    <w:rsid w:val="009E6D37"/>
    <w:rPr>
      <w:sz w:val="16"/>
      <w:szCs w:val="16"/>
    </w:rPr>
  </w:style>
  <w:style w:type="paragraph" w:styleId="CommentText">
    <w:name w:val="annotation text"/>
    <w:basedOn w:val="Normal"/>
    <w:link w:val="CommentTextChar"/>
    <w:uiPriority w:val="99"/>
    <w:semiHidden/>
    <w:unhideWhenUsed/>
    <w:rsid w:val="009E6D37"/>
    <w:rPr>
      <w:sz w:val="20"/>
      <w:szCs w:val="20"/>
    </w:rPr>
  </w:style>
  <w:style w:type="character" w:customStyle="1" w:styleId="CommentTextChar">
    <w:name w:val="Comment Text Char"/>
    <w:basedOn w:val="DefaultParagraphFont"/>
    <w:link w:val="CommentText"/>
    <w:uiPriority w:val="99"/>
    <w:semiHidden/>
    <w:rsid w:val="009E6D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6D37"/>
    <w:rPr>
      <w:b/>
      <w:bCs/>
    </w:rPr>
  </w:style>
  <w:style w:type="character" w:customStyle="1" w:styleId="CommentSubjectChar">
    <w:name w:val="Comment Subject Char"/>
    <w:basedOn w:val="CommentTextChar"/>
    <w:link w:val="CommentSubject"/>
    <w:uiPriority w:val="99"/>
    <w:semiHidden/>
    <w:rsid w:val="009E6D37"/>
    <w:rPr>
      <w:rFonts w:ascii="Arial" w:hAnsi="Arial"/>
      <w:b/>
      <w:bCs/>
      <w:sz w:val="20"/>
      <w:szCs w:val="20"/>
    </w:rPr>
  </w:style>
  <w:style w:type="paragraph" w:styleId="Revision">
    <w:name w:val="Revision"/>
    <w:hidden/>
    <w:uiPriority w:val="99"/>
    <w:semiHidden/>
    <w:rsid w:val="002F09E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footer1.xml" Type="http://schemas.openxmlformats.org/officeDocument/2006/relationships/footer"/>
<Relationship Id="rId13" Target="header2.xml" Type="http://schemas.openxmlformats.org/officeDocument/2006/relationships/header"/>
<Relationship Id="rId14" Target="media/image4.PNG" Type="http://schemas.openxmlformats.org/officeDocument/2006/relationships/image"/>
<Relationship Id="rId15" Target="header3.xml" Type="http://schemas.openxmlformats.org/officeDocument/2006/relationships/header"/>
<Relationship Id="rId16" Target="footer2.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footer2.xml.rels><?xml version="1.0" encoding="UTF-8" standalone="yes"?>
<Relationships xmlns="http://schemas.openxmlformats.org/package/2006/relationships">
<Relationship Id="rId1" Target="media/image2.jpg" Type="http://schemas.openxmlformats.org/officeDocument/2006/relationships/image"/>
</Relationships>

</file>

<file path=word/_rels/footnotes.xml.rels><?xml version="1.0" encoding="UTF-8" standalone="yes"?>
<Relationships xmlns="http://schemas.openxmlformats.org/package/2006/relationships">
<Relationship Id="rId1" Target="mailto:childandfamilycommissioning@cyjma.qld.gov.au" TargetMode="External" Type="http://schemas.openxmlformats.org/officeDocument/2006/relationships/hyperlink"/>
<Relationship Id="rId2" Target="https://www.cyjma.qld.gov.au/resources/dcsyw/about-us/funding-grants/specifications/ifs-model-guidelines.pdf" TargetMode="External" Type="http://schemas.openxmlformats.org/officeDocument/2006/relationships/hyperlink"/>
<Relationship Id="rId3" Target="https://www.cyjma.qld.gov.au/resources/dcsyw/about-us/funding-grants/specifications/ifs-model-guidelines.pdf" TargetMode="External" Type="http://schemas.openxmlformats.org/officeDocument/2006/relationships/hyperlink"/>
<Relationship Id="rId4" Target="https://www.cyjma.qld.gov.au/resources/dcsyw/about-us/funding-grants/specifications/ifs-model-guidelines.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3.jpg" Type="http://schemas.openxmlformats.org/officeDocument/2006/relationships/image"/>
<Relationship Id="rId2"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4D955C35CF34D8BA97303467C46E5" ma:contentTypeVersion="12" ma:contentTypeDescription="Create a new document." ma:contentTypeScope="" ma:versionID="215fce4f89e93660b07e1ec36f618aa4">
  <xsd:schema xmlns:xsd="http://www.w3.org/2001/XMLSchema" xmlns:xs="http://www.w3.org/2001/XMLSchema" xmlns:p="http://schemas.microsoft.com/office/2006/metadata/properties" xmlns:ns3="6e618e09-8df7-4d66-add8-8a2883c71f75" xmlns:ns4="7dedc251-df15-4fb9-9eb9-3ea1e35d793b" targetNamespace="http://schemas.microsoft.com/office/2006/metadata/properties" ma:root="true" ma:fieldsID="463f946e71069a8762fd801c4524e513" ns3:_="" ns4:_="">
    <xsd:import namespace="6e618e09-8df7-4d66-add8-8a2883c71f75"/>
    <xsd:import namespace="7dedc251-df15-4fb9-9eb9-3ea1e35d79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18e09-8df7-4d66-add8-8a2883c7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dc251-df15-4fb9-9eb9-3ea1e35d79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0D8F-8B43-4A5E-8C83-381DAC69F1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6B13B7-559E-4FE7-9650-97035631EBBD}">
  <ds:schemaRefs>
    <ds:schemaRef ds:uri="http://schemas.microsoft.com/sharepoint/v3/contenttype/forms"/>
  </ds:schemaRefs>
</ds:datastoreItem>
</file>

<file path=customXml/itemProps3.xml><?xml version="1.0" encoding="utf-8"?>
<ds:datastoreItem xmlns:ds="http://schemas.openxmlformats.org/officeDocument/2006/customXml" ds:itemID="{040D82EC-7089-4E22-9B02-EFD19ED8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18e09-8df7-4d66-add8-8a2883c71f75"/>
    <ds:schemaRef ds:uri="7dedc251-df15-4fb9-9eb9-3ea1e35d7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0B6BB-52E9-4A65-BE05-7AC2ED51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2023-05-15T01:42:00Z</dcterms:created>
  <dc:creator>Queensland Government</dc:creator>
  <cp:keywords>performance;frameworkt;intensive;family;suppor</cp:keywords>
  <cp:lastModifiedBy>Paul D Egan</cp:lastModifiedBy>
  <cp:lastPrinted>2023-05-23T05:47:00Z</cp:lastPrinted>
  <dcterms:modified xsi:type="dcterms:W3CDTF">2023-05-23T05:48:00Z</dcterms:modified>
  <cp:revision>3</cp:revision>
  <dc:subject>performance-framework-for-intensive-family-support</dc:subject>
  <dc:title>performance-framework-for-intensive-family-support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0x010100BBA4D955C35CF34D8BA97303467C46E5</vt:lpwstr>
  </property>
</Properties>
</file>