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08701687"/>
    <w:bookmarkStart w:id="1" w:name="_Toc508701769"/>
    <w:bookmarkStart w:id="2" w:name="_Toc508701882"/>
    <w:bookmarkStart w:id="3" w:name="_Toc508702402"/>
    <w:bookmarkStart w:id="4" w:name="_Toc508703595"/>
    <w:bookmarkStart w:id="5" w:name="_Toc508703751"/>
    <w:bookmarkStart w:id="6" w:name="_Toc508704858"/>
    <w:bookmarkStart w:id="7" w:name="_Toc508706516"/>
    <w:bookmarkStart w:id="8" w:name="_Toc508707074"/>
    <w:bookmarkStart w:id="9" w:name="_Toc508707132"/>
    <w:bookmarkStart w:id="10" w:name="_Toc508707466"/>
    <w:bookmarkStart w:id="11" w:name="_Toc509933425"/>
    <w:bookmarkStart w:id="12" w:name="_Toc514928589"/>
    <w:bookmarkStart w:id="13" w:name="_Toc514942917"/>
    <w:bookmarkStart w:id="14" w:name="_Toc514943645"/>
    <w:bookmarkStart w:id="15" w:name="_Toc514943894"/>
    <w:bookmarkStart w:id="16" w:name="_Toc515353728"/>
    <w:bookmarkStart w:id="17" w:name="_Toc515354315"/>
    <w:bookmarkStart w:id="18" w:name="_Toc516054613"/>
    <w:bookmarkStart w:id="19" w:name="_Toc383522651"/>
    <w:bookmarkStart w:id="20" w:name="_Toc389922053"/>
    <w:bookmarkStart w:id="21" w:name="_Toc389922090"/>
    <w:bookmarkStart w:id="22" w:name="_Toc390952463"/>
    <w:bookmarkStart w:id="23" w:name="_Toc390952696"/>
    <w:bookmarkStart w:id="24" w:name="_Toc390953811"/>
    <w:bookmarkStart w:id="25" w:name="_Toc391041812"/>
    <w:bookmarkStart w:id="26" w:name="_Toc392834526"/>
    <w:bookmarkStart w:id="27" w:name="_Toc416254015"/>
    <w:bookmarkStart w:id="28" w:name="_Toc416254064"/>
    <w:bookmarkStart w:id="29" w:name="_Toc416254473"/>
    <w:bookmarkStart w:id="30" w:name="_Toc416254566"/>
    <w:bookmarkStart w:id="31" w:name="_Toc416254616"/>
    <w:bookmarkStart w:id="32" w:name="_Toc416254721"/>
    <w:bookmarkStart w:id="33" w:name="_Toc416254871"/>
    <w:bookmarkStart w:id="34" w:name="_Toc416255775"/>
    <w:bookmarkStart w:id="35" w:name="_Toc416255853"/>
    <w:bookmarkStart w:id="36" w:name="_Toc420051908"/>
    <w:bookmarkStart w:id="37" w:name="_Toc420051955"/>
    <w:bookmarkStart w:id="38" w:name="_Toc420052004"/>
    <w:bookmarkStart w:id="39" w:name="_Toc420923769"/>
    <w:bookmarkStart w:id="40" w:name="_Toc421694537"/>
    <w:bookmarkStart w:id="41" w:name="_Toc421694599"/>
    <w:bookmarkStart w:id="42" w:name="_Toc421694645"/>
    <w:bookmarkStart w:id="43" w:name="_Toc421694733"/>
    <w:bookmarkStart w:id="44" w:name="_Toc421694945"/>
    <w:bookmarkStart w:id="45" w:name="_Toc421694989"/>
    <w:bookmarkStart w:id="46" w:name="_Toc421695349"/>
    <w:bookmarkStart w:id="47" w:name="_Toc421695918"/>
    <w:bookmarkStart w:id="48" w:name="_Toc421696112"/>
    <w:bookmarkStart w:id="49" w:name="_Toc421696205"/>
    <w:bookmarkStart w:id="50" w:name="_Toc421696684"/>
    <w:bookmarkStart w:id="51" w:name="_Toc421796524"/>
    <w:bookmarkStart w:id="52" w:name="_Toc421796611"/>
    <w:bookmarkStart w:id="53" w:name="_Toc421796687"/>
    <w:bookmarkStart w:id="54" w:name="_Toc421796769"/>
    <w:bookmarkStart w:id="55" w:name="_Toc421796933"/>
    <w:bookmarkStart w:id="56" w:name="_Toc421797240"/>
    <w:bookmarkStart w:id="57" w:name="_Toc421797392"/>
    <w:bookmarkStart w:id="58" w:name="_Toc421797615"/>
    <w:bookmarkStart w:id="59" w:name="_Toc421797662"/>
    <w:bookmarkStart w:id="60" w:name="_Toc421797721"/>
    <w:bookmarkStart w:id="61" w:name="_Toc421797767"/>
    <w:bookmarkStart w:id="62" w:name="_Toc421797815"/>
    <w:bookmarkStart w:id="63" w:name="_Toc421798095"/>
    <w:bookmarkStart w:id="64" w:name="_Toc421798293"/>
    <w:bookmarkStart w:id="65" w:name="_Toc421798572"/>
    <w:p w14:paraId="140117AC" w14:textId="7909F08D" w:rsidR="0093632F" w:rsidRPr="00F22BA2" w:rsidRDefault="00C23B41" w:rsidP="00B401AA">
      <w:pPr>
        <w:pStyle w:val="SPEC3"/>
      </w:pPr>
      <w:r w:rsidRPr="00F22BA2">
        <w:rPr>
          <w:noProof/>
          <w:lang w:eastAsia="en-AU"/>
        </w:rPr>
        <mc:AlternateContent>
          <mc:Choice Requires="wps">
            <w:drawing>
              <wp:anchor distT="0" distB="0" distL="114300" distR="114300" simplePos="0" relativeHeight="251657728" behindDoc="0" locked="1" layoutInCell="1" allowOverlap="1" wp14:anchorId="64A2614C" wp14:editId="447B816B">
                <wp:simplePos x="0" y="0"/>
                <wp:positionH relativeFrom="column">
                  <wp:posOffset>287655</wp:posOffset>
                </wp:positionH>
                <wp:positionV relativeFrom="page">
                  <wp:posOffset>5168900</wp:posOffset>
                </wp:positionV>
                <wp:extent cx="5374005" cy="1485900"/>
                <wp:effectExtent l="1905" t="0" r="0" b="3175"/>
                <wp:wrapSquare wrapText="bothSides"/>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1CE72" w14:textId="77777777" w:rsidR="000235ED" w:rsidRPr="003A7F4F" w:rsidRDefault="000235ED" w:rsidP="00354793">
                            <w:pPr>
                              <w:jc w:val="center"/>
                              <w:rPr>
                                <w:b/>
                                <w:sz w:val="96"/>
                                <w:szCs w:val="96"/>
                              </w:rPr>
                            </w:pPr>
                            <w:r w:rsidRPr="003A7F4F">
                              <w:rPr>
                                <w:b/>
                                <w:sz w:val="96"/>
                                <w:szCs w:val="96"/>
                              </w:rPr>
                              <w:t>Investment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2614C" id="_x0000_t202" coordsize="21600,21600" o:spt="202" path="m,l,21600r21600,l21600,xe">
                <v:stroke joinstyle="miter"/>
                <v:path gradientshapeok="t" o:connecttype="rect"/>
              </v:shapetype>
              <v:shape id="Text Box 36" o:spid="_x0000_s1026" type="#_x0000_t202" style="position:absolute;margin-left:22.65pt;margin-top:407pt;width:423.15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" filled="f" stroked="f">
                <v:textbox>
                  <w:txbxContent>
                    <w:p w14:paraId="0981CE72" w14:textId="77777777" w:rsidR="000235ED" w:rsidRPr="003A7F4F" w:rsidRDefault="000235ED" w:rsidP="00354793">
                      <w:pPr>
                        <w:jc w:val="center"/>
                        <w:rPr>
                          <w:b/>
                          <w:sz w:val="96"/>
                          <w:szCs w:val="96"/>
                        </w:rPr>
                      </w:pPr>
                      <w:r w:rsidRPr="003A7F4F">
                        <w:rPr>
                          <w:b/>
                          <w:sz w:val="96"/>
                          <w:szCs w:val="96"/>
                        </w:rPr>
                        <w:t>Investment Specification</w:t>
                      </w:r>
                    </w:p>
                  </w:txbxContent>
                </v:textbox>
                <w10:wrap type="square" anchory="page"/>
                <w10:anchorlock/>
              </v:shape>
            </w:pict>
          </mc:Fallback>
        </mc:AlternateContent>
      </w:r>
      <w:r w:rsidRPr="00F22BA2">
        <w:rPr>
          <w:noProof/>
          <w:lang w:eastAsia="en-AU"/>
        </w:rPr>
        <mc:AlternateContent>
          <mc:Choice Requires="wps">
            <w:drawing>
              <wp:anchor distT="0" distB="0" distL="114300" distR="114300" simplePos="0" relativeHeight="251656704" behindDoc="0" locked="1" layoutInCell="1" allowOverlap="1" wp14:anchorId="5120B36C" wp14:editId="6E900FFF">
                <wp:simplePos x="0" y="0"/>
                <wp:positionH relativeFrom="column">
                  <wp:posOffset>262255</wp:posOffset>
                </wp:positionH>
                <wp:positionV relativeFrom="page">
                  <wp:posOffset>3326130</wp:posOffset>
                </wp:positionV>
                <wp:extent cx="5326380" cy="1485900"/>
                <wp:effectExtent l="0" t="1905" r="254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0AA0E" w14:textId="77777777" w:rsidR="000235ED" w:rsidRPr="003A7F4F" w:rsidRDefault="000235ED" w:rsidP="00354793">
                            <w:pPr>
                              <w:jc w:val="center"/>
                              <w:rPr>
                                <w:b/>
                                <w:sz w:val="96"/>
                                <w:szCs w:val="96"/>
                              </w:rPr>
                            </w:pPr>
                            <w:r w:rsidRPr="003A7F4F">
                              <w:rPr>
                                <w:b/>
                                <w:sz w:val="96"/>
                                <w:szCs w:val="96"/>
                              </w:rPr>
                              <w:t>Young People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0B36C" id="Text Box 35" o:spid="_x0000_s1027" type="#_x0000_t202" style="position:absolute;margin-left:20.65pt;margin-top:261.9pt;width:419.4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" filled="f" stroked="f">
                <v:textbox>
                  <w:txbxContent>
                    <w:p w14:paraId="60D0AA0E" w14:textId="77777777" w:rsidR="000235ED" w:rsidRPr="003A7F4F" w:rsidRDefault="000235ED" w:rsidP="00354793">
                      <w:pPr>
                        <w:jc w:val="center"/>
                        <w:rPr>
                          <w:b/>
                          <w:sz w:val="96"/>
                          <w:szCs w:val="96"/>
                        </w:rPr>
                      </w:pPr>
                      <w:r w:rsidRPr="003A7F4F">
                        <w:rPr>
                          <w:b/>
                          <w:sz w:val="96"/>
                          <w:szCs w:val="96"/>
                        </w:rPr>
                        <w:t>Young People</w:t>
                      </w:r>
                    </w:p>
                  </w:txbxContent>
                </v:textbox>
                <w10:wrap type="square" anchory="page"/>
                <w10:anchorlock/>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FA2681">
        <w:t xml:space="preserve"> </w:t>
      </w:r>
    </w:p>
    <w:p w14:paraId="08F5EA8B" w14:textId="77777777" w:rsidR="0093632F" w:rsidRPr="00F22BA2" w:rsidRDefault="0093632F" w:rsidP="00B401AA"/>
    <w:p w14:paraId="5D338DCB" w14:textId="77777777" w:rsidR="0093632F" w:rsidRPr="00F22BA2" w:rsidRDefault="0093632F" w:rsidP="00B401AA"/>
    <w:p w14:paraId="1DD38089" w14:textId="77777777" w:rsidR="0093632F" w:rsidRPr="00F22BA2" w:rsidRDefault="0093632F" w:rsidP="00B401AA"/>
    <w:p w14:paraId="55F6CECD" w14:textId="77777777" w:rsidR="0093632F" w:rsidRPr="00F22BA2" w:rsidRDefault="0093632F" w:rsidP="00B401AA"/>
    <w:p w14:paraId="78686FCD" w14:textId="77777777" w:rsidR="0093632F" w:rsidRPr="00F22BA2" w:rsidRDefault="0093632F" w:rsidP="00B401AA"/>
    <w:p w14:paraId="599609CD" w14:textId="77777777" w:rsidR="0093632F" w:rsidRPr="00F22BA2" w:rsidRDefault="0093632F" w:rsidP="00B401AA"/>
    <w:p w14:paraId="6C02E0E6" w14:textId="77777777" w:rsidR="0093632F" w:rsidRPr="00F22BA2" w:rsidRDefault="0093632F" w:rsidP="00B401AA"/>
    <w:p w14:paraId="457AD92E" w14:textId="77777777" w:rsidR="0093632F" w:rsidRPr="00F22BA2" w:rsidRDefault="0093632F" w:rsidP="00B401AA"/>
    <w:p w14:paraId="14EA9CD8" w14:textId="77777777" w:rsidR="0093632F" w:rsidRPr="00F22BA2" w:rsidRDefault="0093632F" w:rsidP="00B401AA"/>
    <w:p w14:paraId="078FC9DD" w14:textId="77777777" w:rsidR="0010492D" w:rsidRPr="00F22BA2" w:rsidRDefault="0010492D" w:rsidP="00B401AA"/>
    <w:p w14:paraId="323FCA06" w14:textId="77777777" w:rsidR="0010492D" w:rsidRPr="00F22BA2" w:rsidRDefault="0010492D" w:rsidP="00B401AA"/>
    <w:p w14:paraId="54361E7F" w14:textId="77777777" w:rsidR="0010492D" w:rsidRPr="00F22BA2" w:rsidRDefault="0010492D" w:rsidP="00B401AA"/>
    <w:p w14:paraId="3B3CD191" w14:textId="77777777" w:rsidR="0010492D" w:rsidRPr="00F22BA2" w:rsidRDefault="0010492D" w:rsidP="00B401AA"/>
    <w:p w14:paraId="274082F1" w14:textId="77777777" w:rsidR="0010492D" w:rsidRPr="00F22BA2" w:rsidRDefault="0010492D" w:rsidP="00B401AA"/>
    <w:p w14:paraId="70EC142A" w14:textId="77777777" w:rsidR="0010492D" w:rsidRPr="00F22BA2" w:rsidRDefault="00C23B41" w:rsidP="00B401AA">
      <w:r w:rsidRPr="00F22BA2">
        <w:rPr>
          <w:noProof/>
        </w:rPr>
        <mc:AlternateContent>
          <mc:Choice Requires="wps">
            <w:drawing>
              <wp:anchor distT="0" distB="0" distL="114300" distR="114300" simplePos="0" relativeHeight="251658752" behindDoc="0" locked="0" layoutInCell="1" allowOverlap="1" wp14:anchorId="27C29AB5" wp14:editId="6FB5C8F9">
                <wp:simplePos x="0" y="0"/>
                <wp:positionH relativeFrom="column">
                  <wp:posOffset>-5452110</wp:posOffset>
                </wp:positionH>
                <wp:positionV relativeFrom="paragraph">
                  <wp:posOffset>2833370</wp:posOffset>
                </wp:positionV>
                <wp:extent cx="3226435" cy="655955"/>
                <wp:effectExtent l="11430" t="13970" r="1016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6435" cy="655955"/>
                        </a:xfrm>
                        <a:prstGeom prst="rect">
                          <a:avLst/>
                        </a:prstGeom>
                        <a:solidFill>
                          <a:srgbClr val="FFFFFF"/>
                        </a:solidFill>
                        <a:ln w="9525">
                          <a:solidFill>
                            <a:srgbClr val="FFFFFF"/>
                          </a:solidFill>
                          <a:miter lim="800000"/>
                          <a:headEnd/>
                          <a:tailEnd/>
                        </a:ln>
                      </wps:spPr>
                      <wps:txbx>
                        <w:txbxContent>
                          <w:p w14:paraId="12D2AC61" w14:textId="77777777" w:rsidR="000235ED" w:rsidRPr="0055178A" w:rsidRDefault="000235ED" w:rsidP="0093632F">
                            <w:pPr>
                              <w:rPr>
                                <w:rFonts w:cs="Arial"/>
                                <w:b/>
                                <w:color w:val="FF0000"/>
                                <w:sz w:val="28"/>
                                <w:szCs w:val="28"/>
                                <w:highlight w:val="black"/>
                              </w:rPr>
                            </w:pPr>
                            <w:r w:rsidRPr="0055178A">
                              <w:rPr>
                                <w:rFonts w:cs="Arial"/>
                                <w:b/>
                                <w:sz w:val="28"/>
                                <w:szCs w:val="28"/>
                                <w:highlight w:val="black"/>
                              </w:rPr>
                              <w:t>Version: 3.0</w:t>
                            </w:r>
                          </w:p>
                          <w:p w14:paraId="372BC394" w14:textId="77777777" w:rsidR="000235ED" w:rsidRPr="00354793" w:rsidRDefault="000235ED" w:rsidP="0093632F">
                            <w:pPr>
                              <w:rPr>
                                <w:rFonts w:cs="Arial"/>
                                <w:b/>
                                <w:color w:val="FF0000"/>
                                <w:sz w:val="28"/>
                                <w:szCs w:val="28"/>
                              </w:rPr>
                            </w:pPr>
                            <w:r w:rsidRPr="0055178A">
                              <w:rPr>
                                <w:rFonts w:cs="Arial"/>
                                <w:b/>
                                <w:sz w:val="28"/>
                                <w:szCs w:val="28"/>
                                <w:highlight w:val="black"/>
                              </w:rPr>
                              <w:t>Date: Effective 8 March 2018</w:t>
                            </w:r>
                          </w:p>
                          <w:p w14:paraId="24FAE367" w14:textId="77777777" w:rsidR="000235ED" w:rsidRDefault="000235ED" w:rsidP="0093632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C29AB5" id="Text Box 2" o:spid="_x0000_s1028" type="#_x0000_t202" style="position:absolute;margin-left:-429.3pt;margin-top:223.1pt;width:254.05pt;height:51.6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" strokecolor="white">
                <v:textbox style="mso-fit-shape-to-text:t">
                  <w:txbxContent>
                    <w:p w14:paraId="12D2AC61" w14:textId="77777777" w:rsidR="000235ED" w:rsidRPr="0055178A" w:rsidRDefault="000235ED" w:rsidP="0093632F">
                      <w:pPr>
                        <w:rPr>
                          <w:rFonts w:cs="Arial"/>
                          <w:b/>
                          <w:color w:val="FF0000"/>
                          <w:sz w:val="28"/>
                          <w:szCs w:val="28"/>
                          <w:highlight w:val="black"/>
                        </w:rPr>
                      </w:pPr>
                      <w:r w:rsidRPr="0055178A">
                        <w:rPr>
                          <w:rFonts w:cs="Arial"/>
                          <w:b/>
                          <w:sz w:val="28"/>
                          <w:szCs w:val="28"/>
                          <w:highlight w:val="black"/>
                        </w:rPr>
                        <w:t>Version: 3.0</w:t>
                      </w:r>
                    </w:p>
                    <w:p w14:paraId="372BC394" w14:textId="77777777" w:rsidR="000235ED" w:rsidRPr="00354793" w:rsidRDefault="000235ED" w:rsidP="0093632F">
                      <w:pPr>
                        <w:rPr>
                          <w:rFonts w:cs="Arial"/>
                          <w:b/>
                          <w:color w:val="FF0000"/>
                          <w:sz w:val="28"/>
                          <w:szCs w:val="28"/>
                        </w:rPr>
                      </w:pPr>
                      <w:r w:rsidRPr="0055178A">
                        <w:rPr>
                          <w:rFonts w:cs="Arial"/>
                          <w:b/>
                          <w:sz w:val="28"/>
                          <w:szCs w:val="28"/>
                          <w:highlight w:val="black"/>
                        </w:rPr>
                        <w:t>Date: Effective 8 March 2018</w:t>
                      </w:r>
                    </w:p>
                    <w:p w14:paraId="24FAE367" w14:textId="77777777" w:rsidR="000235ED" w:rsidRDefault="000235ED" w:rsidP="0093632F"/>
                  </w:txbxContent>
                </v:textbox>
              </v:shape>
            </w:pict>
          </mc:Fallback>
        </mc:AlternateContent>
      </w: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14:paraId="2BCE8D70" w14:textId="77777777" w:rsidR="0003646A" w:rsidRDefault="0003646A" w:rsidP="00B401AA"/>
    <w:p w14:paraId="2E14D708" w14:textId="77777777" w:rsidR="00066C14" w:rsidRDefault="00066C14" w:rsidP="00B401AA"/>
    <w:p w14:paraId="708A2379" w14:textId="77777777" w:rsidR="00066C14" w:rsidRDefault="00066C14" w:rsidP="00B401AA"/>
    <w:p w14:paraId="7E7FC36D" w14:textId="77777777" w:rsidR="00066C14" w:rsidRDefault="00066C14" w:rsidP="00B401AA"/>
    <w:p w14:paraId="06793126" w14:textId="77777777" w:rsidR="00066C14" w:rsidRDefault="00066C14" w:rsidP="00B401AA"/>
    <w:p w14:paraId="725F3EB7" w14:textId="77777777" w:rsidR="00066C14" w:rsidRDefault="00066C14" w:rsidP="00B401AA"/>
    <w:p w14:paraId="4AF5F05C" w14:textId="77777777" w:rsidR="00066C14" w:rsidRDefault="00066C14" w:rsidP="00B401AA"/>
    <w:p w14:paraId="5812D941" w14:textId="77777777" w:rsidR="00B540D4" w:rsidRDefault="00B540D4" w:rsidP="00B401AA"/>
    <w:p w14:paraId="662578AA" w14:textId="77777777" w:rsidR="00B540D4" w:rsidRDefault="00B540D4" w:rsidP="00B401AA"/>
    <w:p w14:paraId="4692FABB" w14:textId="77777777" w:rsidR="00B540D4" w:rsidRDefault="00B540D4" w:rsidP="00B401AA"/>
    <w:p w14:paraId="0FA9C422" w14:textId="77777777" w:rsidR="00B540D4" w:rsidRDefault="00B540D4" w:rsidP="00B401AA"/>
    <w:p w14:paraId="7ED60AEA" w14:textId="77777777" w:rsidR="00B540D4" w:rsidRDefault="00B540D4" w:rsidP="00B401AA"/>
    <w:p w14:paraId="746DA68B" w14:textId="77777777" w:rsidR="00B540D4" w:rsidRDefault="00B540D4" w:rsidP="00B401AA"/>
    <w:p w14:paraId="2D9B264C" w14:textId="77777777" w:rsidR="00B540D4" w:rsidRDefault="00B540D4" w:rsidP="00B401AA"/>
    <w:p w14:paraId="3418F891" w14:textId="77777777" w:rsidR="00B540D4" w:rsidRDefault="00B540D4" w:rsidP="00B401AA"/>
    <w:p w14:paraId="3D04AD0A" w14:textId="77777777" w:rsidR="00B540D4" w:rsidRDefault="00B540D4" w:rsidP="00B401AA"/>
    <w:p w14:paraId="776F34B7" w14:textId="77777777" w:rsidR="00B540D4" w:rsidRDefault="00B540D4" w:rsidP="00B401AA"/>
    <w:p w14:paraId="004659C1" w14:textId="77777777" w:rsidR="00B540D4" w:rsidRDefault="00B540D4" w:rsidP="00B401AA"/>
    <w:p w14:paraId="25EDEB99" w14:textId="77777777" w:rsidR="00B540D4" w:rsidRDefault="00B540D4" w:rsidP="00B401AA"/>
    <w:p w14:paraId="3374260D" w14:textId="77777777" w:rsidR="00B540D4" w:rsidRDefault="00B540D4" w:rsidP="00B401AA"/>
    <w:p w14:paraId="09E47DF1" w14:textId="77777777" w:rsidR="00B540D4" w:rsidRDefault="00B540D4" w:rsidP="00B401AA"/>
    <w:p w14:paraId="1DC04964" w14:textId="77777777" w:rsidR="00B540D4" w:rsidRDefault="00B540D4" w:rsidP="00B401AA"/>
    <w:p w14:paraId="74CC35B3" w14:textId="77777777" w:rsidR="00B540D4" w:rsidRDefault="00B540D4" w:rsidP="00B401AA"/>
    <w:p w14:paraId="593512F4" w14:textId="77777777" w:rsidR="00B540D4" w:rsidRDefault="00B540D4" w:rsidP="00B401AA"/>
    <w:p w14:paraId="64250F74" w14:textId="77777777" w:rsidR="00B540D4" w:rsidRDefault="00B540D4" w:rsidP="00B401AA"/>
    <w:p w14:paraId="7CCEB5CB" w14:textId="15B49C6C" w:rsidR="00B540D4" w:rsidRPr="00B125F0" w:rsidRDefault="006E46AD" w:rsidP="00B125F0">
      <w:pPr>
        <w:jc w:val="center"/>
        <w:rPr>
          <w:sz w:val="56"/>
          <w:szCs w:val="56"/>
        </w:rPr>
      </w:pPr>
      <w:r>
        <w:rPr>
          <w:sz w:val="56"/>
          <w:szCs w:val="56"/>
        </w:rPr>
        <w:t>Dec</w:t>
      </w:r>
      <w:r w:rsidR="005A4D5D">
        <w:rPr>
          <w:sz w:val="56"/>
          <w:szCs w:val="56"/>
        </w:rPr>
        <w:t>em</w:t>
      </w:r>
      <w:r w:rsidR="00FA2681">
        <w:rPr>
          <w:sz w:val="56"/>
          <w:szCs w:val="56"/>
        </w:rPr>
        <w:t>ber</w:t>
      </w:r>
      <w:r w:rsidR="00645F41">
        <w:rPr>
          <w:sz w:val="56"/>
          <w:szCs w:val="56"/>
        </w:rPr>
        <w:t xml:space="preserve"> 202</w:t>
      </w:r>
      <w:r w:rsidR="00FA2681">
        <w:rPr>
          <w:sz w:val="56"/>
          <w:szCs w:val="56"/>
        </w:rPr>
        <w:t>2</w:t>
      </w:r>
      <w:r w:rsidR="004E503E">
        <w:rPr>
          <w:sz w:val="56"/>
          <w:szCs w:val="56"/>
        </w:rPr>
        <w:t>, v5.0</w:t>
      </w:r>
    </w:p>
    <w:p w14:paraId="21213917" w14:textId="77777777" w:rsidR="00B540D4" w:rsidRDefault="00B540D4" w:rsidP="00B401AA"/>
    <w:p w14:paraId="1297E314" w14:textId="77777777" w:rsidR="00B540D4" w:rsidRDefault="00B540D4" w:rsidP="00B401AA"/>
    <w:p w14:paraId="67EF20D3" w14:textId="77777777" w:rsidR="00B540D4" w:rsidRDefault="00B540D4" w:rsidP="00B401AA"/>
    <w:p w14:paraId="5BCB1F15" w14:textId="77777777" w:rsidR="00B540D4" w:rsidRDefault="00B540D4" w:rsidP="00B401AA"/>
    <w:p w14:paraId="1A746011" w14:textId="77777777" w:rsidR="00B540D4" w:rsidRDefault="00B540D4" w:rsidP="00B401AA"/>
    <w:p w14:paraId="7D96342E" w14:textId="77777777" w:rsidR="00066C14" w:rsidRDefault="00066C14" w:rsidP="00B401AA"/>
    <w:p w14:paraId="065CB7E9" w14:textId="77777777" w:rsidR="00066C14" w:rsidRDefault="00066C14" w:rsidP="00B401AA"/>
    <w:p w14:paraId="2E08080A" w14:textId="77777777" w:rsidR="00066C14" w:rsidRPr="00F22BA2" w:rsidRDefault="00066C14" w:rsidP="00B401AA">
      <w:pPr>
        <w:sectPr w:rsidR="00066C14" w:rsidRPr="00F22BA2" w:rsidSect="00066C14">
          <w:footerReference w:type="even" r:id="rId8"/>
          <w:footerReference w:type="default" r:id="rId9"/>
          <w:headerReference w:type="first" r:id="rId10"/>
          <w:pgSz w:w="11906" w:h="16838"/>
          <w:pgMar w:top="1200" w:right="991" w:bottom="1276" w:left="1260" w:header="708" w:footer="363" w:gutter="0"/>
          <w:cols w:space="708"/>
          <w:titlePg/>
          <w:docGrid w:linePitch="360"/>
        </w:sectPr>
      </w:pPr>
    </w:p>
    <w:p w14:paraId="0529296C" w14:textId="77777777" w:rsidR="00773078" w:rsidRPr="00535FED" w:rsidRDefault="00617EDB" w:rsidP="009303FD">
      <w:pPr>
        <w:pStyle w:val="TOC1"/>
        <w:rPr>
          <w:sz w:val="32"/>
          <w:szCs w:val="32"/>
        </w:rPr>
      </w:pPr>
      <w:r w:rsidRPr="00535FED">
        <w:lastRenderedPageBreak/>
        <w:t>Contents</w:t>
      </w:r>
    </w:p>
    <w:p w14:paraId="1726DA25" w14:textId="554A93CC" w:rsidR="005C62C5" w:rsidRPr="00AE4498" w:rsidRDefault="00740FC0" w:rsidP="009303FD">
      <w:pPr>
        <w:pStyle w:val="TOC1"/>
        <w:spacing w:before="60" w:after="60"/>
        <w:rPr>
          <w:rFonts w:ascii="Calibri" w:hAnsi="Calibri" w:cs="Times New Roman"/>
        </w:rPr>
      </w:pPr>
      <w:r>
        <w:fldChar w:fldCharType="begin"/>
      </w:r>
      <w:r>
        <w:instrText xml:space="preserve"> TOC \t "SPEC3,3,SPEC1,1,SPEC2,2" </w:instrText>
      </w:r>
      <w:r>
        <w:fldChar w:fldCharType="separate"/>
      </w:r>
      <w:r w:rsidR="005C62C5">
        <w:t xml:space="preserve">1.  </w:t>
      </w:r>
      <w:r w:rsidR="005C62C5" w:rsidRPr="00AE4498">
        <w:rPr>
          <w:rFonts w:ascii="Arial Bold" w:hAnsi="Arial Bold"/>
        </w:rPr>
        <w:t>Introduction</w:t>
      </w:r>
      <w:r w:rsidR="005C62C5" w:rsidRPr="00AE4498">
        <w:tab/>
      </w:r>
      <w:r w:rsidR="00AE4498">
        <w:t>3</w:t>
      </w:r>
    </w:p>
    <w:p w14:paraId="2B2C79E1" w14:textId="507C7DED" w:rsidR="005C62C5" w:rsidRPr="00AE4498" w:rsidRDefault="005C62C5" w:rsidP="009303FD">
      <w:pPr>
        <w:pStyle w:val="TOC1"/>
        <w:spacing w:before="60" w:after="60"/>
        <w:rPr>
          <w:rFonts w:ascii="Calibri" w:hAnsi="Calibri" w:cs="Times New Roman"/>
        </w:rPr>
      </w:pPr>
      <w:r w:rsidRPr="00AE4498">
        <w:t xml:space="preserve">2.  </w:t>
      </w:r>
      <w:r w:rsidR="00146364" w:rsidRPr="00AE4498">
        <w:t xml:space="preserve">FUNDING </w:t>
      </w:r>
      <w:r w:rsidRPr="00AE4498">
        <w:t>intent</w:t>
      </w:r>
      <w:r w:rsidRPr="00AE4498">
        <w:tab/>
      </w:r>
      <w:r w:rsidR="00AE4498">
        <w:t>3</w:t>
      </w:r>
    </w:p>
    <w:p w14:paraId="61A6890E" w14:textId="6804D315" w:rsidR="005C62C5" w:rsidRPr="00AE4498" w:rsidRDefault="005C62C5" w:rsidP="009303FD">
      <w:pPr>
        <w:pStyle w:val="TOC1"/>
        <w:spacing w:before="60" w:after="60"/>
        <w:rPr>
          <w:rFonts w:ascii="Calibri" w:hAnsi="Calibri" w:cs="Times New Roman"/>
        </w:rPr>
      </w:pPr>
      <w:r w:rsidRPr="00AE4498">
        <w:t xml:space="preserve">3. </w:t>
      </w:r>
      <w:r w:rsidR="00155A54">
        <w:t xml:space="preserve"> </w:t>
      </w:r>
      <w:r w:rsidR="00155A54" w:rsidRPr="00155A54">
        <w:t>Service delivery overview</w:t>
      </w:r>
      <w:r w:rsidRPr="00AE4498">
        <w:tab/>
      </w:r>
      <w:r w:rsidR="008C1515">
        <w:t>3</w:t>
      </w:r>
    </w:p>
    <w:p w14:paraId="56B82F4B" w14:textId="2C4A7479" w:rsidR="00155A54" w:rsidRPr="00F91F5F" w:rsidRDefault="00155A54" w:rsidP="009303FD">
      <w:pPr>
        <w:pStyle w:val="TOC2"/>
        <w:spacing w:before="60" w:after="60" w:line="264" w:lineRule="auto"/>
        <w:rPr>
          <w:sz w:val="22"/>
          <w:szCs w:val="22"/>
        </w:rPr>
      </w:pPr>
      <w:r>
        <w:t>3</w:t>
      </w:r>
      <w:r w:rsidRPr="004906BD">
        <w:t>.1 Description of service types</w:t>
      </w:r>
      <w:r>
        <w:tab/>
      </w:r>
      <w:r w:rsidRPr="00E52123">
        <w:t>4</w:t>
      </w:r>
    </w:p>
    <w:p w14:paraId="59CFE46B" w14:textId="01161EE6" w:rsidR="005C62C5" w:rsidRPr="00AE4498" w:rsidRDefault="0083213E" w:rsidP="009303FD">
      <w:pPr>
        <w:pStyle w:val="TOC1"/>
        <w:spacing w:before="60" w:after="60"/>
        <w:rPr>
          <w:rFonts w:ascii="Calibri" w:hAnsi="Calibri" w:cs="Times New Roman"/>
        </w:rPr>
      </w:pPr>
      <w:r>
        <w:t>4</w:t>
      </w:r>
      <w:r w:rsidR="005C62C5">
        <w:t xml:space="preserve">. </w:t>
      </w:r>
      <w:r w:rsidR="00143FD7">
        <w:t xml:space="preserve"> </w:t>
      </w:r>
      <w:r w:rsidR="005C62C5" w:rsidRPr="00AE4498">
        <w:t>Service delivery requirements for all services</w:t>
      </w:r>
      <w:r w:rsidR="005C62C5" w:rsidRPr="00AE4498">
        <w:tab/>
      </w:r>
      <w:r w:rsidR="008C1515">
        <w:t>4</w:t>
      </w:r>
    </w:p>
    <w:p w14:paraId="177AC028" w14:textId="0C3B8FE7" w:rsidR="005C62C5" w:rsidRPr="004906BD" w:rsidRDefault="0083213E" w:rsidP="009303FD">
      <w:pPr>
        <w:pStyle w:val="TOC2"/>
        <w:spacing w:before="60" w:after="60" w:line="264" w:lineRule="auto"/>
        <w:rPr>
          <w:sz w:val="22"/>
          <w:szCs w:val="22"/>
        </w:rPr>
      </w:pPr>
      <w:r>
        <w:t>4</w:t>
      </w:r>
      <w:r w:rsidR="005C62C5" w:rsidRPr="004906BD">
        <w:t>.1 General information for all services</w:t>
      </w:r>
      <w:r w:rsidR="005C62C5" w:rsidRPr="004906BD">
        <w:tab/>
      </w:r>
      <w:r w:rsidR="008C1515">
        <w:t>4</w:t>
      </w:r>
    </w:p>
    <w:p w14:paraId="5B2A73E1" w14:textId="4C1F3800" w:rsidR="005C62C5" w:rsidRPr="00535FED" w:rsidRDefault="0083213E" w:rsidP="009303FD">
      <w:pPr>
        <w:pStyle w:val="TOC3"/>
        <w:tabs>
          <w:tab w:val="right" w:leader="dot" w:pos="9645"/>
        </w:tabs>
        <w:spacing w:before="60" w:after="60" w:line="264" w:lineRule="auto"/>
        <w:rPr>
          <w:rFonts w:ascii="Arial" w:hAnsi="Arial" w:cs="Arial"/>
          <w:noProof/>
        </w:rPr>
      </w:pPr>
      <w:r w:rsidRPr="00535FED">
        <w:rPr>
          <w:rFonts w:ascii="Arial" w:hAnsi="Arial" w:cs="Arial"/>
          <w:noProof/>
        </w:rPr>
        <w:t>4</w:t>
      </w:r>
      <w:r w:rsidR="005C62C5" w:rsidRPr="00535FED">
        <w:rPr>
          <w:rFonts w:ascii="Arial" w:hAnsi="Arial" w:cs="Arial"/>
          <w:noProof/>
        </w:rPr>
        <w:t>.1.1 Requirements for all services</w:t>
      </w:r>
      <w:r w:rsidR="005C62C5" w:rsidRPr="00535FED">
        <w:rPr>
          <w:rFonts w:ascii="Arial" w:hAnsi="Arial" w:cs="Arial"/>
          <w:noProof/>
        </w:rPr>
        <w:tab/>
      </w:r>
      <w:r w:rsidR="008C1515">
        <w:rPr>
          <w:rFonts w:ascii="Arial" w:hAnsi="Arial" w:cs="Arial"/>
          <w:b/>
          <w:noProof/>
        </w:rPr>
        <w:t>4</w:t>
      </w:r>
    </w:p>
    <w:p w14:paraId="06AC652B" w14:textId="702AFF44" w:rsidR="005C62C5" w:rsidRPr="00535FED" w:rsidRDefault="0083213E" w:rsidP="009303FD">
      <w:pPr>
        <w:pStyle w:val="TOC3"/>
        <w:tabs>
          <w:tab w:val="right" w:leader="dot" w:pos="9645"/>
        </w:tabs>
        <w:spacing w:before="60" w:after="60" w:line="264" w:lineRule="auto"/>
        <w:rPr>
          <w:rFonts w:ascii="Arial" w:hAnsi="Arial" w:cs="Arial"/>
          <w:noProof/>
        </w:rPr>
      </w:pPr>
      <w:r w:rsidRPr="00535FED">
        <w:rPr>
          <w:rFonts w:ascii="Arial" w:hAnsi="Arial" w:cs="Arial"/>
          <w:noProof/>
        </w:rPr>
        <w:t>4</w:t>
      </w:r>
      <w:r w:rsidR="005C62C5" w:rsidRPr="00535FED">
        <w:rPr>
          <w:rFonts w:ascii="Arial" w:hAnsi="Arial" w:cs="Arial"/>
          <w:noProof/>
        </w:rPr>
        <w:t>.1.2 Considerations for all services</w:t>
      </w:r>
      <w:r w:rsidR="005C62C5" w:rsidRPr="00535FED">
        <w:rPr>
          <w:rFonts w:ascii="Arial" w:hAnsi="Arial" w:cs="Arial"/>
          <w:noProof/>
        </w:rPr>
        <w:tab/>
      </w:r>
      <w:r w:rsidR="008C1515">
        <w:rPr>
          <w:rFonts w:ascii="Arial" w:hAnsi="Arial" w:cs="Arial"/>
          <w:b/>
          <w:noProof/>
        </w:rPr>
        <w:t>5</w:t>
      </w:r>
    </w:p>
    <w:p w14:paraId="1EB1E1B7" w14:textId="0EEE4330" w:rsidR="005C62C5" w:rsidRPr="00535FED" w:rsidRDefault="0083213E" w:rsidP="009303FD">
      <w:pPr>
        <w:pStyle w:val="TOC1"/>
        <w:spacing w:before="60" w:after="60"/>
        <w:rPr>
          <w:rFonts w:ascii="Calibri" w:hAnsi="Calibri" w:cs="Times New Roman"/>
        </w:rPr>
      </w:pPr>
      <w:r w:rsidRPr="00535FED">
        <w:t>5</w:t>
      </w:r>
      <w:r w:rsidR="005C62C5" w:rsidRPr="00535FED">
        <w:t>.  Service delivery requirements for specific Service Users</w:t>
      </w:r>
      <w:r w:rsidR="005C62C5" w:rsidRPr="00535FED">
        <w:tab/>
      </w:r>
      <w:r w:rsidR="008C1515">
        <w:t>6</w:t>
      </w:r>
    </w:p>
    <w:p w14:paraId="292CDAB6" w14:textId="065D688F" w:rsidR="005C62C5" w:rsidRPr="00C25A07" w:rsidRDefault="0083213E" w:rsidP="009303FD">
      <w:pPr>
        <w:pStyle w:val="TOC2"/>
        <w:spacing w:before="60" w:after="60" w:line="264" w:lineRule="auto"/>
      </w:pPr>
      <w:r w:rsidRPr="00535FED">
        <w:t>5</w:t>
      </w:r>
      <w:r w:rsidR="005C62C5" w:rsidRPr="00535FED">
        <w:t>.1 Young people a</w:t>
      </w:r>
      <w:r w:rsidR="005C62C5" w:rsidRPr="00C25A07">
        <w:t xml:space="preserve">ged </w:t>
      </w:r>
      <w:r w:rsidR="009B70E9" w:rsidRPr="00C25A07">
        <w:t>12</w:t>
      </w:r>
      <w:r w:rsidR="005C62C5" w:rsidRPr="00C25A07">
        <w:t>–21 years who are at risk of disconnection (U2107)</w:t>
      </w:r>
      <w:r w:rsidR="005C62C5" w:rsidRPr="00C25A07">
        <w:tab/>
      </w:r>
      <w:r w:rsidR="008C1515">
        <w:t>6</w:t>
      </w:r>
    </w:p>
    <w:p w14:paraId="38CF388E" w14:textId="4283BEA4" w:rsidR="005C62C5" w:rsidRPr="00C25A07" w:rsidRDefault="0083213E" w:rsidP="009303FD">
      <w:pPr>
        <w:pStyle w:val="TOC3"/>
        <w:tabs>
          <w:tab w:val="right" w:leader="dot" w:pos="9645"/>
        </w:tabs>
        <w:spacing w:before="60" w:after="60" w:line="264" w:lineRule="auto"/>
        <w:rPr>
          <w:rFonts w:ascii="Arial" w:hAnsi="Arial" w:cs="Arial"/>
          <w:noProof/>
        </w:rPr>
      </w:pPr>
      <w:r w:rsidRPr="00C25A07">
        <w:rPr>
          <w:rFonts w:ascii="Arial" w:hAnsi="Arial" w:cs="Arial"/>
          <w:noProof/>
        </w:rPr>
        <w:t>5</w:t>
      </w:r>
      <w:r w:rsidR="005C62C5" w:rsidRPr="00C25A07">
        <w:rPr>
          <w:rFonts w:ascii="Arial" w:hAnsi="Arial" w:cs="Arial"/>
          <w:noProof/>
        </w:rPr>
        <w:t xml:space="preserve">.1.1 Requirements – Young people aged </w:t>
      </w:r>
      <w:r w:rsidR="009B70E9" w:rsidRPr="00C25A07">
        <w:rPr>
          <w:rFonts w:ascii="Arial" w:hAnsi="Arial" w:cs="Arial"/>
          <w:noProof/>
        </w:rPr>
        <w:t>12</w:t>
      </w:r>
      <w:r w:rsidR="005C62C5" w:rsidRPr="00C25A07">
        <w:rPr>
          <w:rFonts w:ascii="Arial" w:hAnsi="Arial" w:cs="Arial"/>
          <w:noProof/>
        </w:rPr>
        <w:t>–21 years who are at risk of disconnection</w:t>
      </w:r>
      <w:r w:rsidR="005C62C5" w:rsidRPr="00C25A07">
        <w:rPr>
          <w:rFonts w:ascii="Arial" w:hAnsi="Arial" w:cs="Arial"/>
          <w:noProof/>
        </w:rPr>
        <w:tab/>
      </w:r>
      <w:r w:rsidR="0045281D">
        <w:rPr>
          <w:rFonts w:ascii="Arial" w:hAnsi="Arial" w:cs="Arial"/>
          <w:b/>
          <w:noProof/>
        </w:rPr>
        <w:t>7</w:t>
      </w:r>
    </w:p>
    <w:p w14:paraId="00B98185" w14:textId="55AA60E2" w:rsidR="005C62C5" w:rsidRPr="00C25A07" w:rsidRDefault="0083213E" w:rsidP="009303FD">
      <w:pPr>
        <w:pStyle w:val="TOC3"/>
        <w:tabs>
          <w:tab w:val="right" w:leader="dot" w:pos="9645"/>
        </w:tabs>
        <w:spacing w:before="60" w:after="60" w:line="264" w:lineRule="auto"/>
        <w:rPr>
          <w:noProof/>
        </w:rPr>
      </w:pPr>
      <w:r w:rsidRPr="00C25A07">
        <w:rPr>
          <w:rFonts w:ascii="Arial" w:hAnsi="Arial" w:cs="Arial"/>
          <w:noProof/>
        </w:rPr>
        <w:t>5</w:t>
      </w:r>
      <w:r w:rsidR="005C62C5" w:rsidRPr="00C25A07">
        <w:rPr>
          <w:rFonts w:ascii="Arial" w:hAnsi="Arial" w:cs="Arial"/>
          <w:noProof/>
        </w:rPr>
        <w:t>.1.2 Considerations – Young people aged 8–11 years who are at risk of disconnection</w:t>
      </w:r>
      <w:r w:rsidR="005C62C5" w:rsidRPr="00C25A07">
        <w:rPr>
          <w:noProof/>
        </w:rPr>
        <w:tab/>
      </w:r>
      <w:r w:rsidR="008C1515">
        <w:rPr>
          <w:rFonts w:ascii="Arial" w:hAnsi="Arial" w:cs="Arial"/>
          <w:b/>
          <w:noProof/>
        </w:rPr>
        <w:t>7</w:t>
      </w:r>
    </w:p>
    <w:p w14:paraId="67AA8E4D" w14:textId="1A0F1B27" w:rsidR="005C62C5" w:rsidRPr="00C25A07" w:rsidRDefault="0083213E" w:rsidP="009303FD">
      <w:pPr>
        <w:pStyle w:val="TOC2"/>
        <w:spacing w:before="60" w:after="60" w:line="264" w:lineRule="auto"/>
      </w:pPr>
      <w:r w:rsidRPr="00C25A07">
        <w:t>5</w:t>
      </w:r>
      <w:r w:rsidR="005C62C5" w:rsidRPr="00C25A07">
        <w:t>.2 Young people aged 12–2</w:t>
      </w:r>
      <w:r w:rsidR="00C25A07" w:rsidRPr="00C25A07">
        <w:t>1</w:t>
      </w:r>
      <w:r w:rsidR="005C62C5" w:rsidRPr="00C25A07">
        <w:t xml:space="preserve"> years who are at risk of homelessness, or who are homeless (U2347)</w:t>
      </w:r>
      <w:r w:rsidR="005C62C5" w:rsidRPr="00C25A07">
        <w:tab/>
      </w:r>
      <w:r w:rsidR="008C1515">
        <w:t>7</w:t>
      </w:r>
    </w:p>
    <w:p w14:paraId="152208A7" w14:textId="72A8851D" w:rsidR="005C62C5" w:rsidRPr="00C25A07" w:rsidRDefault="0083213E" w:rsidP="009303FD">
      <w:pPr>
        <w:pStyle w:val="TOC3"/>
        <w:tabs>
          <w:tab w:val="right" w:leader="dot" w:pos="9645"/>
        </w:tabs>
        <w:spacing w:before="60" w:after="60" w:line="264" w:lineRule="auto"/>
        <w:rPr>
          <w:rFonts w:ascii="Arial" w:hAnsi="Arial" w:cs="Arial"/>
          <w:noProof/>
        </w:rPr>
      </w:pPr>
      <w:r w:rsidRPr="00C25A07">
        <w:rPr>
          <w:rFonts w:ascii="Arial" w:hAnsi="Arial" w:cs="Arial"/>
          <w:noProof/>
        </w:rPr>
        <w:t>5</w:t>
      </w:r>
      <w:r w:rsidR="005C62C5" w:rsidRPr="00C25A07">
        <w:rPr>
          <w:rFonts w:ascii="Arial" w:hAnsi="Arial" w:cs="Arial"/>
          <w:noProof/>
        </w:rPr>
        <w:t>.2.1 Requirements – Young people aged 12–</w:t>
      </w:r>
      <w:bookmarkStart w:id="66" w:name="_Hlk112681092"/>
      <w:r w:rsidR="005C62C5" w:rsidRPr="00C25A07">
        <w:rPr>
          <w:rFonts w:ascii="Arial" w:hAnsi="Arial" w:cs="Arial"/>
          <w:noProof/>
        </w:rPr>
        <w:t>2</w:t>
      </w:r>
      <w:bookmarkEnd w:id="66"/>
      <w:r w:rsidR="00C25A07" w:rsidRPr="00C25A07">
        <w:rPr>
          <w:rFonts w:ascii="Arial" w:hAnsi="Arial" w:cs="Arial"/>
          <w:noProof/>
        </w:rPr>
        <w:t>1</w:t>
      </w:r>
      <w:r w:rsidR="005C62C5" w:rsidRPr="00C25A07">
        <w:rPr>
          <w:rFonts w:ascii="Arial" w:hAnsi="Arial" w:cs="Arial"/>
          <w:noProof/>
        </w:rPr>
        <w:t xml:space="preserve"> at risk of homelessness or homeless</w:t>
      </w:r>
      <w:r w:rsidR="005C62C5" w:rsidRPr="00C25A07">
        <w:rPr>
          <w:rFonts w:ascii="Arial" w:hAnsi="Arial" w:cs="Arial"/>
          <w:noProof/>
        </w:rPr>
        <w:tab/>
      </w:r>
      <w:r w:rsidR="008C1515">
        <w:rPr>
          <w:rFonts w:ascii="Arial" w:hAnsi="Arial" w:cs="Arial"/>
          <w:b/>
          <w:noProof/>
        </w:rPr>
        <w:t>7</w:t>
      </w:r>
    </w:p>
    <w:p w14:paraId="55B2A417" w14:textId="2A89BD24" w:rsidR="005C62C5" w:rsidRPr="00C25A07" w:rsidRDefault="0083213E" w:rsidP="009303FD">
      <w:pPr>
        <w:pStyle w:val="TOC3"/>
        <w:tabs>
          <w:tab w:val="right" w:leader="dot" w:pos="9645"/>
        </w:tabs>
        <w:spacing w:before="60" w:after="60" w:line="264" w:lineRule="auto"/>
        <w:rPr>
          <w:noProof/>
        </w:rPr>
      </w:pPr>
      <w:r w:rsidRPr="00C25A07">
        <w:rPr>
          <w:rFonts w:ascii="Arial" w:hAnsi="Arial" w:cs="Arial"/>
          <w:noProof/>
        </w:rPr>
        <w:t>5</w:t>
      </w:r>
      <w:r w:rsidR="005C62C5" w:rsidRPr="00C25A07">
        <w:rPr>
          <w:rFonts w:ascii="Arial" w:hAnsi="Arial" w:cs="Arial"/>
          <w:noProof/>
        </w:rPr>
        <w:t>.2.2 Considerations – Young people aged 12–</w:t>
      </w:r>
      <w:r w:rsidR="00154DD6" w:rsidRPr="00C25A07">
        <w:rPr>
          <w:rFonts w:ascii="Arial" w:hAnsi="Arial" w:cs="Arial"/>
          <w:noProof/>
        </w:rPr>
        <w:t>2</w:t>
      </w:r>
      <w:r w:rsidR="00C25A07" w:rsidRPr="00C25A07">
        <w:rPr>
          <w:rFonts w:ascii="Arial" w:hAnsi="Arial" w:cs="Arial"/>
          <w:noProof/>
        </w:rPr>
        <w:t>1</w:t>
      </w:r>
      <w:r w:rsidR="005C62C5" w:rsidRPr="00C25A07">
        <w:rPr>
          <w:rFonts w:ascii="Arial" w:hAnsi="Arial" w:cs="Arial"/>
          <w:noProof/>
        </w:rPr>
        <w:t xml:space="preserve"> at risk of homelessness or homeless</w:t>
      </w:r>
      <w:r w:rsidR="005C62C5" w:rsidRPr="00C25A07">
        <w:rPr>
          <w:noProof/>
        </w:rPr>
        <w:tab/>
      </w:r>
      <w:r w:rsidR="008C1515">
        <w:rPr>
          <w:rFonts w:ascii="Arial" w:hAnsi="Arial" w:cs="Arial"/>
          <w:b/>
          <w:noProof/>
        </w:rPr>
        <w:t>7</w:t>
      </w:r>
    </w:p>
    <w:p w14:paraId="20B87572" w14:textId="3ABF4D14" w:rsidR="005C62C5" w:rsidRPr="005A70E5" w:rsidRDefault="0083213E" w:rsidP="009303FD">
      <w:pPr>
        <w:pStyle w:val="TOC1"/>
        <w:spacing w:before="60" w:after="60"/>
        <w:rPr>
          <w:rFonts w:ascii="Calibri" w:hAnsi="Calibri" w:cs="Times New Roman"/>
          <w:sz w:val="20"/>
          <w:szCs w:val="20"/>
        </w:rPr>
      </w:pPr>
      <w:r w:rsidRPr="00C25A07">
        <w:t>6</w:t>
      </w:r>
      <w:r w:rsidR="005C62C5" w:rsidRPr="00C25A07">
        <w:t>.  Service delivery requirements for s</w:t>
      </w:r>
      <w:r w:rsidR="005C62C5" w:rsidRPr="005A70E5">
        <w:t>pecific service types</w:t>
      </w:r>
      <w:r w:rsidR="005C62C5" w:rsidRPr="005A70E5">
        <w:tab/>
      </w:r>
      <w:r w:rsidR="008C1515">
        <w:t>7</w:t>
      </w:r>
    </w:p>
    <w:p w14:paraId="5F7E4C70" w14:textId="15693D3D" w:rsidR="005C62C5" w:rsidRPr="00535FED" w:rsidRDefault="0083213E" w:rsidP="009303FD">
      <w:pPr>
        <w:pStyle w:val="TOC2"/>
        <w:spacing w:before="60" w:after="60" w:line="264" w:lineRule="auto"/>
      </w:pPr>
      <w:r w:rsidRPr="00535FED">
        <w:t>6</w:t>
      </w:r>
      <w:r w:rsidR="005C62C5" w:rsidRPr="00535FED">
        <w:t>.1 Access – Information, advice and referral (T103)</w:t>
      </w:r>
      <w:r w:rsidR="005C62C5" w:rsidRPr="00535FED">
        <w:tab/>
      </w:r>
      <w:r w:rsidR="008C1515">
        <w:t>7</w:t>
      </w:r>
    </w:p>
    <w:p w14:paraId="0B473D1B" w14:textId="70827B3A" w:rsidR="005C62C5" w:rsidRPr="00535FED" w:rsidRDefault="0083213E" w:rsidP="009303FD">
      <w:pPr>
        <w:pStyle w:val="TOC3"/>
        <w:tabs>
          <w:tab w:val="right" w:leader="dot" w:pos="9645"/>
        </w:tabs>
        <w:spacing w:before="60" w:after="60" w:line="264" w:lineRule="auto"/>
        <w:rPr>
          <w:rFonts w:ascii="Arial" w:hAnsi="Arial" w:cs="Arial"/>
          <w:noProof/>
        </w:rPr>
      </w:pPr>
      <w:bookmarkStart w:id="67" w:name="_Hlk116036016"/>
      <w:r w:rsidRPr="00535FED">
        <w:rPr>
          <w:rFonts w:ascii="Arial" w:hAnsi="Arial" w:cs="Arial"/>
          <w:noProof/>
        </w:rPr>
        <w:t>6</w:t>
      </w:r>
      <w:r w:rsidR="005C62C5" w:rsidRPr="00535FED">
        <w:rPr>
          <w:rFonts w:ascii="Arial" w:hAnsi="Arial" w:cs="Arial"/>
          <w:noProof/>
        </w:rPr>
        <w:t>.1.1 Requirements – Information, advice and referral</w:t>
      </w:r>
      <w:r w:rsidR="005C62C5" w:rsidRPr="00535FED">
        <w:rPr>
          <w:rFonts w:ascii="Arial" w:hAnsi="Arial" w:cs="Arial"/>
          <w:noProof/>
        </w:rPr>
        <w:tab/>
      </w:r>
      <w:r w:rsidR="000F2441">
        <w:rPr>
          <w:rFonts w:ascii="Arial" w:hAnsi="Arial" w:cs="Arial"/>
          <w:b/>
          <w:noProof/>
        </w:rPr>
        <w:t>7</w:t>
      </w:r>
    </w:p>
    <w:p w14:paraId="46FFF52C" w14:textId="2191988E" w:rsidR="005C62C5" w:rsidRPr="00535FED" w:rsidRDefault="0083213E" w:rsidP="009303FD">
      <w:pPr>
        <w:pStyle w:val="TOC3"/>
        <w:tabs>
          <w:tab w:val="right" w:leader="dot" w:pos="9645"/>
        </w:tabs>
        <w:spacing w:before="60" w:after="60" w:line="264" w:lineRule="auto"/>
        <w:rPr>
          <w:noProof/>
        </w:rPr>
      </w:pPr>
      <w:r w:rsidRPr="00535FED">
        <w:rPr>
          <w:rFonts w:ascii="Arial" w:hAnsi="Arial" w:cs="Arial"/>
          <w:noProof/>
        </w:rPr>
        <w:t>6</w:t>
      </w:r>
      <w:r w:rsidR="005C62C5" w:rsidRPr="00535FED">
        <w:rPr>
          <w:rFonts w:ascii="Arial" w:hAnsi="Arial" w:cs="Arial"/>
          <w:noProof/>
        </w:rPr>
        <w:t>.1.2 Considerations – Information, advice and referral</w:t>
      </w:r>
      <w:r w:rsidR="005C62C5" w:rsidRPr="00535FED">
        <w:rPr>
          <w:noProof/>
        </w:rPr>
        <w:tab/>
      </w:r>
      <w:r w:rsidR="008C1515">
        <w:rPr>
          <w:rFonts w:ascii="Arial" w:hAnsi="Arial" w:cs="Arial"/>
          <w:b/>
          <w:noProof/>
        </w:rPr>
        <w:t>8</w:t>
      </w:r>
    </w:p>
    <w:p w14:paraId="646D73F2" w14:textId="54819462" w:rsidR="005C62C5" w:rsidRPr="00535FED" w:rsidRDefault="0083213E" w:rsidP="009303FD">
      <w:pPr>
        <w:pStyle w:val="TOC2"/>
        <w:spacing w:before="60" w:after="60" w:line="264" w:lineRule="auto"/>
      </w:pPr>
      <w:r w:rsidRPr="00535FED">
        <w:t>6</w:t>
      </w:r>
      <w:r w:rsidR="005C62C5" w:rsidRPr="00535FED">
        <w:t xml:space="preserve">.2 Support – Support </w:t>
      </w:r>
      <w:r w:rsidR="008B351C">
        <w:t>and</w:t>
      </w:r>
      <w:r w:rsidR="005C62C5" w:rsidRPr="00535FED">
        <w:t xml:space="preserve"> </w:t>
      </w:r>
      <w:r w:rsidR="008B351C">
        <w:t>c</w:t>
      </w:r>
      <w:r w:rsidR="005C62C5" w:rsidRPr="00535FED">
        <w:t>ase management (T314)</w:t>
      </w:r>
      <w:r w:rsidR="005C62C5" w:rsidRPr="00535FED">
        <w:tab/>
      </w:r>
      <w:r w:rsidR="005C62C5" w:rsidRPr="00535FED">
        <w:fldChar w:fldCharType="begin"/>
      </w:r>
      <w:r w:rsidR="005C62C5" w:rsidRPr="00535FED">
        <w:instrText xml:space="preserve"> PAGEREF _Toc516054643 \h </w:instrText>
      </w:r>
      <w:r w:rsidR="005C62C5" w:rsidRPr="00535FED">
        <w:fldChar w:fldCharType="separate"/>
      </w:r>
      <w:r w:rsidR="00B35B3B">
        <w:t>8</w:t>
      </w:r>
      <w:r w:rsidR="005C62C5" w:rsidRPr="00535FED">
        <w:fldChar w:fldCharType="end"/>
      </w:r>
    </w:p>
    <w:p w14:paraId="5605F862" w14:textId="7CA080C2" w:rsidR="005C62C5" w:rsidRPr="00535FED" w:rsidRDefault="0083213E" w:rsidP="009303FD">
      <w:pPr>
        <w:pStyle w:val="TOC3"/>
        <w:tabs>
          <w:tab w:val="right" w:leader="dot" w:pos="9645"/>
        </w:tabs>
        <w:spacing w:before="60" w:after="60" w:line="264" w:lineRule="auto"/>
        <w:rPr>
          <w:rFonts w:ascii="Arial" w:hAnsi="Arial" w:cs="Arial"/>
          <w:noProof/>
        </w:rPr>
      </w:pPr>
      <w:r w:rsidRPr="00535FED">
        <w:rPr>
          <w:rFonts w:ascii="Arial" w:hAnsi="Arial" w:cs="Arial"/>
          <w:noProof/>
        </w:rPr>
        <w:t>6</w:t>
      </w:r>
      <w:r w:rsidR="005C62C5" w:rsidRPr="00535FED">
        <w:rPr>
          <w:rFonts w:ascii="Arial" w:hAnsi="Arial" w:cs="Arial"/>
          <w:noProof/>
        </w:rPr>
        <w:t xml:space="preserve">.2.1 Requirements – </w:t>
      </w:r>
      <w:r w:rsidR="008B351C">
        <w:rPr>
          <w:rFonts w:ascii="Arial" w:hAnsi="Arial" w:cs="Arial"/>
          <w:noProof/>
        </w:rPr>
        <w:t>Support and c</w:t>
      </w:r>
      <w:r w:rsidR="005C62C5" w:rsidRPr="00535FED">
        <w:rPr>
          <w:rFonts w:ascii="Arial" w:hAnsi="Arial" w:cs="Arial"/>
          <w:noProof/>
        </w:rPr>
        <w:t>ase management</w:t>
      </w:r>
      <w:r w:rsidR="005A70E5" w:rsidRPr="00535FED">
        <w:rPr>
          <w:rFonts w:ascii="Arial" w:hAnsi="Arial" w:cs="Arial"/>
          <w:noProof/>
        </w:rPr>
        <w:t xml:space="preserve"> </w:t>
      </w:r>
      <w:r w:rsidR="005C62C5" w:rsidRPr="00535FED">
        <w:rPr>
          <w:rFonts w:ascii="Arial" w:hAnsi="Arial" w:cs="Arial"/>
          <w:noProof/>
        </w:rPr>
        <w:tab/>
      </w:r>
      <w:r w:rsidR="005C62C5" w:rsidRPr="00535FED">
        <w:rPr>
          <w:rFonts w:ascii="Arial" w:hAnsi="Arial" w:cs="Arial"/>
          <w:b/>
          <w:noProof/>
        </w:rPr>
        <w:fldChar w:fldCharType="begin"/>
      </w:r>
      <w:r w:rsidR="005C62C5" w:rsidRPr="00535FED">
        <w:rPr>
          <w:rFonts w:ascii="Arial" w:hAnsi="Arial" w:cs="Arial"/>
          <w:b/>
          <w:noProof/>
        </w:rPr>
        <w:instrText xml:space="preserve"> PAGEREF _Toc516054644 \h </w:instrText>
      </w:r>
      <w:r w:rsidR="005C62C5" w:rsidRPr="00535FED">
        <w:rPr>
          <w:rFonts w:ascii="Arial" w:hAnsi="Arial" w:cs="Arial"/>
          <w:b/>
          <w:noProof/>
        </w:rPr>
      </w:r>
      <w:r w:rsidR="005C62C5" w:rsidRPr="00535FED">
        <w:rPr>
          <w:rFonts w:ascii="Arial" w:hAnsi="Arial" w:cs="Arial"/>
          <w:b/>
          <w:noProof/>
        </w:rPr>
        <w:fldChar w:fldCharType="separate"/>
      </w:r>
      <w:r w:rsidR="00B35B3B">
        <w:rPr>
          <w:rFonts w:ascii="Arial" w:hAnsi="Arial" w:cs="Arial"/>
          <w:b/>
          <w:noProof/>
        </w:rPr>
        <w:t>8</w:t>
      </w:r>
      <w:r w:rsidR="005C62C5" w:rsidRPr="00535FED">
        <w:rPr>
          <w:rFonts w:ascii="Arial" w:hAnsi="Arial" w:cs="Arial"/>
          <w:b/>
          <w:noProof/>
        </w:rPr>
        <w:fldChar w:fldCharType="end"/>
      </w:r>
    </w:p>
    <w:p w14:paraId="4F67BD4F" w14:textId="12187E18" w:rsidR="005A70E5" w:rsidRPr="00535FED" w:rsidRDefault="005A70E5" w:rsidP="009303FD">
      <w:pPr>
        <w:pStyle w:val="TOC3"/>
        <w:tabs>
          <w:tab w:val="right" w:leader="dot" w:pos="9645"/>
        </w:tabs>
        <w:spacing w:before="60" w:after="60" w:line="264" w:lineRule="auto"/>
        <w:rPr>
          <w:noProof/>
        </w:rPr>
      </w:pPr>
      <w:r w:rsidRPr="00535FED">
        <w:rPr>
          <w:rFonts w:ascii="Arial" w:hAnsi="Arial" w:cs="Arial"/>
          <w:noProof/>
        </w:rPr>
        <w:t xml:space="preserve">6.2.2 </w:t>
      </w:r>
      <w:r w:rsidR="00C25A07">
        <w:rPr>
          <w:rFonts w:ascii="Arial" w:hAnsi="Arial" w:cs="Arial"/>
          <w:noProof/>
        </w:rPr>
        <w:t>Requirement</w:t>
      </w:r>
      <w:r w:rsidRPr="00535FED">
        <w:rPr>
          <w:rFonts w:ascii="Arial" w:hAnsi="Arial" w:cs="Arial"/>
          <w:noProof/>
        </w:rPr>
        <w:t xml:space="preserve">s – </w:t>
      </w:r>
      <w:r w:rsidR="008B351C">
        <w:rPr>
          <w:rFonts w:ascii="Arial" w:hAnsi="Arial" w:cs="Arial"/>
          <w:noProof/>
        </w:rPr>
        <w:t>Support and c</w:t>
      </w:r>
      <w:r w:rsidRPr="00535FED">
        <w:rPr>
          <w:rFonts w:ascii="Arial" w:hAnsi="Arial" w:cs="Arial"/>
          <w:noProof/>
        </w:rPr>
        <w:t>ase management (YHARS)</w:t>
      </w:r>
      <w:r w:rsidRPr="00535FED">
        <w:rPr>
          <w:noProof/>
        </w:rPr>
        <w:tab/>
      </w:r>
      <w:r w:rsidRPr="00535FED">
        <w:rPr>
          <w:rFonts w:ascii="Arial" w:hAnsi="Arial" w:cs="Arial"/>
          <w:b/>
          <w:noProof/>
        </w:rPr>
        <w:fldChar w:fldCharType="begin"/>
      </w:r>
      <w:r w:rsidRPr="00535FED">
        <w:rPr>
          <w:rFonts w:ascii="Arial" w:hAnsi="Arial" w:cs="Arial"/>
          <w:b/>
          <w:noProof/>
        </w:rPr>
        <w:instrText xml:space="preserve"> PAGEREF _Toc516054645 \h </w:instrText>
      </w:r>
      <w:r w:rsidRPr="00535FED">
        <w:rPr>
          <w:rFonts w:ascii="Arial" w:hAnsi="Arial" w:cs="Arial"/>
          <w:b/>
          <w:noProof/>
        </w:rPr>
      </w:r>
      <w:r w:rsidRPr="00535FED">
        <w:rPr>
          <w:rFonts w:ascii="Arial" w:hAnsi="Arial" w:cs="Arial"/>
          <w:b/>
          <w:noProof/>
        </w:rPr>
        <w:fldChar w:fldCharType="separate"/>
      </w:r>
      <w:r w:rsidR="00B35B3B">
        <w:rPr>
          <w:rFonts w:ascii="Arial" w:hAnsi="Arial" w:cs="Arial"/>
          <w:b/>
          <w:noProof/>
        </w:rPr>
        <w:t>9</w:t>
      </w:r>
      <w:r w:rsidRPr="00535FED">
        <w:rPr>
          <w:rFonts w:ascii="Arial" w:hAnsi="Arial" w:cs="Arial"/>
          <w:b/>
          <w:noProof/>
        </w:rPr>
        <w:fldChar w:fldCharType="end"/>
      </w:r>
    </w:p>
    <w:p w14:paraId="5971F63D" w14:textId="2923E758" w:rsidR="00C25A07" w:rsidRPr="00535FED" w:rsidRDefault="00C25A07" w:rsidP="00C25A07">
      <w:pPr>
        <w:pStyle w:val="TOC3"/>
        <w:tabs>
          <w:tab w:val="right" w:leader="dot" w:pos="9645"/>
        </w:tabs>
        <w:spacing w:before="60" w:after="60" w:line="264" w:lineRule="auto"/>
        <w:rPr>
          <w:noProof/>
        </w:rPr>
      </w:pPr>
      <w:r w:rsidRPr="00535FED">
        <w:rPr>
          <w:rFonts w:ascii="Arial" w:hAnsi="Arial" w:cs="Arial"/>
          <w:noProof/>
        </w:rPr>
        <w:t xml:space="preserve">6.2.3 Considerations – </w:t>
      </w:r>
      <w:r>
        <w:rPr>
          <w:rFonts w:ascii="Arial" w:hAnsi="Arial" w:cs="Arial"/>
          <w:noProof/>
        </w:rPr>
        <w:t>Support and c</w:t>
      </w:r>
      <w:r w:rsidRPr="00535FED">
        <w:rPr>
          <w:rFonts w:ascii="Arial" w:hAnsi="Arial" w:cs="Arial"/>
          <w:noProof/>
        </w:rPr>
        <w:t>ase management</w:t>
      </w:r>
      <w:r w:rsidRPr="00535FED">
        <w:rPr>
          <w:noProof/>
        </w:rPr>
        <w:tab/>
      </w:r>
      <w:r w:rsidRPr="00535FED">
        <w:rPr>
          <w:rFonts w:ascii="Arial" w:hAnsi="Arial" w:cs="Arial"/>
          <w:b/>
          <w:noProof/>
        </w:rPr>
        <w:fldChar w:fldCharType="begin"/>
      </w:r>
      <w:r w:rsidRPr="00535FED">
        <w:rPr>
          <w:rFonts w:ascii="Arial" w:hAnsi="Arial" w:cs="Arial"/>
          <w:b/>
          <w:noProof/>
        </w:rPr>
        <w:instrText xml:space="preserve"> PAGEREF _Toc516054645 \h </w:instrText>
      </w:r>
      <w:r w:rsidRPr="00535FED">
        <w:rPr>
          <w:rFonts w:ascii="Arial" w:hAnsi="Arial" w:cs="Arial"/>
          <w:b/>
          <w:noProof/>
        </w:rPr>
      </w:r>
      <w:r w:rsidRPr="00535FED">
        <w:rPr>
          <w:rFonts w:ascii="Arial" w:hAnsi="Arial" w:cs="Arial"/>
          <w:b/>
          <w:noProof/>
        </w:rPr>
        <w:fldChar w:fldCharType="separate"/>
      </w:r>
      <w:r w:rsidR="00B35B3B">
        <w:rPr>
          <w:rFonts w:ascii="Arial" w:hAnsi="Arial" w:cs="Arial"/>
          <w:b/>
          <w:noProof/>
        </w:rPr>
        <w:t>9</w:t>
      </w:r>
      <w:r w:rsidRPr="00535FED">
        <w:rPr>
          <w:rFonts w:ascii="Arial" w:hAnsi="Arial" w:cs="Arial"/>
          <w:b/>
          <w:noProof/>
        </w:rPr>
        <w:fldChar w:fldCharType="end"/>
      </w:r>
    </w:p>
    <w:p w14:paraId="3E16AFE7" w14:textId="768D7392" w:rsidR="005C62C5" w:rsidRPr="00535FED" w:rsidRDefault="0083213E" w:rsidP="009303FD">
      <w:pPr>
        <w:pStyle w:val="TOC3"/>
        <w:tabs>
          <w:tab w:val="right" w:leader="dot" w:pos="9645"/>
        </w:tabs>
        <w:spacing w:before="60" w:after="60" w:line="264" w:lineRule="auto"/>
        <w:rPr>
          <w:noProof/>
        </w:rPr>
      </w:pPr>
      <w:r w:rsidRPr="00535FED">
        <w:rPr>
          <w:rFonts w:ascii="Arial" w:hAnsi="Arial" w:cs="Arial"/>
          <w:noProof/>
        </w:rPr>
        <w:t>6</w:t>
      </w:r>
      <w:r w:rsidR="005C62C5" w:rsidRPr="00535FED">
        <w:rPr>
          <w:rFonts w:ascii="Arial" w:hAnsi="Arial" w:cs="Arial"/>
          <w:noProof/>
        </w:rPr>
        <w:t>.2.</w:t>
      </w:r>
      <w:r w:rsidR="00C25A07">
        <w:rPr>
          <w:rFonts w:ascii="Arial" w:hAnsi="Arial" w:cs="Arial"/>
          <w:noProof/>
        </w:rPr>
        <w:t>4</w:t>
      </w:r>
      <w:r w:rsidR="005C62C5" w:rsidRPr="00535FED">
        <w:rPr>
          <w:rFonts w:ascii="Arial" w:hAnsi="Arial" w:cs="Arial"/>
          <w:noProof/>
        </w:rPr>
        <w:t xml:space="preserve"> Considerations – </w:t>
      </w:r>
      <w:r w:rsidR="008B351C">
        <w:rPr>
          <w:rFonts w:ascii="Arial" w:hAnsi="Arial" w:cs="Arial"/>
          <w:noProof/>
        </w:rPr>
        <w:t>Support and c</w:t>
      </w:r>
      <w:r w:rsidR="005C62C5" w:rsidRPr="00535FED">
        <w:rPr>
          <w:rFonts w:ascii="Arial" w:hAnsi="Arial" w:cs="Arial"/>
          <w:noProof/>
        </w:rPr>
        <w:t>ase management</w:t>
      </w:r>
      <w:r w:rsidR="00C25A07">
        <w:rPr>
          <w:rFonts w:ascii="Arial" w:hAnsi="Arial" w:cs="Arial"/>
          <w:noProof/>
        </w:rPr>
        <w:t xml:space="preserve"> (YHARS)</w:t>
      </w:r>
      <w:r w:rsidR="005C62C5" w:rsidRPr="00535FED">
        <w:rPr>
          <w:noProof/>
        </w:rPr>
        <w:tab/>
      </w:r>
      <w:r w:rsidR="005C62C5" w:rsidRPr="00535FED">
        <w:rPr>
          <w:rFonts w:ascii="Arial" w:hAnsi="Arial" w:cs="Arial"/>
          <w:b/>
          <w:noProof/>
        </w:rPr>
        <w:fldChar w:fldCharType="begin"/>
      </w:r>
      <w:r w:rsidR="005C62C5" w:rsidRPr="00535FED">
        <w:rPr>
          <w:rFonts w:ascii="Arial" w:hAnsi="Arial" w:cs="Arial"/>
          <w:b/>
          <w:noProof/>
        </w:rPr>
        <w:instrText xml:space="preserve"> PAGEREF _Toc516054645 \h </w:instrText>
      </w:r>
      <w:r w:rsidR="005C62C5" w:rsidRPr="00535FED">
        <w:rPr>
          <w:rFonts w:ascii="Arial" w:hAnsi="Arial" w:cs="Arial"/>
          <w:b/>
          <w:noProof/>
        </w:rPr>
      </w:r>
      <w:r w:rsidR="005C62C5" w:rsidRPr="00535FED">
        <w:rPr>
          <w:rFonts w:ascii="Arial" w:hAnsi="Arial" w:cs="Arial"/>
          <w:b/>
          <w:noProof/>
        </w:rPr>
        <w:fldChar w:fldCharType="separate"/>
      </w:r>
      <w:r w:rsidR="00B35B3B">
        <w:rPr>
          <w:rFonts w:ascii="Arial" w:hAnsi="Arial" w:cs="Arial"/>
          <w:b/>
          <w:noProof/>
        </w:rPr>
        <w:t>9</w:t>
      </w:r>
      <w:r w:rsidR="005C62C5" w:rsidRPr="00535FED">
        <w:rPr>
          <w:rFonts w:ascii="Arial" w:hAnsi="Arial" w:cs="Arial"/>
          <w:b/>
          <w:noProof/>
        </w:rPr>
        <w:fldChar w:fldCharType="end"/>
      </w:r>
    </w:p>
    <w:p w14:paraId="076704C4" w14:textId="14602D49" w:rsidR="005C62C5" w:rsidRPr="00535FED" w:rsidRDefault="0083213E" w:rsidP="009303FD">
      <w:pPr>
        <w:pStyle w:val="TOC2"/>
        <w:spacing w:before="60" w:after="60" w:line="264" w:lineRule="auto"/>
      </w:pPr>
      <w:r w:rsidRPr="00535FED">
        <w:t>6</w:t>
      </w:r>
      <w:r w:rsidR="005C62C5" w:rsidRPr="00535FED">
        <w:t>.3 Support services</w:t>
      </w:r>
      <w:r w:rsidR="0016696A" w:rsidRPr="00535FED">
        <w:t xml:space="preserve"> –</w:t>
      </w:r>
      <w:r w:rsidR="005C62C5" w:rsidRPr="00535FED">
        <w:t xml:space="preserve"> Community support (T317)</w:t>
      </w:r>
      <w:r w:rsidR="005C62C5" w:rsidRPr="00535FED">
        <w:tab/>
      </w:r>
      <w:r w:rsidR="0045281D">
        <w:t>10</w:t>
      </w:r>
    </w:p>
    <w:p w14:paraId="475B4C1E" w14:textId="610AA839" w:rsidR="0083213E" w:rsidRPr="00535FED" w:rsidRDefault="0083213E" w:rsidP="009303FD">
      <w:pPr>
        <w:pStyle w:val="TOC3"/>
        <w:tabs>
          <w:tab w:val="right" w:leader="dot" w:pos="9645"/>
        </w:tabs>
        <w:spacing w:before="60" w:after="60" w:line="264" w:lineRule="auto"/>
        <w:rPr>
          <w:rFonts w:ascii="Arial" w:hAnsi="Arial" w:cs="Arial"/>
          <w:noProof/>
        </w:rPr>
      </w:pPr>
      <w:bookmarkStart w:id="68" w:name="_Hlk112680015"/>
      <w:r w:rsidRPr="00535FED">
        <w:rPr>
          <w:rFonts w:ascii="Arial" w:hAnsi="Arial" w:cs="Arial"/>
          <w:noProof/>
        </w:rPr>
        <w:t xml:space="preserve">6.3.1 Requirements – Community support </w:t>
      </w:r>
      <w:r w:rsidRPr="00535FED">
        <w:rPr>
          <w:rFonts w:ascii="Arial" w:hAnsi="Arial" w:cs="Arial"/>
          <w:bCs/>
          <w:noProof/>
        </w:rPr>
        <w:t>(programs, events, activities and projects)</w:t>
      </w:r>
      <w:r w:rsidRPr="00535FED">
        <w:rPr>
          <w:rFonts w:ascii="Arial" w:hAnsi="Arial" w:cs="Arial"/>
          <w:noProof/>
        </w:rPr>
        <w:tab/>
      </w:r>
      <w:r w:rsidRPr="00535FED">
        <w:rPr>
          <w:rFonts w:ascii="Arial" w:hAnsi="Arial" w:cs="Arial"/>
          <w:b/>
          <w:noProof/>
        </w:rPr>
        <w:fldChar w:fldCharType="begin"/>
      </w:r>
      <w:r w:rsidRPr="00535FED">
        <w:rPr>
          <w:rFonts w:ascii="Arial" w:hAnsi="Arial" w:cs="Arial"/>
          <w:b/>
          <w:noProof/>
        </w:rPr>
        <w:instrText xml:space="preserve"> PAGEREF _Toc516054647 \h </w:instrText>
      </w:r>
      <w:r w:rsidRPr="00535FED">
        <w:rPr>
          <w:rFonts w:ascii="Arial" w:hAnsi="Arial" w:cs="Arial"/>
          <w:b/>
          <w:noProof/>
        </w:rPr>
      </w:r>
      <w:r w:rsidRPr="00535FED">
        <w:rPr>
          <w:rFonts w:ascii="Arial" w:hAnsi="Arial" w:cs="Arial"/>
          <w:b/>
          <w:noProof/>
        </w:rPr>
        <w:fldChar w:fldCharType="separate"/>
      </w:r>
      <w:r w:rsidR="00B35B3B">
        <w:rPr>
          <w:rFonts w:ascii="Arial" w:hAnsi="Arial" w:cs="Arial"/>
          <w:b/>
          <w:noProof/>
        </w:rPr>
        <w:t>10</w:t>
      </w:r>
      <w:r w:rsidRPr="00535FED">
        <w:rPr>
          <w:rFonts w:ascii="Arial" w:hAnsi="Arial" w:cs="Arial"/>
          <w:b/>
          <w:noProof/>
        </w:rPr>
        <w:fldChar w:fldCharType="end"/>
      </w:r>
    </w:p>
    <w:p w14:paraId="1483FBB5" w14:textId="09722283" w:rsidR="0083213E" w:rsidRPr="00535FED" w:rsidRDefault="0083213E" w:rsidP="009303FD">
      <w:pPr>
        <w:pStyle w:val="TOC3"/>
        <w:tabs>
          <w:tab w:val="right" w:leader="dot" w:pos="9645"/>
        </w:tabs>
        <w:spacing w:before="60" w:after="60" w:line="264" w:lineRule="auto"/>
        <w:rPr>
          <w:noProof/>
        </w:rPr>
      </w:pPr>
      <w:r w:rsidRPr="00535FED">
        <w:rPr>
          <w:rFonts w:ascii="Arial" w:hAnsi="Arial" w:cs="Arial"/>
          <w:noProof/>
        </w:rPr>
        <w:t xml:space="preserve">6.3.2 Considerations – Community support </w:t>
      </w:r>
      <w:r w:rsidRPr="00535FED">
        <w:rPr>
          <w:rFonts w:ascii="Arial" w:hAnsi="Arial" w:cs="Arial"/>
          <w:bCs/>
          <w:noProof/>
        </w:rPr>
        <w:t>(programs, events, activities and projects)</w:t>
      </w:r>
      <w:r w:rsidRPr="00535FED">
        <w:rPr>
          <w:noProof/>
        </w:rPr>
        <w:tab/>
      </w:r>
      <w:r w:rsidRPr="00535FED">
        <w:rPr>
          <w:rFonts w:ascii="Arial" w:hAnsi="Arial" w:cs="Arial"/>
          <w:b/>
          <w:noProof/>
        </w:rPr>
        <w:fldChar w:fldCharType="begin"/>
      </w:r>
      <w:r w:rsidRPr="00535FED">
        <w:rPr>
          <w:rFonts w:ascii="Arial" w:hAnsi="Arial" w:cs="Arial"/>
          <w:b/>
          <w:noProof/>
        </w:rPr>
        <w:instrText xml:space="preserve"> PAGEREF _Toc516054648 \h </w:instrText>
      </w:r>
      <w:r w:rsidRPr="00535FED">
        <w:rPr>
          <w:rFonts w:ascii="Arial" w:hAnsi="Arial" w:cs="Arial"/>
          <w:b/>
          <w:noProof/>
        </w:rPr>
      </w:r>
      <w:r w:rsidRPr="00535FED">
        <w:rPr>
          <w:rFonts w:ascii="Arial" w:hAnsi="Arial" w:cs="Arial"/>
          <w:b/>
          <w:noProof/>
        </w:rPr>
        <w:fldChar w:fldCharType="separate"/>
      </w:r>
      <w:r w:rsidR="00B35B3B">
        <w:rPr>
          <w:rFonts w:ascii="Arial" w:hAnsi="Arial" w:cs="Arial"/>
          <w:b/>
          <w:noProof/>
        </w:rPr>
        <w:t>10</w:t>
      </w:r>
      <w:r w:rsidRPr="00535FED">
        <w:rPr>
          <w:rFonts w:ascii="Arial" w:hAnsi="Arial" w:cs="Arial"/>
          <w:b/>
          <w:noProof/>
        </w:rPr>
        <w:fldChar w:fldCharType="end"/>
      </w:r>
    </w:p>
    <w:bookmarkEnd w:id="67"/>
    <w:p w14:paraId="162E907F" w14:textId="5078D5F2" w:rsidR="005C62C5" w:rsidRPr="00535FED" w:rsidRDefault="0083213E" w:rsidP="009303FD">
      <w:pPr>
        <w:pStyle w:val="TOC3"/>
        <w:tabs>
          <w:tab w:val="right" w:leader="dot" w:pos="9645"/>
        </w:tabs>
        <w:spacing w:before="60" w:after="60" w:line="264" w:lineRule="auto"/>
        <w:rPr>
          <w:rFonts w:ascii="Arial" w:hAnsi="Arial" w:cs="Arial"/>
          <w:noProof/>
        </w:rPr>
      </w:pPr>
      <w:r w:rsidRPr="00535FED">
        <w:rPr>
          <w:rFonts w:ascii="Arial" w:hAnsi="Arial" w:cs="Arial"/>
          <w:noProof/>
        </w:rPr>
        <w:t>6</w:t>
      </w:r>
      <w:r w:rsidR="005C62C5" w:rsidRPr="00535FED">
        <w:rPr>
          <w:rFonts w:ascii="Arial" w:hAnsi="Arial" w:cs="Arial"/>
          <w:noProof/>
        </w:rPr>
        <w:t>.3.</w:t>
      </w:r>
      <w:r w:rsidRPr="00535FED">
        <w:rPr>
          <w:rFonts w:ascii="Arial" w:hAnsi="Arial" w:cs="Arial"/>
          <w:noProof/>
        </w:rPr>
        <w:t>3</w:t>
      </w:r>
      <w:r w:rsidR="005C62C5" w:rsidRPr="00535FED">
        <w:rPr>
          <w:rFonts w:ascii="Arial" w:hAnsi="Arial" w:cs="Arial"/>
          <w:noProof/>
        </w:rPr>
        <w:t xml:space="preserve"> Requirements – Community support</w:t>
      </w:r>
      <w:r w:rsidRPr="00535FED">
        <w:rPr>
          <w:rFonts w:ascii="Arial" w:hAnsi="Arial" w:cs="Arial"/>
          <w:noProof/>
        </w:rPr>
        <w:t xml:space="preserve"> (system coordination)</w:t>
      </w:r>
      <w:r w:rsidR="005C62C5" w:rsidRPr="00535FED">
        <w:rPr>
          <w:rFonts w:ascii="Arial" w:hAnsi="Arial" w:cs="Arial"/>
          <w:noProof/>
        </w:rPr>
        <w:tab/>
      </w:r>
      <w:r w:rsidR="005C62C5" w:rsidRPr="00535FED">
        <w:rPr>
          <w:rFonts w:ascii="Arial" w:hAnsi="Arial" w:cs="Arial"/>
          <w:b/>
          <w:noProof/>
        </w:rPr>
        <w:fldChar w:fldCharType="begin"/>
      </w:r>
      <w:r w:rsidR="005C62C5" w:rsidRPr="00535FED">
        <w:rPr>
          <w:rFonts w:ascii="Arial" w:hAnsi="Arial" w:cs="Arial"/>
          <w:b/>
          <w:noProof/>
        </w:rPr>
        <w:instrText xml:space="preserve"> PAGEREF _Toc516054647 \h </w:instrText>
      </w:r>
      <w:r w:rsidR="005C62C5" w:rsidRPr="00535FED">
        <w:rPr>
          <w:rFonts w:ascii="Arial" w:hAnsi="Arial" w:cs="Arial"/>
          <w:b/>
          <w:noProof/>
        </w:rPr>
      </w:r>
      <w:r w:rsidR="005C62C5" w:rsidRPr="00535FED">
        <w:rPr>
          <w:rFonts w:ascii="Arial" w:hAnsi="Arial" w:cs="Arial"/>
          <w:b/>
          <w:noProof/>
        </w:rPr>
        <w:fldChar w:fldCharType="separate"/>
      </w:r>
      <w:r w:rsidR="00B35B3B">
        <w:rPr>
          <w:rFonts w:ascii="Arial" w:hAnsi="Arial" w:cs="Arial"/>
          <w:b/>
          <w:noProof/>
        </w:rPr>
        <w:t>10</w:t>
      </w:r>
      <w:r w:rsidR="005C62C5" w:rsidRPr="00535FED">
        <w:rPr>
          <w:rFonts w:ascii="Arial" w:hAnsi="Arial" w:cs="Arial"/>
          <w:b/>
          <w:noProof/>
        </w:rPr>
        <w:fldChar w:fldCharType="end"/>
      </w:r>
    </w:p>
    <w:p w14:paraId="136A21F2" w14:textId="1929D8DA" w:rsidR="005C62C5" w:rsidRPr="00535FED" w:rsidRDefault="0083213E" w:rsidP="009303FD">
      <w:pPr>
        <w:pStyle w:val="TOC3"/>
        <w:tabs>
          <w:tab w:val="right" w:leader="dot" w:pos="9645"/>
        </w:tabs>
        <w:spacing w:before="60" w:after="60" w:line="264" w:lineRule="auto"/>
        <w:rPr>
          <w:noProof/>
        </w:rPr>
      </w:pPr>
      <w:r w:rsidRPr="00535FED">
        <w:rPr>
          <w:rFonts w:ascii="Arial" w:hAnsi="Arial" w:cs="Arial"/>
          <w:noProof/>
        </w:rPr>
        <w:t>6</w:t>
      </w:r>
      <w:r w:rsidR="005C62C5" w:rsidRPr="00535FED">
        <w:rPr>
          <w:rFonts w:ascii="Arial" w:hAnsi="Arial" w:cs="Arial"/>
          <w:noProof/>
        </w:rPr>
        <w:t>.3.</w:t>
      </w:r>
      <w:r w:rsidRPr="00535FED">
        <w:rPr>
          <w:rFonts w:ascii="Arial" w:hAnsi="Arial" w:cs="Arial"/>
          <w:noProof/>
        </w:rPr>
        <w:t>4</w:t>
      </w:r>
      <w:r w:rsidR="005C62C5" w:rsidRPr="00535FED">
        <w:rPr>
          <w:rFonts w:ascii="Arial" w:hAnsi="Arial" w:cs="Arial"/>
          <w:noProof/>
        </w:rPr>
        <w:t xml:space="preserve"> Considerations – Community support</w:t>
      </w:r>
      <w:r w:rsidRPr="00535FED">
        <w:rPr>
          <w:rFonts w:ascii="Arial" w:hAnsi="Arial" w:cs="Arial"/>
          <w:noProof/>
        </w:rPr>
        <w:t xml:space="preserve"> (system coordination)</w:t>
      </w:r>
      <w:r w:rsidR="005C62C5" w:rsidRPr="00535FED">
        <w:rPr>
          <w:noProof/>
        </w:rPr>
        <w:tab/>
      </w:r>
      <w:r w:rsidR="005C62C5" w:rsidRPr="00535FED">
        <w:rPr>
          <w:rFonts w:ascii="Arial" w:hAnsi="Arial" w:cs="Arial"/>
          <w:b/>
          <w:noProof/>
        </w:rPr>
        <w:fldChar w:fldCharType="begin"/>
      </w:r>
      <w:r w:rsidR="005C62C5" w:rsidRPr="00535FED">
        <w:rPr>
          <w:rFonts w:ascii="Arial" w:hAnsi="Arial" w:cs="Arial"/>
          <w:b/>
          <w:noProof/>
        </w:rPr>
        <w:instrText xml:space="preserve"> PAGEREF _Toc516054648 \h </w:instrText>
      </w:r>
      <w:r w:rsidR="005C62C5" w:rsidRPr="00535FED">
        <w:rPr>
          <w:rFonts w:ascii="Arial" w:hAnsi="Arial" w:cs="Arial"/>
          <w:b/>
          <w:noProof/>
        </w:rPr>
      </w:r>
      <w:r w:rsidR="005C62C5" w:rsidRPr="00535FED">
        <w:rPr>
          <w:rFonts w:ascii="Arial" w:hAnsi="Arial" w:cs="Arial"/>
          <w:b/>
          <w:noProof/>
        </w:rPr>
        <w:fldChar w:fldCharType="separate"/>
      </w:r>
      <w:r w:rsidR="00B35B3B">
        <w:rPr>
          <w:rFonts w:ascii="Arial" w:hAnsi="Arial" w:cs="Arial"/>
          <w:b/>
          <w:noProof/>
        </w:rPr>
        <w:t>10</w:t>
      </w:r>
      <w:r w:rsidR="005C62C5" w:rsidRPr="00535FED">
        <w:rPr>
          <w:rFonts w:ascii="Arial" w:hAnsi="Arial" w:cs="Arial"/>
          <w:b/>
          <w:noProof/>
        </w:rPr>
        <w:fldChar w:fldCharType="end"/>
      </w:r>
    </w:p>
    <w:bookmarkEnd w:id="68"/>
    <w:p w14:paraId="69A4F12A" w14:textId="06C580B1" w:rsidR="005C62C5" w:rsidRPr="00F91F5F" w:rsidRDefault="0083213E" w:rsidP="009303FD">
      <w:pPr>
        <w:pStyle w:val="TOC1"/>
        <w:spacing w:before="60" w:after="60"/>
        <w:rPr>
          <w:rFonts w:ascii="Calibri" w:hAnsi="Calibri" w:cs="Times New Roman"/>
        </w:rPr>
      </w:pPr>
      <w:r>
        <w:t>7</w:t>
      </w:r>
      <w:r w:rsidR="005C62C5">
        <w:t>.  Service modes</w:t>
      </w:r>
      <w:r w:rsidR="005C62C5">
        <w:tab/>
      </w:r>
      <w:r w:rsidR="005C62C5" w:rsidRPr="004906BD">
        <w:fldChar w:fldCharType="begin"/>
      </w:r>
      <w:r w:rsidR="005C62C5" w:rsidRPr="004906BD">
        <w:instrText xml:space="preserve"> PAGEREF _Toc516054649 \h </w:instrText>
      </w:r>
      <w:r w:rsidR="005C62C5" w:rsidRPr="004906BD">
        <w:fldChar w:fldCharType="separate"/>
      </w:r>
      <w:r w:rsidR="00B35B3B">
        <w:t>11</w:t>
      </w:r>
      <w:r w:rsidR="005C62C5" w:rsidRPr="004906BD">
        <w:fldChar w:fldCharType="end"/>
      </w:r>
    </w:p>
    <w:p w14:paraId="77C4D78F" w14:textId="6C57CE9E" w:rsidR="005C62C5" w:rsidRPr="00F91F5F" w:rsidRDefault="0083213E" w:rsidP="009303FD">
      <w:pPr>
        <w:pStyle w:val="TOC1"/>
        <w:spacing w:before="60" w:after="60"/>
        <w:rPr>
          <w:rFonts w:ascii="Calibri" w:hAnsi="Calibri" w:cs="Times New Roman"/>
        </w:rPr>
      </w:pPr>
      <w:r>
        <w:t>8</w:t>
      </w:r>
      <w:r w:rsidR="005C62C5">
        <w:t>.  Deliverables and performance measures</w:t>
      </w:r>
      <w:r w:rsidR="005C62C5">
        <w:tab/>
      </w:r>
      <w:r w:rsidR="005C62C5" w:rsidRPr="004906BD">
        <w:fldChar w:fldCharType="begin"/>
      </w:r>
      <w:r w:rsidR="005C62C5" w:rsidRPr="004906BD">
        <w:instrText xml:space="preserve"> PAGEREF _Toc516054650 \h </w:instrText>
      </w:r>
      <w:r w:rsidR="005C62C5" w:rsidRPr="004906BD">
        <w:fldChar w:fldCharType="separate"/>
      </w:r>
      <w:r w:rsidR="00B35B3B">
        <w:t>11</w:t>
      </w:r>
      <w:r w:rsidR="005C62C5" w:rsidRPr="004906BD">
        <w:fldChar w:fldCharType="end"/>
      </w:r>
    </w:p>
    <w:p w14:paraId="1382B8A9" w14:textId="7BB064C8" w:rsidR="005C62C5" w:rsidRPr="004906BD" w:rsidRDefault="009B70E9" w:rsidP="009303FD">
      <w:pPr>
        <w:pStyle w:val="TOC1"/>
        <w:spacing w:before="60" w:after="60"/>
        <w:rPr>
          <w:rFonts w:ascii="Calibri" w:hAnsi="Calibri" w:cs="Times New Roman"/>
        </w:rPr>
      </w:pPr>
      <w:r>
        <w:t>9</w:t>
      </w:r>
      <w:r w:rsidR="005C62C5">
        <w:t>. Other funding</w:t>
      </w:r>
      <w:r>
        <w:t>,</w:t>
      </w:r>
      <w:r w:rsidR="005C62C5">
        <w:t xml:space="preserve"> supporting documents</w:t>
      </w:r>
      <w:r>
        <w:t xml:space="preserve"> and contact information</w:t>
      </w:r>
      <w:r w:rsidR="005C62C5">
        <w:tab/>
      </w:r>
      <w:r w:rsidR="005C62C5" w:rsidRPr="004906BD">
        <w:fldChar w:fldCharType="begin"/>
      </w:r>
      <w:r w:rsidR="005C62C5" w:rsidRPr="004906BD">
        <w:instrText xml:space="preserve"> PAGEREF _Toc516054656 \h </w:instrText>
      </w:r>
      <w:r w:rsidR="005C62C5" w:rsidRPr="004906BD">
        <w:fldChar w:fldCharType="separate"/>
      </w:r>
      <w:r w:rsidR="00B35B3B">
        <w:t>12</w:t>
      </w:r>
      <w:r w:rsidR="005C62C5" w:rsidRPr="004906BD">
        <w:fldChar w:fldCharType="end"/>
      </w:r>
    </w:p>
    <w:p w14:paraId="078B9C17" w14:textId="4AE44896" w:rsidR="008C1515" w:rsidRPr="004906BD" w:rsidRDefault="0045281D" w:rsidP="008C1515">
      <w:pPr>
        <w:pStyle w:val="TOC1"/>
        <w:spacing w:before="60" w:after="60"/>
        <w:rPr>
          <w:rFonts w:ascii="Calibri" w:hAnsi="Calibri" w:cs="Times New Roman"/>
        </w:rPr>
      </w:pPr>
      <w:r>
        <w:t>10</w:t>
      </w:r>
      <w:r w:rsidR="008C1515">
        <w:t>. REPORT TEMPLATES</w:t>
      </w:r>
      <w:r w:rsidR="008C1515">
        <w:tab/>
      </w:r>
      <w:r w:rsidR="008C1515" w:rsidRPr="004906BD">
        <w:fldChar w:fldCharType="begin"/>
      </w:r>
      <w:r w:rsidR="008C1515" w:rsidRPr="004906BD">
        <w:instrText xml:space="preserve"> PAGEREF _Toc516054656 \h </w:instrText>
      </w:r>
      <w:r w:rsidR="008C1515" w:rsidRPr="004906BD">
        <w:fldChar w:fldCharType="separate"/>
      </w:r>
      <w:r w:rsidR="00B35B3B">
        <w:t>12</w:t>
      </w:r>
      <w:r w:rsidR="008C1515" w:rsidRPr="004906BD">
        <w:fldChar w:fldCharType="end"/>
      </w:r>
    </w:p>
    <w:p w14:paraId="6411DE66" w14:textId="7C5C16EB" w:rsidR="005A70E5" w:rsidRPr="00F91F5F" w:rsidRDefault="00740FC0" w:rsidP="009303FD">
      <w:pPr>
        <w:pStyle w:val="TOC2"/>
        <w:spacing w:before="60" w:after="60" w:line="264" w:lineRule="auto"/>
        <w:rPr>
          <w:sz w:val="22"/>
          <w:szCs w:val="22"/>
        </w:rPr>
      </w:pPr>
      <w:r>
        <w:rPr>
          <w:b w:val="0"/>
          <w:bCs w:val="0"/>
          <w:caps/>
          <w:sz w:val="40"/>
          <w:szCs w:val="40"/>
        </w:rPr>
        <w:fldChar w:fldCharType="end"/>
      </w:r>
      <w:bookmarkStart w:id="69" w:name="_Hlk116473925"/>
      <w:r w:rsidR="005A70E5">
        <w:t>1</w:t>
      </w:r>
      <w:r w:rsidR="009B70E9">
        <w:t>0</w:t>
      </w:r>
      <w:r w:rsidR="005A70E5">
        <w:t xml:space="preserve">.1 </w:t>
      </w:r>
      <w:r w:rsidR="008B351C">
        <w:t>Support and c</w:t>
      </w:r>
      <w:r w:rsidR="005A70E5" w:rsidRPr="005A70E5">
        <w:t xml:space="preserve">ase </w:t>
      </w:r>
      <w:r w:rsidR="005A70E5">
        <w:t>m</w:t>
      </w:r>
      <w:r w:rsidR="005A70E5" w:rsidRPr="005A70E5">
        <w:t xml:space="preserve">anagement </w:t>
      </w:r>
      <w:r w:rsidR="005A70E5">
        <w:t>(T314)</w:t>
      </w:r>
      <w:r w:rsidR="005A70E5">
        <w:tab/>
      </w:r>
      <w:r w:rsidR="008C1515">
        <w:t>1</w:t>
      </w:r>
      <w:r w:rsidR="0045281D">
        <w:t>4</w:t>
      </w:r>
    </w:p>
    <w:p w14:paraId="06DD720C" w14:textId="360BA7F1" w:rsidR="005A70E5" w:rsidRPr="00F91F5F" w:rsidRDefault="005A70E5" w:rsidP="009303FD">
      <w:pPr>
        <w:pStyle w:val="TOC2"/>
        <w:spacing w:before="60" w:after="60" w:line="264" w:lineRule="auto"/>
        <w:rPr>
          <w:sz w:val="22"/>
          <w:szCs w:val="22"/>
        </w:rPr>
      </w:pPr>
      <w:r>
        <w:t>1</w:t>
      </w:r>
      <w:r w:rsidR="009B70E9">
        <w:t>0</w:t>
      </w:r>
      <w:r>
        <w:t xml:space="preserve">.2 </w:t>
      </w:r>
      <w:r w:rsidRPr="005A70E5">
        <w:t>Community support (T317)</w:t>
      </w:r>
      <w:r>
        <w:tab/>
      </w:r>
      <w:r w:rsidR="008C1515">
        <w:t>1</w:t>
      </w:r>
      <w:r w:rsidR="0045281D">
        <w:t>5</w:t>
      </w:r>
    </w:p>
    <w:bookmarkEnd w:id="69"/>
    <w:p w14:paraId="786CF705" w14:textId="63512461" w:rsidR="005A70E5" w:rsidRPr="004906BD" w:rsidRDefault="005A70E5" w:rsidP="009303FD">
      <w:pPr>
        <w:pStyle w:val="TOC3"/>
        <w:tabs>
          <w:tab w:val="right" w:leader="dot" w:pos="9645"/>
        </w:tabs>
        <w:spacing w:before="60" w:after="60" w:line="264" w:lineRule="auto"/>
        <w:rPr>
          <w:rFonts w:ascii="Arial" w:hAnsi="Arial" w:cs="Arial"/>
          <w:noProof/>
          <w:sz w:val="22"/>
          <w:szCs w:val="22"/>
        </w:rPr>
      </w:pPr>
      <w:r>
        <w:rPr>
          <w:rFonts w:ascii="Arial" w:hAnsi="Arial" w:cs="Arial"/>
          <w:noProof/>
        </w:rPr>
        <w:t>1</w:t>
      </w:r>
      <w:r w:rsidR="009B70E9">
        <w:rPr>
          <w:rFonts w:ascii="Arial" w:hAnsi="Arial" w:cs="Arial"/>
          <w:noProof/>
        </w:rPr>
        <w:t>0</w:t>
      </w:r>
      <w:r w:rsidRPr="004906BD">
        <w:rPr>
          <w:rFonts w:ascii="Arial" w:hAnsi="Arial" w:cs="Arial"/>
          <w:noProof/>
        </w:rPr>
        <w:t xml:space="preserve">.2.1 </w:t>
      </w:r>
      <w:r w:rsidRPr="005A70E5">
        <w:rPr>
          <w:rFonts w:ascii="Arial" w:hAnsi="Arial" w:cs="Arial"/>
          <w:bCs/>
          <w:noProof/>
        </w:rPr>
        <w:t>Milestone Report – Programs, Events, Activities and Projects</w:t>
      </w:r>
      <w:r w:rsidRPr="004906BD">
        <w:rPr>
          <w:rFonts w:ascii="Arial" w:hAnsi="Arial" w:cs="Arial"/>
          <w:noProof/>
        </w:rPr>
        <w:tab/>
      </w:r>
      <w:r w:rsidR="008C1515">
        <w:rPr>
          <w:rFonts w:ascii="Arial" w:hAnsi="Arial" w:cs="Arial"/>
          <w:b/>
          <w:noProof/>
        </w:rPr>
        <w:t>1</w:t>
      </w:r>
      <w:r w:rsidR="0045281D">
        <w:rPr>
          <w:rFonts w:ascii="Arial" w:hAnsi="Arial" w:cs="Arial"/>
          <w:b/>
          <w:noProof/>
        </w:rPr>
        <w:t>5</w:t>
      </w:r>
    </w:p>
    <w:p w14:paraId="074D71A8" w14:textId="42E70CF9" w:rsidR="005A70E5" w:rsidRPr="00F91F5F" w:rsidRDefault="005A70E5" w:rsidP="009303FD">
      <w:pPr>
        <w:pStyle w:val="TOC3"/>
        <w:tabs>
          <w:tab w:val="right" w:leader="dot" w:pos="9645"/>
        </w:tabs>
        <w:spacing w:before="60" w:after="60" w:line="264" w:lineRule="auto"/>
        <w:rPr>
          <w:noProof/>
          <w:sz w:val="22"/>
          <w:szCs w:val="22"/>
        </w:rPr>
      </w:pPr>
      <w:r>
        <w:rPr>
          <w:rFonts w:ascii="Arial" w:hAnsi="Arial" w:cs="Arial"/>
          <w:noProof/>
        </w:rPr>
        <w:t>1</w:t>
      </w:r>
      <w:r w:rsidR="009B70E9">
        <w:rPr>
          <w:rFonts w:ascii="Arial" w:hAnsi="Arial" w:cs="Arial"/>
          <w:noProof/>
        </w:rPr>
        <w:t>0</w:t>
      </w:r>
      <w:r w:rsidRPr="004906BD">
        <w:rPr>
          <w:rFonts w:ascii="Arial" w:hAnsi="Arial" w:cs="Arial"/>
          <w:noProof/>
        </w:rPr>
        <w:t xml:space="preserve">.2.2 </w:t>
      </w:r>
      <w:r w:rsidRPr="005A70E5">
        <w:rPr>
          <w:rFonts w:ascii="Arial" w:hAnsi="Arial" w:cs="Arial"/>
          <w:noProof/>
        </w:rPr>
        <w:t>Milestone Report – System Coordination</w:t>
      </w:r>
      <w:r>
        <w:rPr>
          <w:noProof/>
        </w:rPr>
        <w:tab/>
      </w:r>
      <w:r w:rsidR="008C1515">
        <w:rPr>
          <w:rFonts w:ascii="Arial" w:hAnsi="Arial" w:cs="Arial"/>
          <w:b/>
          <w:noProof/>
        </w:rPr>
        <w:t>1</w:t>
      </w:r>
      <w:r w:rsidR="0045281D">
        <w:rPr>
          <w:rFonts w:ascii="Arial" w:hAnsi="Arial" w:cs="Arial"/>
          <w:b/>
          <w:noProof/>
        </w:rPr>
        <w:t>6</w:t>
      </w:r>
    </w:p>
    <w:p w14:paraId="5921850C" w14:textId="7CF1AD5E" w:rsidR="003D17AB" w:rsidRPr="00F91F5F" w:rsidRDefault="005A70E5" w:rsidP="009303FD">
      <w:pPr>
        <w:pStyle w:val="TOC1"/>
        <w:spacing w:before="60" w:after="60"/>
        <w:rPr>
          <w:rFonts w:ascii="Calibri" w:hAnsi="Calibri" w:cs="Times New Roman"/>
        </w:rPr>
      </w:pPr>
      <w:r>
        <w:t>1</w:t>
      </w:r>
      <w:r w:rsidR="009B70E9">
        <w:t>1</w:t>
      </w:r>
      <w:r>
        <w:t xml:space="preserve">. </w:t>
      </w:r>
      <w:r w:rsidR="003D17AB">
        <w:t xml:space="preserve">COUNTING RULES – EXAMPLES </w:t>
      </w:r>
      <w:r w:rsidR="003D17AB">
        <w:tab/>
      </w:r>
      <w:r w:rsidR="008C1515">
        <w:t>1</w:t>
      </w:r>
      <w:r w:rsidR="0045281D">
        <w:t>7</w:t>
      </w:r>
    </w:p>
    <w:p w14:paraId="4788A1F5" w14:textId="03972A2C" w:rsidR="00535FED" w:rsidRPr="00535FED" w:rsidRDefault="00535FED" w:rsidP="009303FD">
      <w:pPr>
        <w:pStyle w:val="TOC2"/>
        <w:spacing w:before="60" w:after="60" w:line="264" w:lineRule="auto"/>
      </w:pPr>
      <w:r w:rsidRPr="00535FED">
        <w:t>1</w:t>
      </w:r>
      <w:r w:rsidR="00E73528">
        <w:t>1</w:t>
      </w:r>
      <w:r w:rsidRPr="00535FED">
        <w:t xml:space="preserve">.1 Youth </w:t>
      </w:r>
      <w:r w:rsidR="0045281D">
        <w:t>s</w:t>
      </w:r>
      <w:r w:rsidRPr="00535FED">
        <w:t xml:space="preserve">upport </w:t>
      </w:r>
      <w:r w:rsidR="0045281D">
        <w:t>s</w:t>
      </w:r>
      <w:r w:rsidRPr="00535FED">
        <w:t>ervice</w:t>
      </w:r>
      <w:r w:rsidR="0045281D">
        <w:t>s</w:t>
      </w:r>
      <w:r w:rsidRPr="00535FED">
        <w:tab/>
      </w:r>
      <w:r w:rsidR="008C1515">
        <w:t>1</w:t>
      </w:r>
      <w:r w:rsidR="0045281D">
        <w:t>7</w:t>
      </w:r>
    </w:p>
    <w:p w14:paraId="5FBA1988" w14:textId="12841C0E" w:rsidR="00535FED" w:rsidRPr="00535FED" w:rsidRDefault="00535FED" w:rsidP="009303FD">
      <w:pPr>
        <w:pStyle w:val="TOC2"/>
        <w:spacing w:before="60" w:after="60" w:line="264" w:lineRule="auto"/>
      </w:pPr>
      <w:r w:rsidRPr="00535FED">
        <w:t>1</w:t>
      </w:r>
      <w:r w:rsidR="00E73528">
        <w:t>1</w:t>
      </w:r>
      <w:r w:rsidRPr="00535FED">
        <w:t>.2 Youth Housing and Reintegration Service (YHARS)</w:t>
      </w:r>
      <w:r w:rsidRPr="00535FED">
        <w:tab/>
      </w:r>
      <w:r w:rsidR="0045281D">
        <w:t>21</w:t>
      </w:r>
    </w:p>
    <w:p w14:paraId="27840E1F" w14:textId="524E8735" w:rsidR="00535FED" w:rsidRPr="00F22BA2" w:rsidRDefault="00535FED" w:rsidP="00B401AA">
      <w:pPr>
        <w:rPr>
          <w:lang w:eastAsia="en-US"/>
        </w:rPr>
        <w:sectPr w:rsidR="00535FED" w:rsidRPr="00F22BA2" w:rsidSect="00B540D4">
          <w:pgSz w:w="11906" w:h="16838" w:code="9"/>
          <w:pgMar w:top="1202" w:right="992" w:bottom="1276" w:left="1259" w:header="680" w:footer="680" w:gutter="0"/>
          <w:cols w:space="708"/>
          <w:docGrid w:linePitch="360"/>
        </w:sectPr>
      </w:pPr>
    </w:p>
    <w:p w14:paraId="101E7BEE" w14:textId="77777777" w:rsidR="005D62F5" w:rsidRPr="00B55C0B" w:rsidRDefault="00B401AA" w:rsidP="001838C5">
      <w:pPr>
        <w:pStyle w:val="SPEC1"/>
        <w:spacing w:before="120" w:after="120" w:line="264" w:lineRule="auto"/>
      </w:pPr>
      <w:bookmarkStart w:id="70" w:name="_Toc421798573"/>
      <w:bookmarkStart w:id="71" w:name="_Toc421799862"/>
      <w:bookmarkStart w:id="72" w:name="_Toc508701770"/>
      <w:bookmarkStart w:id="73" w:name="_Toc516054614"/>
      <w:r>
        <w:lastRenderedPageBreak/>
        <w:t>1</w:t>
      </w:r>
      <w:r w:rsidR="00890DF3">
        <w:t>.</w:t>
      </w:r>
      <w:r>
        <w:t xml:space="preserve">  </w:t>
      </w:r>
      <w:r w:rsidR="005D62F5" w:rsidRPr="00B55C0B">
        <w:t>Introduction</w:t>
      </w:r>
      <w:bookmarkEnd w:id="70"/>
      <w:bookmarkEnd w:id="71"/>
      <w:bookmarkEnd w:id="72"/>
      <w:bookmarkEnd w:id="73"/>
    </w:p>
    <w:p w14:paraId="15E6D507" w14:textId="2FCE62BB" w:rsidR="00B74FF2" w:rsidRDefault="00D77BE6" w:rsidP="001838C5">
      <w:pPr>
        <w:spacing w:line="264" w:lineRule="auto"/>
      </w:pPr>
      <w:r w:rsidRPr="00F22BA2">
        <w:t>Young People</w:t>
      </w:r>
      <w:r w:rsidR="00B74FF2" w:rsidRPr="00F22BA2">
        <w:t xml:space="preserve"> </w:t>
      </w:r>
      <w:r w:rsidR="0016696A">
        <w:t>is</w:t>
      </w:r>
      <w:r w:rsidR="00B74FF2" w:rsidRPr="00F22BA2">
        <w:t xml:space="preserve"> designated as a </w:t>
      </w:r>
      <w:r w:rsidR="00D31D42" w:rsidRPr="00D31D42">
        <w:t>Funding Area</w:t>
      </w:r>
      <w:r w:rsidR="00D31D42" w:rsidRPr="00D31D42" w:rsidDel="00D31D42">
        <w:t xml:space="preserve"> </w:t>
      </w:r>
      <w:r w:rsidR="00B3753D" w:rsidRPr="00F22BA2">
        <w:t xml:space="preserve">for </w:t>
      </w:r>
      <w:r w:rsidRPr="00F22BA2">
        <w:t xml:space="preserve">services </w:t>
      </w:r>
      <w:r w:rsidR="0016696A">
        <w:t>supporting</w:t>
      </w:r>
      <w:r w:rsidR="0016696A" w:rsidRPr="00F22BA2">
        <w:t xml:space="preserve"> </w:t>
      </w:r>
      <w:r w:rsidRPr="00F22BA2">
        <w:t>young Queenslanders</w:t>
      </w:r>
      <w:r w:rsidR="00AB5F46">
        <w:t xml:space="preserve">, including </w:t>
      </w:r>
      <w:r w:rsidR="00A36A35">
        <w:t>those</w:t>
      </w:r>
      <w:r w:rsidR="00AB5F46">
        <w:t xml:space="preserve"> </w:t>
      </w:r>
      <w:r w:rsidR="0016696A">
        <w:t>who have been subject to the Child Safety and Youth Justice statutory systems</w:t>
      </w:r>
      <w:r w:rsidR="007D33E6">
        <w:t>.</w:t>
      </w:r>
    </w:p>
    <w:p w14:paraId="1BAE6EE9" w14:textId="77777777" w:rsidR="001838C5" w:rsidRPr="00F22BA2" w:rsidRDefault="001838C5" w:rsidP="001838C5">
      <w:pPr>
        <w:spacing w:line="264" w:lineRule="auto"/>
      </w:pPr>
    </w:p>
    <w:p w14:paraId="13DA7E64" w14:textId="45E3C59A" w:rsidR="00D31D42" w:rsidRDefault="00D31D42" w:rsidP="001838C5">
      <w:pPr>
        <w:spacing w:line="264" w:lineRule="auto"/>
      </w:pPr>
      <w:r>
        <w:t xml:space="preserve">For Suppliers funded under the Young People Funding Area, the </w:t>
      </w:r>
      <w:r w:rsidRPr="00D31D42">
        <w:t>Young People Investment Specification (the Specification) form</w:t>
      </w:r>
      <w:r>
        <w:t>s</w:t>
      </w:r>
      <w:r w:rsidRPr="00D31D42">
        <w:t xml:space="preserve"> part of a hierarchy of funding documents </w:t>
      </w:r>
      <w:r>
        <w:t xml:space="preserve">under a contract with the Department of Children, Youth </w:t>
      </w:r>
      <w:proofErr w:type="gramStart"/>
      <w:r>
        <w:t>Justice</w:t>
      </w:r>
      <w:proofErr w:type="gramEnd"/>
      <w:r>
        <w:t xml:space="preserve"> and Multicultural Affairs</w:t>
      </w:r>
      <w:r w:rsidRPr="00D31D42">
        <w:t xml:space="preserve"> </w:t>
      </w:r>
      <w:r>
        <w:t>(</w:t>
      </w:r>
      <w:r w:rsidRPr="00D31D42">
        <w:t>the department</w:t>
      </w:r>
      <w:r>
        <w:t>).</w:t>
      </w:r>
      <w:r w:rsidR="00A67C4E">
        <w:t xml:space="preserve"> </w:t>
      </w:r>
      <w:r w:rsidR="00123E7D">
        <w:t xml:space="preserve"> </w:t>
      </w:r>
      <w:r w:rsidRPr="00D31D42">
        <w:t>In the event of any inconsistency between the Specification and the funding agreement, the funding agreement will prevail.</w:t>
      </w:r>
    </w:p>
    <w:p w14:paraId="4E207977" w14:textId="77777777" w:rsidR="001838C5" w:rsidRDefault="001838C5" w:rsidP="001838C5">
      <w:pPr>
        <w:spacing w:line="264" w:lineRule="auto"/>
      </w:pPr>
    </w:p>
    <w:p w14:paraId="0909ED29" w14:textId="66C064CE" w:rsidR="00D31D42" w:rsidRDefault="00D31D42" w:rsidP="001838C5">
      <w:pPr>
        <w:spacing w:line="264" w:lineRule="auto"/>
      </w:pPr>
      <w:r>
        <w:t>This</w:t>
      </w:r>
      <w:r w:rsidRPr="00D31D42">
        <w:t xml:space="preserve"> Specification describes the intent of th</w:t>
      </w:r>
      <w:r>
        <w:t>e</w:t>
      </w:r>
      <w:r w:rsidRPr="00D31D42">
        <w:t xml:space="preserve"> </w:t>
      </w:r>
      <w:r w:rsidR="00146364">
        <w:t>funding</w:t>
      </w:r>
      <w:r w:rsidRPr="00D31D42">
        <w:t xml:space="preserve">, the Service Users and </w:t>
      </w:r>
      <w:r>
        <w:t xml:space="preserve">their </w:t>
      </w:r>
      <w:r w:rsidRPr="00D31D42">
        <w:t xml:space="preserve">identified </w:t>
      </w:r>
      <w:r>
        <w:t>needs and concerns</w:t>
      </w:r>
      <w:r w:rsidRPr="00D31D42">
        <w:t xml:space="preserve">, and the service delivery requirements for </w:t>
      </w:r>
      <w:r>
        <w:t xml:space="preserve">funded </w:t>
      </w:r>
      <w:r w:rsidRPr="00D31D42">
        <w:t xml:space="preserve">services. </w:t>
      </w:r>
      <w:r w:rsidR="00123E7D">
        <w:t xml:space="preserve"> </w:t>
      </w:r>
      <w:r w:rsidRPr="00D31D42">
        <w:t>Section </w:t>
      </w:r>
      <w:r w:rsidR="008C0916">
        <w:t>9</w:t>
      </w:r>
      <w:r>
        <w:t xml:space="preserve"> of this Specification provides</w:t>
      </w:r>
      <w:r w:rsidRPr="00D31D42">
        <w:t xml:space="preserve"> links to other related </w:t>
      </w:r>
      <w:r>
        <w:t>information</w:t>
      </w:r>
      <w:r w:rsidRPr="00D31D42">
        <w:t>.</w:t>
      </w:r>
    </w:p>
    <w:p w14:paraId="1A621F75" w14:textId="77777777" w:rsidR="001838C5" w:rsidRPr="00D31D42" w:rsidRDefault="001838C5" w:rsidP="001838C5">
      <w:pPr>
        <w:spacing w:line="264" w:lineRule="auto"/>
      </w:pPr>
    </w:p>
    <w:p w14:paraId="786859ED" w14:textId="415D7F21" w:rsidR="00E731B3" w:rsidRDefault="005C3351" w:rsidP="001838C5">
      <w:pPr>
        <w:spacing w:line="264" w:lineRule="auto"/>
      </w:pPr>
      <w:r w:rsidRPr="00F22BA2">
        <w:t xml:space="preserve">The department’s procurement documentation underpins the business relationship between the department and the </w:t>
      </w:r>
      <w:r w:rsidR="004B0CDA" w:rsidRPr="00F22BA2">
        <w:t>Supplier</w:t>
      </w:r>
      <w:r w:rsidRPr="00F22BA2">
        <w:t xml:space="preserve">. </w:t>
      </w:r>
      <w:r w:rsidR="00123E7D">
        <w:t xml:space="preserve"> </w:t>
      </w:r>
      <w:r w:rsidRPr="00F22BA2">
        <w:t xml:space="preserve">The </w:t>
      </w:r>
      <w:r w:rsidR="00FA0CAF">
        <w:t>S</w:t>
      </w:r>
      <w:r w:rsidR="00FA0CAF" w:rsidRPr="00F22BA2">
        <w:t xml:space="preserve">pecification </w:t>
      </w:r>
      <w:r w:rsidRPr="00F22BA2">
        <w:t xml:space="preserve">should therefore be read in conjunction with </w:t>
      </w:r>
      <w:r w:rsidR="004B0CDA" w:rsidRPr="00F22BA2">
        <w:t>any</w:t>
      </w:r>
      <w:r w:rsidRPr="00F22BA2">
        <w:t xml:space="preserve"> </w:t>
      </w:r>
      <w:r w:rsidR="00366052">
        <w:t xml:space="preserve">relevant </w:t>
      </w:r>
      <w:r w:rsidRPr="00F22BA2">
        <w:t>procurement document</w:t>
      </w:r>
      <w:r w:rsidR="004B0CDA" w:rsidRPr="00F22BA2">
        <w:t>s</w:t>
      </w:r>
      <w:r w:rsidRPr="00F22BA2">
        <w:t xml:space="preserve">, </w:t>
      </w:r>
      <w:r w:rsidR="004B0CDA" w:rsidRPr="00F22BA2">
        <w:t xml:space="preserve">as well as </w:t>
      </w:r>
      <w:r w:rsidR="00D31D42">
        <w:t xml:space="preserve">service </w:t>
      </w:r>
      <w:r w:rsidR="004B0CDA" w:rsidRPr="00F22BA2">
        <w:t>contract</w:t>
      </w:r>
      <w:r w:rsidR="00366052">
        <w:t>s</w:t>
      </w:r>
      <w:r w:rsidR="004B0CDA" w:rsidRPr="00F22BA2">
        <w:t xml:space="preserve"> or</w:t>
      </w:r>
      <w:r w:rsidRPr="00F22BA2">
        <w:t xml:space="preserve"> agreement</w:t>
      </w:r>
      <w:r w:rsidR="004B0CDA" w:rsidRPr="00F22BA2">
        <w:t>s</w:t>
      </w:r>
      <w:r w:rsidRPr="00F22BA2">
        <w:t>.</w:t>
      </w:r>
    </w:p>
    <w:p w14:paraId="3AE2F499" w14:textId="77777777" w:rsidR="001838C5" w:rsidRDefault="001838C5" w:rsidP="001838C5">
      <w:pPr>
        <w:spacing w:line="264" w:lineRule="auto"/>
      </w:pPr>
    </w:p>
    <w:p w14:paraId="50149B0C" w14:textId="7806673C" w:rsidR="00982FF4" w:rsidRPr="00F22BA2" w:rsidRDefault="00B401AA" w:rsidP="001838C5">
      <w:pPr>
        <w:pStyle w:val="SPEC1"/>
        <w:spacing w:before="120" w:after="120" w:line="264" w:lineRule="auto"/>
        <w:jc w:val="both"/>
      </w:pPr>
      <w:bookmarkStart w:id="74" w:name="_Toc421798575"/>
      <w:bookmarkStart w:id="75" w:name="_Toc421799864"/>
      <w:bookmarkStart w:id="76" w:name="_Toc508701772"/>
      <w:bookmarkStart w:id="77" w:name="_Toc516054616"/>
      <w:r>
        <w:t>2</w:t>
      </w:r>
      <w:r w:rsidR="00505E48">
        <w:t>.</w:t>
      </w:r>
      <w:r>
        <w:t xml:space="preserve">  </w:t>
      </w:r>
      <w:r w:rsidR="00146364">
        <w:t>Funding</w:t>
      </w:r>
      <w:r w:rsidR="00146364" w:rsidRPr="00B55C0B">
        <w:t xml:space="preserve"> </w:t>
      </w:r>
      <w:r w:rsidR="00EB0530" w:rsidRPr="00B55C0B">
        <w:t>intent</w:t>
      </w:r>
      <w:bookmarkEnd w:id="74"/>
      <w:bookmarkEnd w:id="75"/>
      <w:bookmarkEnd w:id="76"/>
      <w:bookmarkEnd w:id="77"/>
    </w:p>
    <w:p w14:paraId="6F006F02" w14:textId="41A859C6" w:rsidR="00DD4914" w:rsidRDefault="00DD4914" w:rsidP="001838C5">
      <w:pPr>
        <w:keepNext/>
        <w:keepLines/>
        <w:spacing w:line="264" w:lineRule="auto"/>
      </w:pPr>
      <w:r w:rsidRPr="00F22BA2">
        <w:t>Most young people are supported by a range of protective factors (families, friends, communities, school</w:t>
      </w:r>
      <w:r w:rsidR="00A67F44">
        <w:t>, etc.</w:t>
      </w:r>
      <w:r w:rsidRPr="00F22BA2">
        <w:t xml:space="preserve">) which </w:t>
      </w:r>
      <w:r>
        <w:t>support</w:t>
      </w:r>
      <w:r w:rsidRPr="00F22BA2">
        <w:t xml:space="preserve"> them to </w:t>
      </w:r>
      <w:r>
        <w:t xml:space="preserve">contribute to their communities, </w:t>
      </w:r>
      <w:r w:rsidRPr="00F22BA2">
        <w:t>lead</w:t>
      </w:r>
      <w:r>
        <w:t>ing</w:t>
      </w:r>
      <w:r w:rsidRPr="00F22BA2">
        <w:t xml:space="preserve"> healthy and active lives. </w:t>
      </w:r>
      <w:r w:rsidR="00123E7D">
        <w:t xml:space="preserve"> </w:t>
      </w:r>
      <w:proofErr w:type="gramStart"/>
      <w:r w:rsidRPr="00F22BA2">
        <w:t>However</w:t>
      </w:r>
      <w:proofErr w:type="gramEnd"/>
      <w:r w:rsidRPr="00F22BA2">
        <w:t xml:space="preserve"> some young people experience exposure to family conflict</w:t>
      </w:r>
      <w:r w:rsidR="005C717B">
        <w:t>, mental ill health</w:t>
      </w:r>
      <w:r w:rsidRPr="00F22BA2">
        <w:t xml:space="preserve"> and parental stress, abuse or neglect, poverty, housing stress, unemployment, disengagement from school</w:t>
      </w:r>
      <w:r w:rsidR="00CB7E85">
        <w:t xml:space="preserve"> / education</w:t>
      </w:r>
      <w:r w:rsidRPr="00F22BA2">
        <w:t>, pregnancy and drug and alcohol misuse</w:t>
      </w:r>
      <w:r w:rsidR="00A67F44">
        <w:t xml:space="preserve">. </w:t>
      </w:r>
      <w:r w:rsidR="00123E7D">
        <w:t xml:space="preserve"> </w:t>
      </w:r>
      <w:r w:rsidR="00A67F44">
        <w:t>These</w:t>
      </w:r>
      <w:r w:rsidR="00A67C4E">
        <w:t xml:space="preserve"> experiences</w:t>
      </w:r>
      <w:r w:rsidRPr="00F22BA2">
        <w:t xml:space="preserve"> increase </w:t>
      </w:r>
      <w:r w:rsidR="00A67F44">
        <w:t xml:space="preserve">their </w:t>
      </w:r>
      <w:r w:rsidRPr="00F22BA2">
        <w:t>risk of harm and negative life outcomes.</w:t>
      </w:r>
      <w:r>
        <w:t xml:space="preserve"> </w:t>
      </w:r>
    </w:p>
    <w:p w14:paraId="576A66D7" w14:textId="77777777" w:rsidR="001838C5" w:rsidRPr="00F22BA2" w:rsidRDefault="001838C5" w:rsidP="001838C5">
      <w:pPr>
        <w:keepNext/>
        <w:keepLines/>
        <w:spacing w:line="264" w:lineRule="auto"/>
      </w:pPr>
    </w:p>
    <w:p w14:paraId="48EB5178" w14:textId="27F83407" w:rsidR="008C6E8E" w:rsidRDefault="00DD4914" w:rsidP="001838C5">
      <w:pPr>
        <w:spacing w:line="264" w:lineRule="auto"/>
      </w:pPr>
      <w:r w:rsidRPr="00F22BA2">
        <w:t xml:space="preserve">While many external factors influence these issues, the </w:t>
      </w:r>
      <w:r w:rsidR="00A67C4E">
        <w:t>Queensland Government</w:t>
      </w:r>
      <w:r w:rsidRPr="00F22BA2">
        <w:t xml:space="preserve"> invest</w:t>
      </w:r>
      <w:r w:rsidR="00A67C4E">
        <w:t>s</w:t>
      </w:r>
      <w:r w:rsidRPr="00F22BA2">
        <w:t xml:space="preserve"> in services</w:t>
      </w:r>
      <w:r w:rsidR="00A67C4E">
        <w:t xml:space="preserve"> and </w:t>
      </w:r>
      <w:r w:rsidR="00A67C4E" w:rsidRPr="00A67C4E">
        <w:t>programs</w:t>
      </w:r>
      <w:r w:rsidRPr="00A67C4E">
        <w:t xml:space="preserve"> which work effectively with young people, connecting them to the information and support services they need to participate positively and proactively in their communities.</w:t>
      </w:r>
      <w:r w:rsidR="00123E7D">
        <w:t xml:space="preserve"> </w:t>
      </w:r>
      <w:r w:rsidRPr="00A67C4E">
        <w:t xml:space="preserve"> </w:t>
      </w:r>
    </w:p>
    <w:p w14:paraId="77F0B5EC" w14:textId="77777777" w:rsidR="001838C5" w:rsidRDefault="001838C5" w:rsidP="001838C5">
      <w:pPr>
        <w:spacing w:line="264" w:lineRule="auto"/>
      </w:pPr>
    </w:p>
    <w:p w14:paraId="5E5F2EF4" w14:textId="3AB8A192" w:rsidR="003F7C1C" w:rsidRPr="00E805B3" w:rsidRDefault="003F7C1C" w:rsidP="001838C5">
      <w:pPr>
        <w:spacing w:line="264" w:lineRule="auto"/>
      </w:pPr>
      <w:r w:rsidRPr="00A67C4E">
        <w:t xml:space="preserve">Investment under Young People </w:t>
      </w:r>
      <w:r w:rsidR="00980E31" w:rsidRPr="00A67C4E">
        <w:t xml:space="preserve">Funding Area </w:t>
      </w:r>
      <w:r w:rsidRPr="00A67C4E">
        <w:t xml:space="preserve">contributes to </w:t>
      </w:r>
      <w:r w:rsidR="00A0152E" w:rsidRPr="00A67C4E">
        <w:t>outcomes</w:t>
      </w:r>
      <w:r w:rsidR="005822CB">
        <w:t xml:space="preserve"> </w:t>
      </w:r>
      <w:r w:rsidR="005822CB" w:rsidRPr="00E805B3">
        <w:t>where vulnerable young people</w:t>
      </w:r>
      <w:r w:rsidR="008C6E8E">
        <w:t xml:space="preserve"> are supported to</w:t>
      </w:r>
      <w:r w:rsidRPr="00E805B3">
        <w:t>:</w:t>
      </w:r>
    </w:p>
    <w:p w14:paraId="768793A1" w14:textId="45323DEC" w:rsidR="004C5C34" w:rsidRDefault="008C6E8E" w:rsidP="0042530D">
      <w:pPr>
        <w:numPr>
          <w:ilvl w:val="0"/>
          <w:numId w:val="7"/>
        </w:numPr>
        <w:spacing w:before="60" w:line="264" w:lineRule="auto"/>
        <w:ind w:left="714" w:hanging="357"/>
        <w:rPr>
          <w:rFonts w:cs="Arial"/>
        </w:rPr>
      </w:pPr>
      <w:r>
        <w:rPr>
          <w:rFonts w:cs="Arial"/>
        </w:rPr>
        <w:t>be</w:t>
      </w:r>
      <w:r w:rsidR="005822CB" w:rsidRPr="00E805B3">
        <w:rPr>
          <w:rFonts w:cs="Arial"/>
        </w:rPr>
        <w:t xml:space="preserve"> </w:t>
      </w:r>
      <w:r w:rsidR="0021682A" w:rsidRPr="00E805B3">
        <w:rPr>
          <w:rFonts w:cs="Arial"/>
        </w:rPr>
        <w:t xml:space="preserve">safe </w:t>
      </w:r>
    </w:p>
    <w:p w14:paraId="29A10A1A" w14:textId="1919062C" w:rsidR="005822CB" w:rsidRPr="00E805B3" w:rsidRDefault="008C6E8E" w:rsidP="0042530D">
      <w:pPr>
        <w:numPr>
          <w:ilvl w:val="0"/>
          <w:numId w:val="7"/>
        </w:numPr>
        <w:spacing w:before="60" w:line="264" w:lineRule="auto"/>
        <w:ind w:left="714" w:hanging="357"/>
        <w:rPr>
          <w:rFonts w:cs="Arial"/>
        </w:rPr>
      </w:pPr>
      <w:r>
        <w:rPr>
          <w:rFonts w:cs="Arial"/>
        </w:rPr>
        <w:t>live</w:t>
      </w:r>
      <w:r w:rsidR="00E805B3" w:rsidRPr="00E805B3">
        <w:rPr>
          <w:rFonts w:cs="Arial"/>
        </w:rPr>
        <w:t xml:space="preserve"> in secure </w:t>
      </w:r>
      <w:r w:rsidR="0021682A" w:rsidRPr="00E805B3">
        <w:rPr>
          <w:rFonts w:cs="Arial"/>
        </w:rPr>
        <w:t>accommodat</w:t>
      </w:r>
      <w:r w:rsidR="00E805B3" w:rsidRPr="00E805B3">
        <w:rPr>
          <w:rFonts w:cs="Arial"/>
        </w:rPr>
        <w:t>ion</w:t>
      </w:r>
    </w:p>
    <w:p w14:paraId="7D634F81" w14:textId="77777777" w:rsidR="004C5C34" w:rsidRPr="0021682A" w:rsidRDefault="004C5C34" w:rsidP="0042530D">
      <w:pPr>
        <w:numPr>
          <w:ilvl w:val="0"/>
          <w:numId w:val="7"/>
        </w:numPr>
        <w:spacing w:before="60" w:line="264" w:lineRule="auto"/>
        <w:rPr>
          <w:rFonts w:cs="Arial"/>
        </w:rPr>
      </w:pPr>
      <w:r w:rsidRPr="0021682A">
        <w:rPr>
          <w:rFonts w:cs="Arial"/>
        </w:rPr>
        <w:t>participate in education, training and /</w:t>
      </w:r>
      <w:r w:rsidRPr="00E805B3">
        <w:rPr>
          <w:rFonts w:cs="Arial"/>
        </w:rPr>
        <w:t xml:space="preserve"> </w:t>
      </w:r>
      <w:r w:rsidRPr="0021682A">
        <w:rPr>
          <w:rFonts w:cs="Arial"/>
        </w:rPr>
        <w:t>or employment</w:t>
      </w:r>
      <w:r w:rsidRPr="00E805B3">
        <w:rPr>
          <w:rFonts w:cs="Arial"/>
        </w:rPr>
        <w:t xml:space="preserve"> and other activities within their community</w:t>
      </w:r>
    </w:p>
    <w:p w14:paraId="3D9DDC13" w14:textId="4C28D203" w:rsidR="000B1EAE" w:rsidRPr="00E805B3" w:rsidRDefault="000B1EAE" w:rsidP="0042530D">
      <w:pPr>
        <w:numPr>
          <w:ilvl w:val="0"/>
          <w:numId w:val="7"/>
        </w:numPr>
        <w:spacing w:before="60" w:line="264" w:lineRule="auto"/>
        <w:ind w:left="714" w:hanging="357"/>
        <w:rPr>
          <w:rFonts w:cs="Arial"/>
        </w:rPr>
      </w:pPr>
      <w:r w:rsidRPr="00E805B3">
        <w:rPr>
          <w:rFonts w:cs="Arial"/>
        </w:rPr>
        <w:t>connect</w:t>
      </w:r>
      <w:r w:rsidR="008C6E8E">
        <w:rPr>
          <w:rFonts w:cs="Arial"/>
        </w:rPr>
        <w:t xml:space="preserve"> with</w:t>
      </w:r>
      <w:r w:rsidRPr="00E805B3">
        <w:rPr>
          <w:rFonts w:cs="Arial"/>
        </w:rPr>
        <w:t xml:space="preserve"> their family, </w:t>
      </w:r>
      <w:proofErr w:type="gramStart"/>
      <w:r w:rsidRPr="00E805B3">
        <w:rPr>
          <w:rFonts w:cs="Arial"/>
        </w:rPr>
        <w:t>culture</w:t>
      </w:r>
      <w:proofErr w:type="gramEnd"/>
      <w:r w:rsidRPr="00E805B3">
        <w:rPr>
          <w:rFonts w:cs="Arial"/>
        </w:rPr>
        <w:t xml:space="preserve"> and community</w:t>
      </w:r>
    </w:p>
    <w:p w14:paraId="7538943C" w14:textId="7EEEC485" w:rsidR="00E805B3" w:rsidRPr="008C6E8E" w:rsidRDefault="00E805B3" w:rsidP="0042530D">
      <w:pPr>
        <w:numPr>
          <w:ilvl w:val="0"/>
          <w:numId w:val="6"/>
        </w:numPr>
        <w:spacing w:before="60" w:line="264" w:lineRule="auto"/>
        <w:ind w:left="714" w:hanging="357"/>
      </w:pPr>
      <w:r w:rsidRPr="008C6E8E">
        <w:t xml:space="preserve">divert </w:t>
      </w:r>
      <w:r w:rsidR="002965C0">
        <w:t>a</w:t>
      </w:r>
      <w:r w:rsidRPr="008C6E8E">
        <w:t>way from criminal justice systems</w:t>
      </w:r>
    </w:p>
    <w:p w14:paraId="6FABF456" w14:textId="39CA7F92" w:rsidR="005822CB" w:rsidRPr="008C6E8E" w:rsidRDefault="005822CB" w:rsidP="0042530D">
      <w:pPr>
        <w:numPr>
          <w:ilvl w:val="0"/>
          <w:numId w:val="6"/>
        </w:numPr>
        <w:spacing w:before="60" w:line="264" w:lineRule="auto"/>
        <w:ind w:left="714" w:hanging="357"/>
      </w:pPr>
      <w:r w:rsidRPr="008C6E8E">
        <w:t>access opportunities that increase their ability to attain personal and aspirational goals</w:t>
      </w:r>
    </w:p>
    <w:p w14:paraId="1754E1BF" w14:textId="77777777" w:rsidR="001838C5" w:rsidRDefault="001838C5" w:rsidP="001838C5">
      <w:pPr>
        <w:spacing w:line="264" w:lineRule="auto"/>
      </w:pPr>
    </w:p>
    <w:p w14:paraId="3C60F6CA" w14:textId="7C546404" w:rsidR="0086250F" w:rsidRPr="00123E7D" w:rsidRDefault="009F3ABA" w:rsidP="001838C5">
      <w:pPr>
        <w:spacing w:line="264" w:lineRule="auto"/>
      </w:pPr>
      <w:r>
        <w:t>Suppliers</w:t>
      </w:r>
      <w:r w:rsidR="008C6E8E" w:rsidRPr="008C6E8E">
        <w:t xml:space="preserve"> are expected to engage young people</w:t>
      </w:r>
      <w:r w:rsidR="00DC20CD">
        <w:t xml:space="preserve"> experiencing vulnerability</w:t>
      </w:r>
      <w:r w:rsidR="008C6E8E">
        <w:t>, considering how they</w:t>
      </w:r>
      <w:r w:rsidR="008C6E8E" w:rsidRPr="008C6E8E">
        <w:t xml:space="preserve"> learn about and access support services in their community</w:t>
      </w:r>
      <w:r w:rsidR="008C6E8E">
        <w:t>,</w:t>
      </w:r>
      <w:r w:rsidR="008C6E8E" w:rsidRPr="008C6E8E">
        <w:t xml:space="preserve"> and undertake safety and needs assessments </w:t>
      </w:r>
      <w:r w:rsidR="0086250F" w:rsidRPr="008C6E8E">
        <w:t>to help them achieve positive life outcomes.</w:t>
      </w:r>
      <w:r w:rsidR="00123E7D" w:rsidRPr="008C6E8E">
        <w:t xml:space="preserve"> </w:t>
      </w:r>
      <w:r w:rsidR="0086250F" w:rsidRPr="008C6E8E">
        <w:t xml:space="preserve"> </w:t>
      </w:r>
      <w:r w:rsidR="008C6E8E" w:rsidRPr="008C6E8E">
        <w:t>W</w:t>
      </w:r>
      <w:r w:rsidR="0086250F" w:rsidRPr="008C6E8E">
        <w:t xml:space="preserve">here required, </w:t>
      </w:r>
      <w:r w:rsidR="008C6E8E" w:rsidRPr="008C6E8E">
        <w:t>these services</w:t>
      </w:r>
      <w:r w:rsidR="0086250F" w:rsidRPr="008C6E8E">
        <w:t xml:space="preserve"> will facilitate the delivery of effective</w:t>
      </w:r>
      <w:r w:rsidR="00DC20CD">
        <w:t>, culturally safe</w:t>
      </w:r>
      <w:r w:rsidR="0086250F" w:rsidRPr="008C6E8E">
        <w:t xml:space="preserve"> and coordinated support to young people, including those with multiple and</w:t>
      </w:r>
      <w:r w:rsidR="00123E7D" w:rsidRPr="008C6E8E">
        <w:t xml:space="preserve"> </w:t>
      </w:r>
      <w:r w:rsidR="0086250F" w:rsidRPr="008C6E8E">
        <w:t>/</w:t>
      </w:r>
      <w:r w:rsidR="00123E7D" w:rsidRPr="008C6E8E">
        <w:t xml:space="preserve"> </w:t>
      </w:r>
      <w:r w:rsidR="0086250F" w:rsidRPr="008C6E8E">
        <w:t>or complex needs.</w:t>
      </w:r>
    </w:p>
    <w:p w14:paraId="021029B0" w14:textId="77777777" w:rsidR="001838C5" w:rsidRPr="001838C5" w:rsidRDefault="001838C5" w:rsidP="001838C5">
      <w:pPr>
        <w:pStyle w:val="SPEC1"/>
        <w:jc w:val="both"/>
        <w:rPr>
          <w:sz w:val="20"/>
          <w:szCs w:val="12"/>
        </w:rPr>
      </w:pPr>
    </w:p>
    <w:p w14:paraId="25DAA8FF" w14:textId="609CFFDA" w:rsidR="00155A54" w:rsidRPr="00E805B3" w:rsidRDefault="00155A54" w:rsidP="001838C5">
      <w:pPr>
        <w:pStyle w:val="SPEC1"/>
        <w:spacing w:before="120" w:after="120" w:line="264" w:lineRule="auto"/>
        <w:jc w:val="both"/>
      </w:pPr>
      <w:r>
        <w:t>3</w:t>
      </w:r>
      <w:r w:rsidRPr="00E805B3">
        <w:t xml:space="preserve">.  Service delivery overview </w:t>
      </w:r>
    </w:p>
    <w:p w14:paraId="5091FC27" w14:textId="29A68FF7" w:rsidR="00155A54" w:rsidRDefault="00155A54" w:rsidP="001838C5">
      <w:pPr>
        <w:spacing w:line="264" w:lineRule="auto"/>
        <w:jc w:val="both"/>
      </w:pPr>
      <w:r w:rsidRPr="00F22BA2">
        <w:t xml:space="preserve">The </w:t>
      </w:r>
      <w:r w:rsidR="009F3ABA">
        <w:t xml:space="preserve">following </w:t>
      </w:r>
      <w:r w:rsidRPr="00F22BA2">
        <w:t xml:space="preserve">table provides an overview of the </w:t>
      </w:r>
      <w:r>
        <w:t>S</w:t>
      </w:r>
      <w:r w:rsidRPr="00F22BA2">
        <w:t xml:space="preserve">ervice </w:t>
      </w:r>
      <w:r>
        <w:t>U</w:t>
      </w:r>
      <w:r w:rsidRPr="00F22BA2">
        <w:t xml:space="preserve">sers and service delivery types within the Young People </w:t>
      </w:r>
      <w:r>
        <w:t>Funding A</w:t>
      </w:r>
      <w:r w:rsidRPr="00F22BA2">
        <w:t xml:space="preserve">rea. </w:t>
      </w:r>
    </w:p>
    <w:p w14:paraId="22BDBE47" w14:textId="64396908" w:rsidR="001838C5" w:rsidRDefault="001838C5">
      <w:r>
        <w:br w:type="page"/>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977"/>
        <w:gridCol w:w="3271"/>
      </w:tblGrid>
      <w:tr w:rsidR="00331C71" w:rsidRPr="003A7F4F" w14:paraId="12069957" w14:textId="594FF343" w:rsidTr="0083213E">
        <w:tc>
          <w:tcPr>
            <w:tcW w:w="3397" w:type="dxa"/>
            <w:shd w:val="clear" w:color="auto" w:fill="D9D9D9"/>
            <w:vAlign w:val="center"/>
          </w:tcPr>
          <w:p w14:paraId="0B8342E1" w14:textId="77777777" w:rsidR="00331C71" w:rsidRPr="003A7F4F" w:rsidRDefault="00331C71" w:rsidP="00ED0B77">
            <w:pPr>
              <w:spacing w:before="40" w:after="40" w:line="264" w:lineRule="auto"/>
              <w:rPr>
                <w:b/>
              </w:rPr>
            </w:pPr>
            <w:r w:rsidRPr="003A7F4F">
              <w:rPr>
                <w:b/>
              </w:rPr>
              <w:lastRenderedPageBreak/>
              <w:t>Service Users</w:t>
            </w:r>
          </w:p>
        </w:tc>
        <w:tc>
          <w:tcPr>
            <w:tcW w:w="2977" w:type="dxa"/>
            <w:shd w:val="clear" w:color="auto" w:fill="D9D9D9"/>
            <w:vAlign w:val="center"/>
          </w:tcPr>
          <w:p w14:paraId="45A97BFE" w14:textId="6ECA240E" w:rsidR="00331C71" w:rsidRPr="003A7F4F" w:rsidRDefault="00331C71" w:rsidP="00ED0B77">
            <w:pPr>
              <w:spacing w:before="40" w:after="40" w:line="264" w:lineRule="auto"/>
              <w:rPr>
                <w:b/>
              </w:rPr>
            </w:pPr>
            <w:r w:rsidRPr="003A7F4F">
              <w:rPr>
                <w:b/>
              </w:rPr>
              <w:t xml:space="preserve">Service </w:t>
            </w:r>
            <w:r>
              <w:rPr>
                <w:b/>
              </w:rPr>
              <w:t>T</w:t>
            </w:r>
            <w:r w:rsidRPr="003A7F4F">
              <w:rPr>
                <w:b/>
              </w:rPr>
              <w:t>ypes</w:t>
            </w:r>
            <w:r>
              <w:rPr>
                <w:b/>
              </w:rPr>
              <w:t xml:space="preserve"> </w:t>
            </w:r>
          </w:p>
        </w:tc>
        <w:tc>
          <w:tcPr>
            <w:tcW w:w="3271" w:type="dxa"/>
            <w:shd w:val="clear" w:color="auto" w:fill="D9D9D9"/>
            <w:vAlign w:val="center"/>
          </w:tcPr>
          <w:p w14:paraId="6B3431EC" w14:textId="2479EC81" w:rsidR="00331C71" w:rsidRPr="003A7F4F" w:rsidRDefault="00331C71" w:rsidP="00ED0B77">
            <w:pPr>
              <w:spacing w:before="40" w:after="40" w:line="264" w:lineRule="auto"/>
              <w:rPr>
                <w:b/>
              </w:rPr>
            </w:pPr>
            <w:r w:rsidRPr="00331C71">
              <w:rPr>
                <w:b/>
              </w:rPr>
              <w:t>Output</w:t>
            </w:r>
            <w:r w:rsidR="00123E7D">
              <w:rPr>
                <w:b/>
              </w:rPr>
              <w:t>s</w:t>
            </w:r>
          </w:p>
        </w:tc>
      </w:tr>
      <w:tr w:rsidR="00331C71" w:rsidRPr="00F22BA2" w14:paraId="70B8D1C6" w14:textId="4C6C09BE" w:rsidTr="0083213E">
        <w:trPr>
          <w:trHeight w:val="651"/>
        </w:trPr>
        <w:tc>
          <w:tcPr>
            <w:tcW w:w="3397" w:type="dxa"/>
            <w:vMerge w:val="restart"/>
            <w:shd w:val="clear" w:color="auto" w:fill="FFFFFF"/>
            <w:vAlign w:val="center"/>
          </w:tcPr>
          <w:p w14:paraId="22355ED2" w14:textId="2656F7BA" w:rsidR="00331C71" w:rsidRPr="00C25A07" w:rsidRDefault="00331C71" w:rsidP="00ED0B77">
            <w:pPr>
              <w:spacing w:before="40" w:after="40" w:line="264" w:lineRule="auto"/>
            </w:pPr>
            <w:r w:rsidRPr="00C25A07">
              <w:t xml:space="preserve">Young people aged </w:t>
            </w:r>
            <w:r w:rsidR="009B70E9" w:rsidRPr="00C25A07">
              <w:t>12</w:t>
            </w:r>
            <w:r w:rsidRPr="00C25A07">
              <w:t xml:space="preserve">–21 years who are at risk of disconnection </w:t>
            </w:r>
            <w:r w:rsidRPr="00C25A07">
              <w:rPr>
                <w:b/>
              </w:rPr>
              <w:t>(U2107)</w:t>
            </w:r>
          </w:p>
        </w:tc>
        <w:tc>
          <w:tcPr>
            <w:tcW w:w="2977" w:type="dxa"/>
            <w:shd w:val="clear" w:color="auto" w:fill="FFFFFF"/>
            <w:vAlign w:val="center"/>
          </w:tcPr>
          <w:p w14:paraId="74836B50" w14:textId="77777777" w:rsidR="00331C71" w:rsidRPr="00F22BA2" w:rsidRDefault="00331C71" w:rsidP="00ED0B77">
            <w:pPr>
              <w:spacing w:before="40" w:after="40" w:line="264" w:lineRule="auto"/>
            </w:pPr>
            <w:r w:rsidRPr="00F22BA2">
              <w:t xml:space="preserve">Access – Information, </w:t>
            </w:r>
            <w:proofErr w:type="gramStart"/>
            <w:r w:rsidRPr="00F22BA2">
              <w:t>advice</w:t>
            </w:r>
            <w:proofErr w:type="gramEnd"/>
            <w:r w:rsidRPr="00F22BA2">
              <w:t xml:space="preserve"> and referral (T103)</w:t>
            </w:r>
          </w:p>
        </w:tc>
        <w:tc>
          <w:tcPr>
            <w:tcW w:w="3271" w:type="dxa"/>
            <w:shd w:val="clear" w:color="auto" w:fill="FFFFFF"/>
            <w:vAlign w:val="center"/>
          </w:tcPr>
          <w:p w14:paraId="67BEA426" w14:textId="08E461CB" w:rsidR="00331C71" w:rsidRPr="00F22BA2" w:rsidRDefault="00331C71" w:rsidP="00ED0B77">
            <w:pPr>
              <w:spacing w:before="40" w:after="40" w:line="264" w:lineRule="auto"/>
            </w:pPr>
            <w:r>
              <w:t>A01.1.06 Information, Advice, individual advocacy, engagement and/or referral</w:t>
            </w:r>
          </w:p>
        </w:tc>
      </w:tr>
      <w:tr w:rsidR="00331C71" w:rsidRPr="00F22BA2" w14:paraId="52781660" w14:textId="17AC35C0" w:rsidTr="0083213E">
        <w:trPr>
          <w:trHeight w:val="615"/>
        </w:trPr>
        <w:tc>
          <w:tcPr>
            <w:tcW w:w="3397" w:type="dxa"/>
            <w:vMerge/>
            <w:shd w:val="clear" w:color="auto" w:fill="FFFFFF"/>
            <w:vAlign w:val="center"/>
          </w:tcPr>
          <w:p w14:paraId="7D54808D" w14:textId="77777777" w:rsidR="00331C71" w:rsidRPr="00C25A07" w:rsidRDefault="00331C71" w:rsidP="00ED0B77">
            <w:pPr>
              <w:spacing w:before="40" w:after="40" w:line="264" w:lineRule="auto"/>
              <w:jc w:val="both"/>
            </w:pPr>
          </w:p>
        </w:tc>
        <w:tc>
          <w:tcPr>
            <w:tcW w:w="2977" w:type="dxa"/>
            <w:shd w:val="clear" w:color="auto" w:fill="FFFFFF"/>
            <w:vAlign w:val="center"/>
          </w:tcPr>
          <w:p w14:paraId="2DD4A985" w14:textId="77777777" w:rsidR="00331C71" w:rsidRPr="00F22BA2" w:rsidRDefault="00331C71" w:rsidP="00ED0B77">
            <w:pPr>
              <w:spacing w:before="40" w:after="40" w:line="264" w:lineRule="auto"/>
            </w:pPr>
            <w:bookmarkStart w:id="78" w:name="_Hlk103932159"/>
            <w:r w:rsidRPr="00F22BA2">
              <w:t>Support – Support and case management (T314)</w:t>
            </w:r>
            <w:bookmarkEnd w:id="78"/>
          </w:p>
        </w:tc>
        <w:tc>
          <w:tcPr>
            <w:tcW w:w="3271" w:type="dxa"/>
            <w:shd w:val="clear" w:color="auto" w:fill="FFFFFF"/>
            <w:vAlign w:val="center"/>
          </w:tcPr>
          <w:p w14:paraId="4496C876" w14:textId="513ED9FF" w:rsidR="00331C71" w:rsidRPr="00F22BA2" w:rsidRDefault="00331C71" w:rsidP="00ED0B77">
            <w:pPr>
              <w:spacing w:before="40" w:after="40" w:line="264" w:lineRule="auto"/>
            </w:pPr>
            <w:r>
              <w:t>A0.1.02 Case management</w:t>
            </w:r>
          </w:p>
        </w:tc>
      </w:tr>
      <w:tr w:rsidR="00331C71" w:rsidRPr="00F22BA2" w14:paraId="03261FBF" w14:textId="67953C2B" w:rsidTr="0083213E">
        <w:trPr>
          <w:trHeight w:val="579"/>
        </w:trPr>
        <w:tc>
          <w:tcPr>
            <w:tcW w:w="3397" w:type="dxa"/>
            <w:vMerge/>
            <w:shd w:val="clear" w:color="auto" w:fill="auto"/>
            <w:vAlign w:val="center"/>
          </w:tcPr>
          <w:p w14:paraId="63FF5084" w14:textId="77777777" w:rsidR="00331C71" w:rsidRPr="00C25A07" w:rsidRDefault="00331C71" w:rsidP="00ED0B77">
            <w:pPr>
              <w:spacing w:before="40" w:after="40" w:line="264" w:lineRule="auto"/>
            </w:pPr>
          </w:p>
        </w:tc>
        <w:tc>
          <w:tcPr>
            <w:tcW w:w="2977" w:type="dxa"/>
            <w:shd w:val="clear" w:color="auto" w:fill="auto"/>
            <w:vAlign w:val="center"/>
          </w:tcPr>
          <w:p w14:paraId="54C0CA84" w14:textId="77777777" w:rsidR="00331C71" w:rsidRPr="00F22BA2" w:rsidRDefault="00331C71" w:rsidP="00ED0B77">
            <w:pPr>
              <w:spacing w:before="40" w:after="40" w:line="264" w:lineRule="auto"/>
            </w:pPr>
            <w:r w:rsidRPr="00B54A1A">
              <w:t>Support services – Community support (T317)</w:t>
            </w:r>
          </w:p>
        </w:tc>
        <w:tc>
          <w:tcPr>
            <w:tcW w:w="3271" w:type="dxa"/>
            <w:vAlign w:val="center"/>
          </w:tcPr>
          <w:p w14:paraId="63322DA3" w14:textId="07AABF86" w:rsidR="00331C71" w:rsidRPr="00B54A1A" w:rsidRDefault="00331C71" w:rsidP="00ED0B77">
            <w:pPr>
              <w:spacing w:before="40" w:after="40" w:line="264" w:lineRule="auto"/>
            </w:pPr>
            <w:r>
              <w:t xml:space="preserve">A07.2.02 Community / community </w:t>
            </w:r>
            <w:proofErr w:type="gramStart"/>
            <w:r>
              <w:t>centre based</w:t>
            </w:r>
            <w:proofErr w:type="gramEnd"/>
            <w:r>
              <w:t xml:space="preserve"> development, coordination and support</w:t>
            </w:r>
          </w:p>
        </w:tc>
      </w:tr>
      <w:tr w:rsidR="00331C71" w:rsidRPr="00F22BA2" w14:paraId="0B63D934" w14:textId="170DB543" w:rsidTr="0083213E">
        <w:trPr>
          <w:trHeight w:val="567"/>
        </w:trPr>
        <w:tc>
          <w:tcPr>
            <w:tcW w:w="3397" w:type="dxa"/>
            <w:shd w:val="clear" w:color="auto" w:fill="auto"/>
            <w:vAlign w:val="center"/>
          </w:tcPr>
          <w:p w14:paraId="689C842D" w14:textId="584E1470" w:rsidR="00331C71" w:rsidRPr="00C25A07" w:rsidRDefault="00331C71" w:rsidP="00ED0B77">
            <w:pPr>
              <w:spacing w:before="40" w:after="40" w:line="264" w:lineRule="auto"/>
            </w:pPr>
            <w:r w:rsidRPr="00C25A07">
              <w:t>Young people aged 12–2</w:t>
            </w:r>
            <w:r w:rsidR="00C25A07">
              <w:t>1</w:t>
            </w:r>
            <w:r w:rsidRPr="00C25A07">
              <w:t xml:space="preserve"> years who are at risk of homelessness, or who are homeless </w:t>
            </w:r>
            <w:r w:rsidRPr="00C25A07">
              <w:rPr>
                <w:b/>
              </w:rPr>
              <w:t>(U2347)</w:t>
            </w:r>
          </w:p>
        </w:tc>
        <w:tc>
          <w:tcPr>
            <w:tcW w:w="2977" w:type="dxa"/>
            <w:shd w:val="clear" w:color="auto" w:fill="auto"/>
            <w:vAlign w:val="center"/>
          </w:tcPr>
          <w:p w14:paraId="5787AF7B" w14:textId="77777777" w:rsidR="00331C71" w:rsidRPr="00F22BA2" w:rsidRDefault="00331C71" w:rsidP="00ED0B77">
            <w:pPr>
              <w:spacing w:before="40" w:after="40" w:line="264" w:lineRule="auto"/>
            </w:pPr>
            <w:r w:rsidRPr="00F22BA2">
              <w:t xml:space="preserve">Support – Support and </w:t>
            </w:r>
            <w:r>
              <w:t>c</w:t>
            </w:r>
            <w:r w:rsidRPr="00F22BA2">
              <w:t>ase management (T314)</w:t>
            </w:r>
          </w:p>
        </w:tc>
        <w:tc>
          <w:tcPr>
            <w:tcW w:w="3271" w:type="dxa"/>
            <w:vAlign w:val="center"/>
          </w:tcPr>
          <w:p w14:paraId="03EF862A" w14:textId="19D8CA92" w:rsidR="00331C71" w:rsidRPr="00F22BA2" w:rsidRDefault="00331C71" w:rsidP="00ED0B77">
            <w:pPr>
              <w:spacing w:before="40" w:after="40" w:line="264" w:lineRule="auto"/>
            </w:pPr>
            <w:r w:rsidRPr="00331C71">
              <w:t>A0.1.02 Case management</w:t>
            </w:r>
          </w:p>
        </w:tc>
      </w:tr>
    </w:tbl>
    <w:p w14:paraId="230DCAE3" w14:textId="77777777" w:rsidR="001838C5" w:rsidRPr="001838C5" w:rsidRDefault="001838C5" w:rsidP="001838C5">
      <w:pPr>
        <w:pStyle w:val="SPEC2"/>
        <w:spacing w:line="264" w:lineRule="auto"/>
        <w:rPr>
          <w:b w:val="0"/>
          <w:bCs/>
          <w:sz w:val="20"/>
          <w:szCs w:val="14"/>
        </w:rPr>
      </w:pPr>
    </w:p>
    <w:p w14:paraId="1090595D" w14:textId="34790DA9" w:rsidR="00155A54" w:rsidRPr="001838C5" w:rsidRDefault="00155A54" w:rsidP="001838C5">
      <w:pPr>
        <w:pStyle w:val="SPEC2"/>
        <w:spacing w:before="120" w:after="120" w:line="264" w:lineRule="auto"/>
        <w:rPr>
          <w:sz w:val="24"/>
          <w:szCs w:val="18"/>
        </w:rPr>
      </w:pPr>
      <w:r w:rsidRPr="001838C5">
        <w:rPr>
          <w:sz w:val="24"/>
          <w:szCs w:val="18"/>
        </w:rPr>
        <w:t>3.1 Description of service types</w:t>
      </w:r>
    </w:p>
    <w:p w14:paraId="0CC1047A" w14:textId="70B39A58" w:rsidR="00155A54" w:rsidRDefault="00155A54" w:rsidP="001838C5">
      <w:pPr>
        <w:spacing w:line="264" w:lineRule="auto"/>
      </w:pPr>
      <w:r w:rsidRPr="00931E51">
        <w:rPr>
          <w:b/>
          <w:bCs/>
        </w:rPr>
        <w:t xml:space="preserve">Access – Information, </w:t>
      </w:r>
      <w:proofErr w:type="gramStart"/>
      <w:r w:rsidRPr="00931E51">
        <w:rPr>
          <w:b/>
          <w:bCs/>
        </w:rPr>
        <w:t>advice</w:t>
      </w:r>
      <w:proofErr w:type="gramEnd"/>
      <w:r w:rsidRPr="00931E51">
        <w:rPr>
          <w:b/>
          <w:bCs/>
        </w:rPr>
        <w:t xml:space="preserve"> and referral (T103)</w:t>
      </w:r>
      <w:r w:rsidRPr="00931E51">
        <w:t xml:space="preserve"> – assistance to individuals and</w:t>
      </w:r>
      <w:r w:rsidR="009F3ABA">
        <w:t xml:space="preserve"> their</w:t>
      </w:r>
      <w:r w:rsidRPr="00931E51">
        <w:t xml:space="preserve"> families to access the range of supports which may be available, enabling young people to make informed decisions.</w:t>
      </w:r>
    </w:p>
    <w:p w14:paraId="22B873D6" w14:textId="77777777" w:rsidR="001838C5" w:rsidRPr="00931E51" w:rsidRDefault="001838C5" w:rsidP="001838C5">
      <w:pPr>
        <w:spacing w:line="264" w:lineRule="auto"/>
      </w:pPr>
    </w:p>
    <w:p w14:paraId="57360531" w14:textId="288CD8DC" w:rsidR="00CB7E85" w:rsidRDefault="00155A54" w:rsidP="001838C5">
      <w:pPr>
        <w:spacing w:line="264" w:lineRule="auto"/>
        <w:rPr>
          <w:bCs/>
          <w:lang w:val="en"/>
        </w:rPr>
      </w:pPr>
      <w:r w:rsidRPr="00931E51">
        <w:rPr>
          <w:b/>
          <w:bCs/>
        </w:rPr>
        <w:t>Support – Support and case management (T314)</w:t>
      </w:r>
      <w:r w:rsidRPr="00931E51">
        <w:t xml:space="preserve"> – </w:t>
      </w:r>
      <w:bookmarkStart w:id="79" w:name="_Hlk116646158"/>
      <w:r w:rsidRPr="00931E51">
        <w:rPr>
          <w:bCs/>
          <w:lang w:val="en"/>
        </w:rPr>
        <w:t xml:space="preserve">support to </w:t>
      </w:r>
      <w:r>
        <w:rPr>
          <w:bCs/>
          <w:lang w:val="en"/>
        </w:rPr>
        <w:t>individuals</w:t>
      </w:r>
      <w:r w:rsidRPr="00931E51">
        <w:rPr>
          <w:bCs/>
          <w:lang w:val="en"/>
        </w:rPr>
        <w:t xml:space="preserve">, including practical </w:t>
      </w:r>
      <w:r w:rsidRPr="00D23E62">
        <w:rPr>
          <w:bCs/>
          <w:lang w:val="en"/>
        </w:rPr>
        <w:t xml:space="preserve">assistance, </w:t>
      </w:r>
      <w:r w:rsidR="00B66EA7">
        <w:rPr>
          <w:bCs/>
          <w:lang w:val="en"/>
        </w:rPr>
        <w:t>and</w:t>
      </w:r>
      <w:r w:rsidRPr="00D23E62">
        <w:rPr>
          <w:bCs/>
          <w:lang w:val="en"/>
        </w:rPr>
        <w:t xml:space="preserve"> case management of a collaborative response supported by other agencies to meet the needs of young people.</w:t>
      </w:r>
      <w:r w:rsidR="0075459F">
        <w:rPr>
          <w:bCs/>
          <w:lang w:val="en"/>
        </w:rPr>
        <w:t xml:space="preserve">  </w:t>
      </w:r>
    </w:p>
    <w:p w14:paraId="27C4E909" w14:textId="77777777" w:rsidR="001838C5" w:rsidRDefault="001838C5" w:rsidP="001838C5">
      <w:pPr>
        <w:spacing w:line="264" w:lineRule="auto"/>
        <w:rPr>
          <w:bCs/>
          <w:lang w:val="en"/>
        </w:rPr>
      </w:pPr>
    </w:p>
    <w:p w14:paraId="77884FDB" w14:textId="56227617" w:rsidR="00CB7E85" w:rsidRPr="00C25A07" w:rsidRDefault="00936527" w:rsidP="001838C5">
      <w:pPr>
        <w:spacing w:line="264" w:lineRule="auto"/>
        <w:rPr>
          <w:bCs/>
        </w:rPr>
      </w:pPr>
      <w:r>
        <w:rPr>
          <w:bCs/>
          <w:lang w:val="en"/>
        </w:rPr>
        <w:t xml:space="preserve">Some </w:t>
      </w:r>
      <w:r w:rsidR="00CB7E85">
        <w:rPr>
          <w:bCs/>
          <w:lang w:val="en"/>
        </w:rPr>
        <w:t xml:space="preserve">youth support </w:t>
      </w:r>
      <w:r>
        <w:rPr>
          <w:bCs/>
          <w:lang w:val="en"/>
        </w:rPr>
        <w:t xml:space="preserve">services, </w:t>
      </w:r>
      <w:r w:rsidR="00CB7E85" w:rsidRPr="00CB7E85">
        <w:rPr>
          <w:bCs/>
        </w:rPr>
        <w:t xml:space="preserve">Youth </w:t>
      </w:r>
      <w:r w:rsidR="00CB7E85" w:rsidRPr="00C25A07">
        <w:rPr>
          <w:bCs/>
        </w:rPr>
        <w:t xml:space="preserve">Housing and Reintegration Services (YHARS), are funded to specifically work with young people </w:t>
      </w:r>
      <w:r w:rsidR="0031120A" w:rsidRPr="00C25A07">
        <w:t>aged 12–2</w:t>
      </w:r>
      <w:r w:rsidR="00C25A07" w:rsidRPr="00C25A07">
        <w:t>1</w:t>
      </w:r>
      <w:r w:rsidR="0031120A" w:rsidRPr="00C25A07">
        <w:t xml:space="preserve"> years </w:t>
      </w:r>
      <w:r w:rsidR="00CB7E85" w:rsidRPr="00C25A07">
        <w:rPr>
          <w:bCs/>
        </w:rPr>
        <w:t xml:space="preserve">who are homeless or at risk of homelessness, including those who are couch surfing or living in unstable </w:t>
      </w:r>
      <w:r w:rsidR="00B66EA7">
        <w:rPr>
          <w:bCs/>
        </w:rPr>
        <w:t xml:space="preserve">or temporary </w:t>
      </w:r>
      <w:r w:rsidR="00CB7E85" w:rsidRPr="00C25A07">
        <w:rPr>
          <w:bCs/>
        </w:rPr>
        <w:t>housing arrangements.</w:t>
      </w:r>
    </w:p>
    <w:bookmarkEnd w:id="79"/>
    <w:p w14:paraId="78BC7AC0" w14:textId="77777777" w:rsidR="001838C5" w:rsidRPr="00C25A07" w:rsidRDefault="001838C5" w:rsidP="001838C5">
      <w:pPr>
        <w:spacing w:line="264" w:lineRule="auto"/>
        <w:rPr>
          <w:bCs/>
        </w:rPr>
      </w:pPr>
    </w:p>
    <w:p w14:paraId="50647B37" w14:textId="77777777" w:rsidR="009F3ABA" w:rsidRDefault="00155A54" w:rsidP="001838C5">
      <w:pPr>
        <w:spacing w:line="264" w:lineRule="auto"/>
      </w:pPr>
      <w:r w:rsidRPr="00D23E62">
        <w:rPr>
          <w:b/>
          <w:bCs/>
        </w:rPr>
        <w:t>Support services – Community support (T317)</w:t>
      </w:r>
      <w:r w:rsidRPr="00D23E62">
        <w:t xml:space="preserve"> – providing </w:t>
      </w:r>
      <w:r w:rsidRPr="00D23E62">
        <w:rPr>
          <w:bCs/>
          <w:lang w:val="en"/>
        </w:rPr>
        <w:t xml:space="preserve">opportunities for young people to participate in events, </w:t>
      </w:r>
      <w:proofErr w:type="gramStart"/>
      <w:r w:rsidRPr="00D23E62">
        <w:rPr>
          <w:bCs/>
          <w:lang w:val="en"/>
        </w:rPr>
        <w:t>activities</w:t>
      </w:r>
      <w:proofErr w:type="gramEnd"/>
      <w:r w:rsidRPr="00D23E62">
        <w:rPr>
          <w:bCs/>
          <w:lang w:val="en"/>
        </w:rPr>
        <w:t xml:space="preserve"> and projects to develop their skills, connection to </w:t>
      </w:r>
      <w:r w:rsidRPr="00D23E62">
        <w:rPr>
          <w:bCs/>
          <w:lang w:val="en-GB"/>
        </w:rPr>
        <w:t xml:space="preserve">support networks and </w:t>
      </w:r>
      <w:r w:rsidRPr="00D23E62">
        <w:t>participation in their community.</w:t>
      </w:r>
      <w:r>
        <w:t xml:space="preserve">  </w:t>
      </w:r>
    </w:p>
    <w:p w14:paraId="24C5658B" w14:textId="77777777" w:rsidR="009F3ABA" w:rsidRDefault="009F3ABA" w:rsidP="001838C5">
      <w:pPr>
        <w:spacing w:line="264" w:lineRule="auto"/>
      </w:pPr>
    </w:p>
    <w:p w14:paraId="10735CA9" w14:textId="39D7BEF4" w:rsidR="00155A54" w:rsidRDefault="00155A54" w:rsidP="001838C5">
      <w:pPr>
        <w:spacing w:line="264" w:lineRule="auto"/>
        <w:rPr>
          <w:bCs/>
          <w:lang w:val="en"/>
        </w:rPr>
      </w:pPr>
      <w:r>
        <w:t xml:space="preserve">In some locations, services are also tasked with </w:t>
      </w:r>
      <w:r w:rsidRPr="00D23E62">
        <w:rPr>
          <w:bCs/>
          <w:lang w:val="en-GB"/>
        </w:rPr>
        <w:t xml:space="preserve">leadership </w:t>
      </w:r>
      <w:r w:rsidR="00E540CA">
        <w:rPr>
          <w:bCs/>
          <w:lang w:val="en-GB"/>
        </w:rPr>
        <w:t xml:space="preserve">and coordination </w:t>
      </w:r>
      <w:r w:rsidRPr="00D23E62">
        <w:rPr>
          <w:bCs/>
          <w:lang w:val="en-GB"/>
        </w:rPr>
        <w:t>of the local network of services working with young people</w:t>
      </w:r>
      <w:r>
        <w:rPr>
          <w:bCs/>
          <w:lang w:val="en-GB"/>
        </w:rPr>
        <w:t xml:space="preserve"> and </w:t>
      </w:r>
      <w:r w:rsidRPr="00D23E62">
        <w:rPr>
          <w:bCs/>
          <w:lang w:val="en"/>
        </w:rPr>
        <w:t xml:space="preserve">development </w:t>
      </w:r>
      <w:r>
        <w:rPr>
          <w:bCs/>
          <w:lang w:val="en"/>
        </w:rPr>
        <w:t xml:space="preserve">of </w:t>
      </w:r>
      <w:r w:rsidRPr="00D23E62">
        <w:rPr>
          <w:bCs/>
          <w:lang w:val="en"/>
        </w:rPr>
        <w:t xml:space="preserve">coordinated service delivery approaches that facilitate a local system response to support the needs of </w:t>
      </w:r>
      <w:r>
        <w:rPr>
          <w:bCs/>
          <w:lang w:val="en"/>
        </w:rPr>
        <w:t>the target group</w:t>
      </w:r>
      <w:r w:rsidRPr="00D23E62">
        <w:rPr>
          <w:bCs/>
          <w:lang w:val="en"/>
        </w:rPr>
        <w:t>.</w:t>
      </w:r>
    </w:p>
    <w:p w14:paraId="586A8C64" w14:textId="77777777" w:rsidR="00ED0B77" w:rsidRDefault="00ED0B77" w:rsidP="001838C5">
      <w:pPr>
        <w:spacing w:line="264" w:lineRule="auto"/>
        <w:rPr>
          <w:bCs/>
          <w:lang w:val="en"/>
        </w:rPr>
      </w:pPr>
    </w:p>
    <w:p w14:paraId="52B76D11" w14:textId="77777777" w:rsidR="002D2330" w:rsidRPr="00B55C0B" w:rsidRDefault="002D2330" w:rsidP="00ED0B77">
      <w:pPr>
        <w:pStyle w:val="SPEC1"/>
        <w:keepNext/>
        <w:keepLines/>
        <w:spacing w:before="120" w:after="120" w:line="264" w:lineRule="auto"/>
      </w:pPr>
      <w:r>
        <w:t xml:space="preserve">4.  </w:t>
      </w:r>
      <w:r w:rsidRPr="00B55C0B">
        <w:t>Service delivery requirements for all services</w:t>
      </w:r>
    </w:p>
    <w:p w14:paraId="61E0112F" w14:textId="77777777" w:rsidR="002D2330" w:rsidRPr="001838C5" w:rsidRDefault="002D2330" w:rsidP="00ED0B77">
      <w:pPr>
        <w:pStyle w:val="SPEC2"/>
        <w:keepNext/>
        <w:keepLines/>
        <w:spacing w:before="120" w:after="120" w:line="264" w:lineRule="auto"/>
        <w:rPr>
          <w:sz w:val="24"/>
          <w:szCs w:val="18"/>
        </w:rPr>
      </w:pPr>
      <w:r w:rsidRPr="001838C5">
        <w:rPr>
          <w:sz w:val="24"/>
          <w:szCs w:val="18"/>
        </w:rPr>
        <w:t>4.1 General information for all services</w:t>
      </w:r>
    </w:p>
    <w:p w14:paraId="5BA79990" w14:textId="15BDF004" w:rsidR="002D2330" w:rsidRDefault="002D2330" w:rsidP="001838C5">
      <w:pPr>
        <w:spacing w:line="264" w:lineRule="auto"/>
        <w:rPr>
          <w:bCs/>
        </w:rPr>
      </w:pPr>
      <w:r w:rsidRPr="002D2330">
        <w:rPr>
          <w:bCs/>
        </w:rPr>
        <w:t xml:space="preserve">Outsourced services under the Young People </w:t>
      </w:r>
      <w:r w:rsidR="009F3ABA">
        <w:rPr>
          <w:bCs/>
        </w:rPr>
        <w:t>Funding A</w:t>
      </w:r>
      <w:r w:rsidRPr="002D2330">
        <w:rPr>
          <w:bCs/>
        </w:rPr>
        <w:t xml:space="preserve">rea must comply with the relevant statements under the heading of “Requirements” as specified in the service agreement. </w:t>
      </w:r>
      <w:r w:rsidR="009F3ABA">
        <w:rPr>
          <w:bCs/>
        </w:rPr>
        <w:t xml:space="preserve"> </w:t>
      </w:r>
      <w:r w:rsidRPr="002D2330">
        <w:rPr>
          <w:bCs/>
        </w:rPr>
        <w:t>Suppliers should also review the relevant best practice statements and guidance provided under the heading of “Considerations”.</w:t>
      </w:r>
    </w:p>
    <w:p w14:paraId="4A790E43" w14:textId="77777777" w:rsidR="00ED0B77" w:rsidRPr="002D2330" w:rsidRDefault="00ED0B77" w:rsidP="001838C5">
      <w:pPr>
        <w:spacing w:line="264" w:lineRule="auto"/>
        <w:rPr>
          <w:bCs/>
        </w:rPr>
      </w:pPr>
    </w:p>
    <w:p w14:paraId="518E5ABA" w14:textId="2F73CD2B" w:rsidR="002D2330" w:rsidRDefault="002D2330" w:rsidP="001838C5">
      <w:pPr>
        <w:spacing w:line="264" w:lineRule="auto"/>
        <w:rPr>
          <w:bCs/>
        </w:rPr>
      </w:pPr>
      <w:r w:rsidRPr="002D2330">
        <w:rPr>
          <w:bCs/>
        </w:rPr>
        <w:t xml:space="preserve">Requirements for all services are outlined in Section 4.1.1. Service delivery requirements for specific Service Users and service types are outlined in Sections 5 and 6 </w:t>
      </w:r>
      <w:r w:rsidR="009F3ABA">
        <w:rPr>
          <w:bCs/>
        </w:rPr>
        <w:t>of this specification</w:t>
      </w:r>
      <w:r w:rsidRPr="002D2330">
        <w:rPr>
          <w:bCs/>
        </w:rPr>
        <w:t>.</w:t>
      </w:r>
    </w:p>
    <w:p w14:paraId="2C40B460" w14:textId="77777777" w:rsidR="00ED0B77" w:rsidRPr="002D2330" w:rsidRDefault="00ED0B77" w:rsidP="001838C5">
      <w:pPr>
        <w:spacing w:line="264" w:lineRule="auto"/>
        <w:rPr>
          <w:bCs/>
        </w:rPr>
      </w:pPr>
    </w:p>
    <w:p w14:paraId="1F657133" w14:textId="01177526" w:rsidR="00E256FE" w:rsidRDefault="00331C71" w:rsidP="00ED0B77">
      <w:pPr>
        <w:pStyle w:val="SPEC3"/>
        <w:keepNext/>
        <w:keepLines/>
        <w:spacing w:before="60" w:after="60" w:line="264" w:lineRule="auto"/>
      </w:pPr>
      <w:bookmarkStart w:id="80" w:name="_Toc421798582"/>
      <w:bookmarkStart w:id="81" w:name="_Toc421799871"/>
      <w:bookmarkStart w:id="82" w:name="_Toc508701779"/>
      <w:bookmarkStart w:id="83" w:name="_Toc516054624"/>
      <w:r>
        <w:t>4</w:t>
      </w:r>
      <w:r w:rsidR="00F463EC">
        <w:t xml:space="preserve">.1.1 </w:t>
      </w:r>
      <w:r w:rsidR="00BA2575" w:rsidRPr="00F463EC">
        <w:t>Requirements for all services</w:t>
      </w:r>
      <w:bookmarkEnd w:id="80"/>
      <w:bookmarkEnd w:id="81"/>
      <w:bookmarkEnd w:id="82"/>
      <w:bookmarkEnd w:id="83"/>
    </w:p>
    <w:p w14:paraId="71F9C3D5" w14:textId="77777777" w:rsidR="00FE78CB" w:rsidRPr="00FE78CB" w:rsidRDefault="00FE78CB" w:rsidP="00ED0B77">
      <w:pPr>
        <w:spacing w:before="60" w:after="60" w:line="264" w:lineRule="auto"/>
        <w:rPr>
          <w:rFonts w:cs="Arial"/>
          <w:b/>
          <w:bCs/>
          <w:i/>
          <w:lang w:eastAsia="en-US"/>
        </w:rPr>
      </w:pPr>
      <w:r w:rsidRPr="00FE78CB">
        <w:rPr>
          <w:rFonts w:cs="Arial"/>
          <w:b/>
          <w:bCs/>
          <w:i/>
          <w:lang w:eastAsia="en-US"/>
        </w:rPr>
        <w:t>Bullying and Cyberbullying</w:t>
      </w:r>
    </w:p>
    <w:p w14:paraId="15DAB612" w14:textId="77777777" w:rsidR="00FE78CB" w:rsidRPr="00FE78CB" w:rsidRDefault="00FE78CB" w:rsidP="001838C5">
      <w:pPr>
        <w:spacing w:line="264" w:lineRule="auto"/>
        <w:rPr>
          <w:rFonts w:cs="Arial"/>
          <w:bCs/>
          <w:iCs/>
          <w:lang w:eastAsia="en-US"/>
        </w:rPr>
      </w:pPr>
      <w:r w:rsidRPr="00FE78CB">
        <w:rPr>
          <w:rFonts w:cs="Arial"/>
          <w:bCs/>
          <w:iCs/>
          <w:lang w:eastAsia="en-US"/>
        </w:rPr>
        <w:t>You must:</w:t>
      </w:r>
    </w:p>
    <w:p w14:paraId="02879567" w14:textId="77777777" w:rsidR="00FE78CB" w:rsidRPr="00FE78CB" w:rsidRDefault="00FE78CB" w:rsidP="0042530D">
      <w:pPr>
        <w:numPr>
          <w:ilvl w:val="0"/>
          <w:numId w:val="11"/>
        </w:numPr>
        <w:spacing w:before="60" w:line="264" w:lineRule="auto"/>
        <w:ind w:left="714" w:hanging="357"/>
        <w:rPr>
          <w:rFonts w:cs="Arial"/>
          <w:bCs/>
          <w:iCs/>
          <w:lang w:eastAsia="en-US"/>
        </w:rPr>
      </w:pPr>
      <w:r w:rsidRPr="00FE78CB">
        <w:rPr>
          <w:rFonts w:cs="Arial"/>
          <w:bCs/>
          <w:iCs/>
          <w:lang w:eastAsia="en-US"/>
        </w:rPr>
        <w:t xml:space="preserve">implement and maintain for the Term an anti-bullying and anti-Cyberbullying policy and process for the detection, prevention, intervention and management of responses to bullying or Cyberbullying acts or </w:t>
      </w:r>
      <w:proofErr w:type="gramStart"/>
      <w:r w:rsidRPr="00FE78CB">
        <w:rPr>
          <w:rFonts w:cs="Arial"/>
          <w:bCs/>
          <w:iCs/>
          <w:lang w:eastAsia="en-US"/>
        </w:rPr>
        <w:t>allegations;</w:t>
      </w:r>
      <w:proofErr w:type="gramEnd"/>
    </w:p>
    <w:p w14:paraId="267B4120" w14:textId="77777777" w:rsidR="00FE78CB" w:rsidRPr="00FE78CB" w:rsidRDefault="00FE78CB" w:rsidP="0042530D">
      <w:pPr>
        <w:numPr>
          <w:ilvl w:val="0"/>
          <w:numId w:val="11"/>
        </w:numPr>
        <w:spacing w:before="60" w:line="264" w:lineRule="auto"/>
        <w:ind w:left="714" w:hanging="357"/>
        <w:rPr>
          <w:rFonts w:cs="Arial"/>
          <w:bCs/>
          <w:iCs/>
          <w:lang w:eastAsia="en-US"/>
        </w:rPr>
      </w:pPr>
      <w:r w:rsidRPr="00FE78CB">
        <w:rPr>
          <w:rFonts w:cs="Arial"/>
          <w:bCs/>
          <w:iCs/>
          <w:lang w:eastAsia="en-US"/>
        </w:rPr>
        <w:t xml:space="preserve">train Your staff about how to identify and respond to bullying and </w:t>
      </w:r>
      <w:proofErr w:type="gramStart"/>
      <w:r w:rsidRPr="00FE78CB">
        <w:rPr>
          <w:rFonts w:cs="Arial"/>
          <w:bCs/>
          <w:iCs/>
          <w:lang w:eastAsia="en-US"/>
        </w:rPr>
        <w:t>Cyberbullying;</w:t>
      </w:r>
      <w:proofErr w:type="gramEnd"/>
    </w:p>
    <w:p w14:paraId="617E1EA6" w14:textId="77777777" w:rsidR="00FE78CB" w:rsidRPr="00FE78CB" w:rsidRDefault="00FE78CB" w:rsidP="0042530D">
      <w:pPr>
        <w:numPr>
          <w:ilvl w:val="0"/>
          <w:numId w:val="11"/>
        </w:numPr>
        <w:spacing w:before="60" w:line="264" w:lineRule="auto"/>
        <w:ind w:left="714" w:hanging="357"/>
        <w:rPr>
          <w:rFonts w:cs="Arial"/>
          <w:bCs/>
          <w:iCs/>
          <w:lang w:eastAsia="en-US"/>
        </w:rPr>
      </w:pPr>
      <w:r w:rsidRPr="00FE78CB">
        <w:rPr>
          <w:rFonts w:cs="Arial"/>
          <w:bCs/>
          <w:iCs/>
          <w:lang w:eastAsia="en-US"/>
        </w:rPr>
        <w:lastRenderedPageBreak/>
        <w:t xml:space="preserve">make resources produced by the e-Safety Commissioner and other bodies readily available to children and young people to or in relation to whom the Services are </w:t>
      </w:r>
      <w:proofErr w:type="gramStart"/>
      <w:r w:rsidRPr="00FE78CB">
        <w:rPr>
          <w:rFonts w:cs="Arial"/>
          <w:bCs/>
          <w:iCs/>
          <w:lang w:eastAsia="en-US"/>
        </w:rPr>
        <w:t>provided;</w:t>
      </w:r>
      <w:proofErr w:type="gramEnd"/>
    </w:p>
    <w:p w14:paraId="3E6AB5B9" w14:textId="77777777" w:rsidR="00FE78CB" w:rsidRPr="00FE78CB" w:rsidRDefault="00FE78CB" w:rsidP="0042530D">
      <w:pPr>
        <w:numPr>
          <w:ilvl w:val="0"/>
          <w:numId w:val="11"/>
        </w:numPr>
        <w:spacing w:before="60" w:line="264" w:lineRule="auto"/>
        <w:ind w:left="714" w:hanging="357"/>
        <w:rPr>
          <w:rFonts w:cs="Arial"/>
          <w:bCs/>
          <w:iCs/>
          <w:lang w:eastAsia="en-US"/>
        </w:rPr>
      </w:pPr>
      <w:r w:rsidRPr="00FE78CB">
        <w:rPr>
          <w:rFonts w:cs="Arial"/>
          <w:bCs/>
          <w:iCs/>
          <w:lang w:eastAsia="en-US"/>
        </w:rPr>
        <w:t xml:space="preserve">maintain house rules or ground rules for group work that are clear that bullying and Cyberbullying are not acceptable </w:t>
      </w:r>
      <w:proofErr w:type="gramStart"/>
      <w:r w:rsidRPr="00FE78CB">
        <w:rPr>
          <w:rFonts w:cs="Arial"/>
          <w:bCs/>
          <w:iCs/>
          <w:lang w:eastAsia="en-US"/>
        </w:rPr>
        <w:t>behaviours;</w:t>
      </w:r>
      <w:proofErr w:type="gramEnd"/>
    </w:p>
    <w:p w14:paraId="1ECA57DF" w14:textId="77777777" w:rsidR="00FE78CB" w:rsidRPr="00FE78CB" w:rsidRDefault="00FE78CB" w:rsidP="0042530D">
      <w:pPr>
        <w:numPr>
          <w:ilvl w:val="0"/>
          <w:numId w:val="11"/>
        </w:numPr>
        <w:spacing w:before="60" w:line="264" w:lineRule="auto"/>
        <w:ind w:left="714" w:hanging="357"/>
        <w:rPr>
          <w:rFonts w:cs="Arial"/>
          <w:bCs/>
          <w:iCs/>
          <w:lang w:eastAsia="en-US"/>
        </w:rPr>
      </w:pPr>
      <w:r w:rsidRPr="00FE78CB">
        <w:rPr>
          <w:rFonts w:cs="Arial"/>
          <w:bCs/>
          <w:iCs/>
          <w:lang w:eastAsia="en-US"/>
        </w:rPr>
        <w:t xml:space="preserve">display promotional materials that clearly state that bullying and Cyberbullying are not acceptable </w:t>
      </w:r>
      <w:proofErr w:type="gramStart"/>
      <w:r w:rsidRPr="00FE78CB">
        <w:rPr>
          <w:rFonts w:cs="Arial"/>
          <w:bCs/>
          <w:iCs/>
          <w:lang w:eastAsia="en-US"/>
        </w:rPr>
        <w:t>behaviours;</w:t>
      </w:r>
      <w:proofErr w:type="gramEnd"/>
    </w:p>
    <w:p w14:paraId="5399BB6F" w14:textId="77777777" w:rsidR="00FE78CB" w:rsidRPr="00FE78CB" w:rsidRDefault="00FE78CB" w:rsidP="0042530D">
      <w:pPr>
        <w:numPr>
          <w:ilvl w:val="0"/>
          <w:numId w:val="11"/>
        </w:numPr>
        <w:spacing w:before="60" w:line="264" w:lineRule="auto"/>
        <w:ind w:left="714" w:hanging="357"/>
        <w:rPr>
          <w:rFonts w:cs="Arial"/>
          <w:bCs/>
          <w:iCs/>
          <w:lang w:eastAsia="en-US"/>
        </w:rPr>
      </w:pPr>
      <w:r w:rsidRPr="00FE78CB">
        <w:rPr>
          <w:rFonts w:cs="Arial"/>
          <w:bCs/>
          <w:iCs/>
          <w:lang w:eastAsia="en-US"/>
        </w:rPr>
        <w:t xml:space="preserve">take all reasonable steps to try to maintain a safe online environment for children and young persons to or in relation to whom the Services are provided, without unreasonably compromising privacy or access to social or learning </w:t>
      </w:r>
      <w:proofErr w:type="gramStart"/>
      <w:r w:rsidRPr="00FE78CB">
        <w:rPr>
          <w:rFonts w:cs="Arial"/>
          <w:bCs/>
          <w:iCs/>
          <w:lang w:eastAsia="en-US"/>
        </w:rPr>
        <w:t>opportunities;</w:t>
      </w:r>
      <w:proofErr w:type="gramEnd"/>
    </w:p>
    <w:p w14:paraId="4BB87EB8" w14:textId="77777777" w:rsidR="00FE78CB" w:rsidRPr="00FE78CB" w:rsidRDefault="00FE78CB" w:rsidP="0042530D">
      <w:pPr>
        <w:numPr>
          <w:ilvl w:val="0"/>
          <w:numId w:val="11"/>
        </w:numPr>
        <w:spacing w:before="60" w:line="264" w:lineRule="auto"/>
        <w:ind w:left="714" w:hanging="357"/>
        <w:rPr>
          <w:rFonts w:cs="Arial"/>
          <w:bCs/>
          <w:iCs/>
          <w:lang w:eastAsia="en-US"/>
        </w:rPr>
      </w:pPr>
      <w:r w:rsidRPr="00FE78CB">
        <w:rPr>
          <w:rFonts w:cs="Arial"/>
          <w:bCs/>
          <w:iCs/>
          <w:lang w:eastAsia="en-US"/>
        </w:rPr>
        <w:t>identify and draw on external expertise as reasonably required to respond to incidents of bullying or Cyberbullying; and</w:t>
      </w:r>
    </w:p>
    <w:p w14:paraId="7FE23A2C" w14:textId="77777777" w:rsidR="00FE78CB" w:rsidRPr="00FE78CB" w:rsidRDefault="00FE78CB" w:rsidP="0042530D">
      <w:pPr>
        <w:numPr>
          <w:ilvl w:val="0"/>
          <w:numId w:val="11"/>
        </w:numPr>
        <w:spacing w:before="60" w:line="264" w:lineRule="auto"/>
        <w:ind w:left="714" w:hanging="357"/>
        <w:rPr>
          <w:rFonts w:cs="Arial"/>
          <w:bCs/>
          <w:iCs/>
          <w:lang w:eastAsia="en-US"/>
        </w:rPr>
      </w:pPr>
      <w:r w:rsidRPr="00FE78CB">
        <w:rPr>
          <w:rFonts w:cs="Arial"/>
          <w:bCs/>
          <w:iCs/>
          <w:lang w:eastAsia="en-US"/>
        </w:rPr>
        <w:t>provide clarity to children and young people to or in relation to whom the Services are provided regarding the avenues to assistance should they experience bullying or Cyberbullying.</w:t>
      </w:r>
    </w:p>
    <w:p w14:paraId="289CB903" w14:textId="77777777" w:rsidR="00ED0B77" w:rsidRDefault="00ED0B77" w:rsidP="001838C5">
      <w:pPr>
        <w:spacing w:line="264" w:lineRule="auto"/>
        <w:rPr>
          <w:rFonts w:cs="Arial"/>
          <w:bCs/>
          <w:iCs/>
          <w:lang w:eastAsia="en-US"/>
        </w:rPr>
      </w:pPr>
    </w:p>
    <w:p w14:paraId="0CEBE87F" w14:textId="508565BC" w:rsidR="00FE78CB" w:rsidRPr="00FE78CB" w:rsidRDefault="00FE78CB" w:rsidP="001838C5">
      <w:pPr>
        <w:spacing w:line="264" w:lineRule="auto"/>
        <w:rPr>
          <w:rFonts w:cs="Arial"/>
          <w:bCs/>
          <w:iCs/>
          <w:lang w:eastAsia="en-US"/>
        </w:rPr>
      </w:pPr>
      <w:r w:rsidRPr="00FE78CB">
        <w:rPr>
          <w:rFonts w:cs="Arial"/>
          <w:bCs/>
          <w:iCs/>
          <w:lang w:eastAsia="en-US"/>
        </w:rPr>
        <w:t>“Cyberbullying” means the use of information and communication technologies to support deliberate, repeated, and hostile behaviour by an individual or group, that is intended to harm others.</w:t>
      </w:r>
    </w:p>
    <w:p w14:paraId="031285A0" w14:textId="77777777" w:rsidR="00ED0B77" w:rsidRDefault="00ED0B77" w:rsidP="001838C5">
      <w:pPr>
        <w:spacing w:line="264" w:lineRule="auto"/>
        <w:rPr>
          <w:rFonts w:cs="Arial"/>
          <w:bCs/>
          <w:iCs/>
          <w:lang w:eastAsia="en-US"/>
        </w:rPr>
      </w:pPr>
    </w:p>
    <w:p w14:paraId="51430509" w14:textId="1F726828" w:rsidR="00FE78CB" w:rsidRPr="00FE78CB" w:rsidRDefault="00FE78CB" w:rsidP="001838C5">
      <w:pPr>
        <w:spacing w:line="264" w:lineRule="auto"/>
        <w:rPr>
          <w:rFonts w:cs="Arial"/>
          <w:bCs/>
          <w:iCs/>
          <w:lang w:eastAsia="en-US"/>
        </w:rPr>
      </w:pPr>
      <w:r w:rsidRPr="00FE78CB">
        <w:rPr>
          <w:rFonts w:cs="Arial"/>
          <w:bCs/>
          <w:iCs/>
          <w:lang w:eastAsia="en-US"/>
        </w:rPr>
        <w:t>“Bullying” is an ongoing and deliberate misuse of power in relationships through repeated verbal, physical and/or social behaviour that intends to cause physical, social and/or psychological harm</w:t>
      </w:r>
    </w:p>
    <w:p w14:paraId="3989EF80" w14:textId="77777777" w:rsidR="00ED0B77" w:rsidRDefault="00ED0B77" w:rsidP="001838C5">
      <w:pPr>
        <w:spacing w:line="264" w:lineRule="auto"/>
        <w:rPr>
          <w:rFonts w:cs="Arial"/>
          <w:bCs/>
          <w:iCs/>
          <w:lang w:eastAsia="en-US"/>
        </w:rPr>
      </w:pPr>
    </w:p>
    <w:p w14:paraId="13250D41" w14:textId="7BB5D425" w:rsidR="00FE78CB" w:rsidRDefault="00FE78CB" w:rsidP="001838C5">
      <w:pPr>
        <w:spacing w:line="264" w:lineRule="auto"/>
        <w:rPr>
          <w:rFonts w:cs="Arial"/>
          <w:bCs/>
          <w:iCs/>
          <w:lang w:eastAsia="en-US"/>
        </w:rPr>
      </w:pPr>
      <w:r w:rsidRPr="00FE78CB">
        <w:rPr>
          <w:rFonts w:cs="Arial"/>
          <w:bCs/>
          <w:iCs/>
          <w:lang w:eastAsia="en-US"/>
        </w:rPr>
        <w:t>“</w:t>
      </w:r>
      <w:proofErr w:type="spellStart"/>
      <w:r w:rsidRPr="00FE78CB">
        <w:rPr>
          <w:rFonts w:cs="Arial"/>
          <w:bCs/>
          <w:iCs/>
          <w:lang w:eastAsia="en-US"/>
        </w:rPr>
        <w:t>eSafety</w:t>
      </w:r>
      <w:proofErr w:type="spellEnd"/>
      <w:r w:rsidRPr="00FE78CB">
        <w:rPr>
          <w:rFonts w:cs="Arial"/>
          <w:bCs/>
          <w:iCs/>
          <w:lang w:eastAsia="en-US"/>
        </w:rPr>
        <w:t xml:space="preserve"> Commissioner” </w:t>
      </w:r>
      <w:r w:rsidRPr="004F0E79">
        <w:rPr>
          <w:rFonts w:cs="Arial"/>
          <w:bCs/>
          <w:iCs/>
          <w:lang w:eastAsia="en-US"/>
        </w:rPr>
        <w:t xml:space="preserve">means the Australian Government’s </w:t>
      </w:r>
      <w:proofErr w:type="spellStart"/>
      <w:r w:rsidRPr="004F0E79">
        <w:rPr>
          <w:rFonts w:cs="Arial"/>
          <w:bCs/>
          <w:iCs/>
          <w:lang w:eastAsia="en-US"/>
        </w:rPr>
        <w:t>eSafety</w:t>
      </w:r>
      <w:proofErr w:type="spellEnd"/>
      <w:r w:rsidRPr="004F0E79">
        <w:rPr>
          <w:rFonts w:cs="Arial"/>
          <w:bCs/>
          <w:iCs/>
          <w:lang w:eastAsia="en-US"/>
        </w:rPr>
        <w:t xml:space="preserve"> Commissioner, appointed under the </w:t>
      </w:r>
      <w:r w:rsidRPr="004F0E79">
        <w:rPr>
          <w:rFonts w:cs="Arial"/>
          <w:bCs/>
          <w:i/>
          <w:lang w:eastAsia="en-US"/>
        </w:rPr>
        <w:t>Enhancing Online Safety Act 2015</w:t>
      </w:r>
      <w:r w:rsidRPr="004F0E79">
        <w:rPr>
          <w:rFonts w:cs="Arial"/>
          <w:bCs/>
          <w:iCs/>
          <w:lang w:eastAsia="en-US"/>
        </w:rPr>
        <w:t xml:space="preserve"> </w:t>
      </w:r>
      <w:r w:rsidRPr="004F0E79">
        <w:rPr>
          <w:rFonts w:cs="Arial"/>
          <w:bCs/>
          <w:i/>
          <w:lang w:eastAsia="en-US"/>
        </w:rPr>
        <w:t>(</w:t>
      </w:r>
      <w:proofErr w:type="spellStart"/>
      <w:r w:rsidRPr="004F0E79">
        <w:rPr>
          <w:rFonts w:cs="Arial"/>
          <w:bCs/>
          <w:i/>
          <w:lang w:eastAsia="en-US"/>
        </w:rPr>
        <w:t>Cth</w:t>
      </w:r>
      <w:proofErr w:type="spellEnd"/>
      <w:r w:rsidRPr="004F0E79">
        <w:rPr>
          <w:rFonts w:cs="Arial"/>
          <w:bCs/>
          <w:i/>
          <w:lang w:eastAsia="en-US"/>
        </w:rPr>
        <w:t>)</w:t>
      </w:r>
      <w:r w:rsidRPr="004F0E79">
        <w:rPr>
          <w:rFonts w:cs="Arial"/>
          <w:bCs/>
          <w:iCs/>
          <w:lang w:eastAsia="en-US"/>
        </w:rPr>
        <w:t>.</w:t>
      </w:r>
    </w:p>
    <w:p w14:paraId="099876B2" w14:textId="77777777" w:rsidR="00ED0B77" w:rsidRDefault="00ED0B77" w:rsidP="001838C5">
      <w:pPr>
        <w:spacing w:line="264" w:lineRule="auto"/>
        <w:rPr>
          <w:rFonts w:cs="Arial"/>
          <w:bCs/>
          <w:iCs/>
          <w:lang w:eastAsia="en-US"/>
        </w:rPr>
      </w:pPr>
    </w:p>
    <w:p w14:paraId="101BF8B2" w14:textId="77777777" w:rsidR="009303FD" w:rsidRPr="00BC4323" w:rsidRDefault="009303FD" w:rsidP="009303FD">
      <w:pPr>
        <w:spacing w:before="60" w:after="60" w:line="264" w:lineRule="auto"/>
        <w:rPr>
          <w:b/>
          <w:i/>
        </w:rPr>
      </w:pPr>
      <w:r w:rsidRPr="00BC4323">
        <w:rPr>
          <w:b/>
          <w:i/>
        </w:rPr>
        <w:t xml:space="preserve">Blue </w:t>
      </w:r>
      <w:r>
        <w:rPr>
          <w:b/>
          <w:i/>
        </w:rPr>
        <w:t>C</w:t>
      </w:r>
      <w:r w:rsidRPr="00BC4323">
        <w:rPr>
          <w:b/>
          <w:i/>
        </w:rPr>
        <w:t xml:space="preserve">ard </w:t>
      </w:r>
      <w:r>
        <w:rPr>
          <w:b/>
          <w:i/>
        </w:rPr>
        <w:t>S</w:t>
      </w:r>
      <w:r w:rsidRPr="00BC4323">
        <w:rPr>
          <w:b/>
          <w:i/>
        </w:rPr>
        <w:t xml:space="preserve">ystem and </w:t>
      </w:r>
      <w:r>
        <w:rPr>
          <w:b/>
          <w:i/>
        </w:rPr>
        <w:t>W</w:t>
      </w:r>
      <w:r w:rsidRPr="00BC4323">
        <w:rPr>
          <w:b/>
          <w:i/>
        </w:rPr>
        <w:t xml:space="preserve">orking with </w:t>
      </w:r>
      <w:r>
        <w:rPr>
          <w:b/>
          <w:i/>
        </w:rPr>
        <w:t>C</w:t>
      </w:r>
      <w:r w:rsidRPr="00BC4323">
        <w:rPr>
          <w:b/>
          <w:i/>
        </w:rPr>
        <w:t xml:space="preserve">hildren </w:t>
      </w:r>
      <w:r>
        <w:rPr>
          <w:b/>
          <w:i/>
        </w:rPr>
        <w:t>C</w:t>
      </w:r>
      <w:r w:rsidRPr="00BC4323">
        <w:rPr>
          <w:b/>
          <w:i/>
        </w:rPr>
        <w:t xml:space="preserve">hecks </w:t>
      </w:r>
    </w:p>
    <w:p w14:paraId="1C2073A6" w14:textId="011A7975" w:rsidR="009303FD" w:rsidRDefault="009303FD" w:rsidP="009303FD">
      <w:pPr>
        <w:spacing w:line="264" w:lineRule="auto"/>
      </w:pPr>
      <w:r w:rsidRPr="00BC4323">
        <w:t xml:space="preserve">Due to the nature of the services and the vulnerability of the Service User group, </w:t>
      </w:r>
      <w:r w:rsidR="009F3ABA">
        <w:t>s</w:t>
      </w:r>
      <w:r w:rsidRPr="00BC4323">
        <w:t xml:space="preserve">ervices are considered regulated employment and are required to comply with the </w:t>
      </w:r>
      <w:r w:rsidRPr="00BC4323">
        <w:rPr>
          <w:i/>
        </w:rPr>
        <w:t>Working with Children (Risk Management Screening) and Other Legislation Amendment Bill 2018</w:t>
      </w:r>
      <w:r w:rsidRPr="00BC4323">
        <w:t xml:space="preserve">. </w:t>
      </w:r>
    </w:p>
    <w:p w14:paraId="24015683" w14:textId="77777777" w:rsidR="009303FD" w:rsidRPr="00BC4323" w:rsidRDefault="009303FD" w:rsidP="009303FD">
      <w:pPr>
        <w:spacing w:line="264" w:lineRule="auto"/>
      </w:pPr>
    </w:p>
    <w:p w14:paraId="0FFA65F4" w14:textId="13C30F24" w:rsidR="009303FD" w:rsidRDefault="009303FD" w:rsidP="009303FD">
      <w:pPr>
        <w:spacing w:line="264" w:lineRule="auto"/>
        <w:rPr>
          <w:rStyle w:val="Hyperlink"/>
          <w:u w:val="none"/>
        </w:rPr>
      </w:pPr>
      <w:r w:rsidRPr="00BC4323">
        <w:t xml:space="preserve">Working with children checks and the blue card system contributes to the creation of safe and supportive environments for children and young people when receiving services and participating in activities which are essential to their development and wellbeing. </w:t>
      </w:r>
      <w:r w:rsidR="00E13ECD">
        <w:t xml:space="preserve"> </w:t>
      </w:r>
      <w:r w:rsidRPr="00BC4323">
        <w:t xml:space="preserve">Further information is available at: </w:t>
      </w:r>
      <w:hyperlink r:id="rId11" w:history="1">
        <w:r w:rsidRPr="00BC4323">
          <w:rPr>
            <w:rStyle w:val="Hyperlink"/>
          </w:rPr>
          <w:t>www.bluecard.qld.gov.au</w:t>
        </w:r>
      </w:hyperlink>
      <w:r>
        <w:rPr>
          <w:rStyle w:val="Hyperlink"/>
          <w:u w:val="none"/>
        </w:rPr>
        <w:t>.</w:t>
      </w:r>
    </w:p>
    <w:p w14:paraId="1425EFF3" w14:textId="77777777" w:rsidR="009303FD" w:rsidRDefault="009303FD" w:rsidP="009303FD">
      <w:pPr>
        <w:spacing w:line="264" w:lineRule="auto"/>
        <w:rPr>
          <w:rStyle w:val="Hyperlink"/>
          <w:u w:val="none"/>
        </w:rPr>
      </w:pPr>
    </w:p>
    <w:p w14:paraId="4426C0DC" w14:textId="77777777" w:rsidR="0075459F" w:rsidRDefault="0075459F" w:rsidP="00ED0B77">
      <w:pPr>
        <w:spacing w:before="60" w:after="60" w:line="264" w:lineRule="auto"/>
        <w:rPr>
          <w:rStyle w:val="Hyperlink"/>
          <w:b/>
          <w:bCs/>
          <w:i/>
          <w:iCs/>
          <w:color w:val="auto"/>
          <w:u w:val="none"/>
        </w:rPr>
      </w:pPr>
      <w:r w:rsidRPr="00155A54">
        <w:rPr>
          <w:rStyle w:val="Hyperlink"/>
          <w:b/>
          <w:bCs/>
          <w:i/>
          <w:iCs/>
          <w:color w:val="auto"/>
          <w:u w:val="none"/>
        </w:rPr>
        <w:t xml:space="preserve">Counting </w:t>
      </w:r>
      <w:r>
        <w:rPr>
          <w:rStyle w:val="Hyperlink"/>
          <w:b/>
          <w:bCs/>
          <w:i/>
          <w:iCs/>
          <w:color w:val="auto"/>
          <w:u w:val="none"/>
        </w:rPr>
        <w:t>Rules (and Examples) for Contract Reporting</w:t>
      </w:r>
    </w:p>
    <w:p w14:paraId="1DC181CE" w14:textId="5AD2972D" w:rsidR="0075459F" w:rsidRDefault="0075459F" w:rsidP="001838C5">
      <w:pPr>
        <w:spacing w:line="264" w:lineRule="auto"/>
      </w:pPr>
      <w:r>
        <w:t xml:space="preserve">Counting rules for the performance measures are provided in the </w:t>
      </w:r>
      <w:r w:rsidRPr="00713F9E">
        <w:t>Outputs and Performance Measures Catalogue</w:t>
      </w:r>
      <w:r>
        <w:t xml:space="preserve"> on the department’s website at </w:t>
      </w:r>
      <w:hyperlink r:id="rId12" w:history="1">
        <w:r w:rsidRPr="00317680">
          <w:rPr>
            <w:rStyle w:val="Hyperlink"/>
          </w:rPr>
          <w:t>https://www.cyjma.qld.gov.au/about-us/our-department/funding-grants-investment/investment-specifications</w:t>
        </w:r>
      </w:hyperlink>
      <w:r>
        <w:t xml:space="preserve">.  </w:t>
      </w:r>
    </w:p>
    <w:p w14:paraId="5BFE87B7" w14:textId="77777777" w:rsidR="00ED0B77" w:rsidRDefault="00ED0B77" w:rsidP="001838C5">
      <w:pPr>
        <w:spacing w:line="264" w:lineRule="auto"/>
      </w:pPr>
    </w:p>
    <w:p w14:paraId="239D730F" w14:textId="0B12408E" w:rsidR="0075459F" w:rsidRDefault="0075459F" w:rsidP="001838C5">
      <w:pPr>
        <w:spacing w:line="264" w:lineRule="auto"/>
      </w:pPr>
      <w:r>
        <w:t xml:space="preserve">Data required to be reported under the contract </w:t>
      </w:r>
      <w:r w:rsidRPr="00713F9E">
        <w:t>must be collected in accordance with the counting rules contained in the Outputs and Performance Measures Catalogue</w:t>
      </w:r>
      <w:r>
        <w:t>.  Examples</w:t>
      </w:r>
      <w:r w:rsidRPr="00713F9E">
        <w:t xml:space="preserve"> supporting these rules are provided in section 1</w:t>
      </w:r>
      <w:r w:rsidR="009B70E9">
        <w:t>1</w:t>
      </w:r>
      <w:r w:rsidRPr="00713F9E">
        <w:t xml:space="preserve"> of this </w:t>
      </w:r>
      <w:r w:rsidR="009F3ABA">
        <w:t>s</w:t>
      </w:r>
      <w:r w:rsidRPr="00713F9E">
        <w:t>pecification.</w:t>
      </w:r>
    </w:p>
    <w:p w14:paraId="53D4C39A" w14:textId="77777777" w:rsidR="00ED0B77" w:rsidRPr="00155A54" w:rsidRDefault="00ED0B77" w:rsidP="001838C5">
      <w:pPr>
        <w:spacing w:line="264" w:lineRule="auto"/>
      </w:pPr>
    </w:p>
    <w:p w14:paraId="5B1D16CD" w14:textId="2259B7CC" w:rsidR="00BA2575" w:rsidRPr="00143FD7" w:rsidRDefault="00331C71" w:rsidP="00ED0B77">
      <w:pPr>
        <w:pStyle w:val="SPEC3"/>
        <w:spacing w:before="60" w:after="60" w:line="264" w:lineRule="auto"/>
      </w:pPr>
      <w:bookmarkStart w:id="84" w:name="_Toc421798583"/>
      <w:bookmarkStart w:id="85" w:name="_Toc421799872"/>
      <w:bookmarkStart w:id="86" w:name="_Toc508701780"/>
      <w:bookmarkStart w:id="87" w:name="_Toc516054625"/>
      <w:r>
        <w:t>4</w:t>
      </w:r>
      <w:r w:rsidR="00F463EC" w:rsidRPr="00BC4323">
        <w:t xml:space="preserve">.1.2 </w:t>
      </w:r>
      <w:r w:rsidR="00BA2575" w:rsidRPr="00143FD7">
        <w:t>Considerations for all services</w:t>
      </w:r>
      <w:bookmarkEnd w:id="84"/>
      <w:bookmarkEnd w:id="85"/>
      <w:bookmarkEnd w:id="86"/>
      <w:bookmarkEnd w:id="87"/>
    </w:p>
    <w:p w14:paraId="2C2153C3" w14:textId="77777777" w:rsidR="00143FD7" w:rsidRPr="00143FD7" w:rsidRDefault="00143FD7" w:rsidP="001838C5">
      <w:pPr>
        <w:spacing w:line="264" w:lineRule="auto"/>
        <w:rPr>
          <w:rFonts w:cs="Arial"/>
        </w:rPr>
      </w:pPr>
      <w:r w:rsidRPr="00143FD7">
        <w:rPr>
          <w:rFonts w:cs="Arial"/>
        </w:rPr>
        <w:t xml:space="preserve">Services directed to young people should be informed by: </w:t>
      </w:r>
    </w:p>
    <w:p w14:paraId="70FDB582" w14:textId="5065D641" w:rsidR="00143FD7" w:rsidRPr="008B351C" w:rsidRDefault="00D14FF4" w:rsidP="0042530D">
      <w:pPr>
        <w:numPr>
          <w:ilvl w:val="0"/>
          <w:numId w:val="7"/>
        </w:numPr>
        <w:spacing w:before="60" w:line="264" w:lineRule="auto"/>
        <w:ind w:left="714" w:hanging="357"/>
        <w:rPr>
          <w:rFonts w:cs="Arial"/>
        </w:rPr>
      </w:pPr>
      <w:hyperlink r:id="rId13" w:history="1">
        <w:r w:rsidR="008B351C">
          <w:rPr>
            <w:rStyle w:val="Hyperlink"/>
            <w:rFonts w:cs="Arial"/>
          </w:rPr>
          <w:t>Queensland Youth Strategy</w:t>
        </w:r>
      </w:hyperlink>
      <w:r w:rsidR="008B351C" w:rsidRPr="008B351C">
        <w:rPr>
          <w:rStyle w:val="Hyperlink"/>
          <w:rFonts w:cs="Arial"/>
          <w:color w:val="auto"/>
          <w:u w:val="none"/>
        </w:rPr>
        <w:t>;</w:t>
      </w:r>
    </w:p>
    <w:p w14:paraId="18D9C909" w14:textId="290B5177" w:rsidR="00143FD7" w:rsidRPr="00143FD7" w:rsidRDefault="00D14FF4" w:rsidP="0042530D">
      <w:pPr>
        <w:numPr>
          <w:ilvl w:val="0"/>
          <w:numId w:val="7"/>
        </w:numPr>
        <w:spacing w:before="60" w:line="264" w:lineRule="auto"/>
        <w:ind w:left="714" w:hanging="357"/>
        <w:rPr>
          <w:rFonts w:cs="Arial"/>
        </w:rPr>
      </w:pPr>
      <w:hyperlink r:id="rId14" w:history="1">
        <w:r w:rsidR="008B351C">
          <w:rPr>
            <w:rStyle w:val="Hyperlink"/>
            <w:rFonts w:cs="Arial"/>
          </w:rPr>
          <w:t>Youth Justice Strategy</w:t>
        </w:r>
      </w:hyperlink>
      <w:r w:rsidR="008B351C" w:rsidRPr="008B351C">
        <w:rPr>
          <w:rStyle w:val="Hyperlink"/>
          <w:rFonts w:cs="Arial"/>
          <w:color w:val="auto"/>
          <w:u w:val="none"/>
        </w:rPr>
        <w:t>; and</w:t>
      </w:r>
    </w:p>
    <w:p w14:paraId="154A2D1A" w14:textId="0A228547" w:rsidR="00143FD7" w:rsidRDefault="00D14FF4" w:rsidP="0042530D">
      <w:pPr>
        <w:numPr>
          <w:ilvl w:val="0"/>
          <w:numId w:val="7"/>
        </w:numPr>
        <w:spacing w:before="60" w:line="264" w:lineRule="auto"/>
        <w:ind w:left="714" w:hanging="357"/>
        <w:rPr>
          <w:rFonts w:cs="Arial"/>
        </w:rPr>
      </w:pPr>
      <w:hyperlink r:id="rId15" w:history="1">
        <w:r w:rsidR="008B351C" w:rsidRPr="00937B17">
          <w:rPr>
            <w:rStyle w:val="Hyperlink"/>
            <w:rFonts w:cs="Arial"/>
            <w:i/>
            <w:iCs/>
          </w:rPr>
          <w:t>Human Rights Act 2019</w:t>
        </w:r>
      </w:hyperlink>
      <w:r w:rsidR="008B351C">
        <w:rPr>
          <w:rStyle w:val="Hyperlink"/>
          <w:rFonts w:cs="Arial"/>
          <w:u w:val="none"/>
        </w:rPr>
        <w:t xml:space="preserve"> </w:t>
      </w:r>
      <w:r w:rsidR="008B351C" w:rsidRPr="00143FD7">
        <w:rPr>
          <w:rFonts w:cs="Arial"/>
        </w:rPr>
        <w:t>and other legislation as relevant</w:t>
      </w:r>
      <w:r w:rsidR="008B351C">
        <w:rPr>
          <w:rFonts w:cs="Arial"/>
        </w:rPr>
        <w:t>.</w:t>
      </w:r>
    </w:p>
    <w:p w14:paraId="695FAA37" w14:textId="77777777" w:rsidR="00ED0B77" w:rsidRPr="00143FD7" w:rsidRDefault="00ED0B77" w:rsidP="00ED0B77">
      <w:pPr>
        <w:spacing w:line="264" w:lineRule="auto"/>
        <w:rPr>
          <w:rFonts w:cs="Arial"/>
        </w:rPr>
      </w:pPr>
    </w:p>
    <w:p w14:paraId="5081F57B" w14:textId="7C206F13" w:rsidR="00BC4323" w:rsidRPr="00314B32" w:rsidRDefault="00BC4323" w:rsidP="00ED0B77">
      <w:pPr>
        <w:spacing w:before="60" w:after="60" w:line="264" w:lineRule="auto"/>
        <w:rPr>
          <w:b/>
          <w:bCs/>
          <w:i/>
        </w:rPr>
      </w:pPr>
      <w:r w:rsidRPr="00143FD7">
        <w:rPr>
          <w:b/>
          <w:bCs/>
          <w:i/>
        </w:rPr>
        <w:t>W</w:t>
      </w:r>
      <w:r w:rsidRPr="00BC4323">
        <w:rPr>
          <w:b/>
          <w:bCs/>
          <w:i/>
        </w:rPr>
        <w:t xml:space="preserve">orking </w:t>
      </w:r>
      <w:r w:rsidRPr="00314B32">
        <w:rPr>
          <w:b/>
          <w:bCs/>
          <w:i/>
        </w:rPr>
        <w:t xml:space="preserve">with Aboriginal and Torres Strait Islander </w:t>
      </w:r>
      <w:r w:rsidR="0089542F" w:rsidRPr="00314B32">
        <w:rPr>
          <w:b/>
          <w:bCs/>
          <w:i/>
        </w:rPr>
        <w:t>S</w:t>
      </w:r>
      <w:r w:rsidRPr="00314B32">
        <w:rPr>
          <w:b/>
          <w:bCs/>
          <w:i/>
        </w:rPr>
        <w:t xml:space="preserve">ervice </w:t>
      </w:r>
      <w:r w:rsidR="0089542F" w:rsidRPr="00314B32">
        <w:rPr>
          <w:b/>
          <w:bCs/>
          <w:i/>
        </w:rPr>
        <w:t>U</w:t>
      </w:r>
      <w:r w:rsidRPr="00314B32">
        <w:rPr>
          <w:b/>
          <w:bCs/>
          <w:i/>
        </w:rPr>
        <w:t xml:space="preserve">sers </w:t>
      </w:r>
    </w:p>
    <w:p w14:paraId="24B35ECE" w14:textId="04F8CADF" w:rsidR="00BC4323" w:rsidRDefault="00BC4323" w:rsidP="001838C5">
      <w:pPr>
        <w:spacing w:line="264" w:lineRule="auto"/>
        <w:rPr>
          <w:iCs/>
        </w:rPr>
      </w:pPr>
      <w:r w:rsidRPr="00314B32">
        <w:rPr>
          <w:iCs/>
        </w:rPr>
        <w:t xml:space="preserve">Amendments to the </w:t>
      </w:r>
      <w:r w:rsidRPr="00314B32">
        <w:rPr>
          <w:i/>
        </w:rPr>
        <w:t>Child Protection Act 1999</w:t>
      </w:r>
      <w:r w:rsidRPr="00314B32">
        <w:rPr>
          <w:iCs/>
        </w:rPr>
        <w:t xml:space="preserve"> represent a significant shift in how the department supports the connection of Aboriginal and Torres Strait Islander children and young with people with their family, </w:t>
      </w:r>
      <w:proofErr w:type="gramStart"/>
      <w:r w:rsidRPr="00314B32">
        <w:rPr>
          <w:iCs/>
        </w:rPr>
        <w:t>community</w:t>
      </w:r>
      <w:proofErr w:type="gramEnd"/>
      <w:r w:rsidRPr="00314B32">
        <w:rPr>
          <w:iCs/>
        </w:rPr>
        <w:t xml:space="preserve"> and culture, acknowledging that stronger connections result in better outcomes for Aboriginal and Torres Strait Islander children and young people. </w:t>
      </w:r>
      <w:r w:rsidR="00314B32" w:rsidRPr="00314B32">
        <w:rPr>
          <w:iCs/>
        </w:rPr>
        <w:t xml:space="preserve"> </w:t>
      </w:r>
      <w:r w:rsidRPr="00314B32">
        <w:rPr>
          <w:iCs/>
        </w:rPr>
        <w:t xml:space="preserve">The amendments also recognise the significant </w:t>
      </w:r>
      <w:r w:rsidRPr="00314B32">
        <w:rPr>
          <w:iCs/>
        </w:rPr>
        <w:lastRenderedPageBreak/>
        <w:t xml:space="preserve">and long-term effect of decisions on a child or young person, their family and community; and acknowledges the role of the child, </w:t>
      </w:r>
      <w:proofErr w:type="gramStart"/>
      <w:r w:rsidRPr="00314B32">
        <w:rPr>
          <w:iCs/>
        </w:rPr>
        <w:t>family</w:t>
      </w:r>
      <w:proofErr w:type="gramEnd"/>
      <w:r w:rsidRPr="00314B32">
        <w:rPr>
          <w:iCs/>
        </w:rPr>
        <w:t xml:space="preserve"> and community as the primary source of cultural knowledge. </w:t>
      </w:r>
    </w:p>
    <w:p w14:paraId="578B84E8" w14:textId="77777777" w:rsidR="00ED0B77" w:rsidRPr="00314B32" w:rsidRDefault="00ED0B77" w:rsidP="001838C5">
      <w:pPr>
        <w:spacing w:line="264" w:lineRule="auto"/>
        <w:rPr>
          <w:iCs/>
        </w:rPr>
      </w:pPr>
    </w:p>
    <w:p w14:paraId="48B61F91" w14:textId="56433BE3" w:rsidR="00ED0B77" w:rsidRDefault="00BC4323" w:rsidP="001838C5">
      <w:pPr>
        <w:spacing w:line="264" w:lineRule="auto"/>
        <w:rPr>
          <w:iCs/>
        </w:rPr>
      </w:pPr>
      <w:r w:rsidRPr="00314B32">
        <w:rPr>
          <w:i/>
        </w:rPr>
        <w:t>Our Way: a generational strategy for Aboriginal and Torres Strait Islander children and families 2017-2037</w:t>
      </w:r>
      <w:r w:rsidRPr="00314B32">
        <w:rPr>
          <w:iCs/>
        </w:rPr>
        <w:t xml:space="preserve"> is a Queensland Government strategic framework that has been guided by Aboriginal and Torres Strait Islander perspectives to achieve generational change over the next 20 years.</w:t>
      </w:r>
      <w:r w:rsidR="009F3ABA">
        <w:rPr>
          <w:iCs/>
        </w:rPr>
        <w:t xml:space="preserve"> </w:t>
      </w:r>
      <w:r w:rsidRPr="00314B32">
        <w:rPr>
          <w:iCs/>
        </w:rPr>
        <w:t xml:space="preserve"> It represents a long-term commitment by government and the Aboriginal and Torres Strait Islander community to work together. </w:t>
      </w:r>
      <w:r w:rsidR="00314B32" w:rsidRPr="00314B32">
        <w:rPr>
          <w:iCs/>
        </w:rPr>
        <w:t xml:space="preserve"> </w:t>
      </w:r>
    </w:p>
    <w:p w14:paraId="471C2285" w14:textId="77777777" w:rsidR="00ED0B77" w:rsidRDefault="00ED0B77" w:rsidP="001838C5">
      <w:pPr>
        <w:spacing w:line="264" w:lineRule="auto"/>
        <w:rPr>
          <w:iCs/>
        </w:rPr>
      </w:pPr>
    </w:p>
    <w:p w14:paraId="293954CE" w14:textId="0DE5E202" w:rsidR="00BC4323" w:rsidRPr="00314B32" w:rsidRDefault="00BC4323" w:rsidP="001838C5">
      <w:pPr>
        <w:spacing w:line="264" w:lineRule="auto"/>
        <w:rPr>
          <w:iCs/>
        </w:rPr>
      </w:pPr>
      <w:r w:rsidRPr="00314B32">
        <w:rPr>
          <w:iCs/>
        </w:rPr>
        <w:t xml:space="preserve">As part of the Our Way strategy, the </w:t>
      </w:r>
      <w:r w:rsidR="00314B32" w:rsidRPr="00314B32">
        <w:rPr>
          <w:iCs/>
        </w:rPr>
        <w:t xml:space="preserve">first and second three-year action plans </w:t>
      </w:r>
      <w:r w:rsidRPr="00314B32">
        <w:rPr>
          <w:iCs/>
        </w:rPr>
        <w:t xml:space="preserve">aim to: </w:t>
      </w:r>
    </w:p>
    <w:p w14:paraId="17772BE5" w14:textId="77777777" w:rsidR="00BC4323" w:rsidRPr="00314B32" w:rsidRDefault="00BC4323" w:rsidP="0042530D">
      <w:pPr>
        <w:numPr>
          <w:ilvl w:val="0"/>
          <w:numId w:val="7"/>
        </w:numPr>
        <w:spacing w:before="60" w:line="264" w:lineRule="auto"/>
        <w:ind w:left="714" w:hanging="357"/>
        <w:rPr>
          <w:iCs/>
        </w:rPr>
      </w:pPr>
      <w:r w:rsidRPr="00314B32">
        <w:rPr>
          <w:iCs/>
        </w:rPr>
        <w:t xml:space="preserve">reduce the disproportionate representation of Aboriginal and Torres Strait Islander children and young people in the child protection system </w:t>
      </w:r>
    </w:p>
    <w:p w14:paraId="51DBA77D" w14:textId="0779F19E" w:rsidR="00BC4323" w:rsidRPr="00314B32" w:rsidRDefault="00BC4323" w:rsidP="0042530D">
      <w:pPr>
        <w:numPr>
          <w:ilvl w:val="0"/>
          <w:numId w:val="7"/>
        </w:numPr>
        <w:spacing w:before="60" w:line="264" w:lineRule="auto"/>
        <w:ind w:left="714" w:hanging="357"/>
        <w:rPr>
          <w:iCs/>
        </w:rPr>
      </w:pPr>
      <w:r w:rsidRPr="00314B32">
        <w:rPr>
          <w:iCs/>
        </w:rPr>
        <w:t>close the gap in life outcomes for Aboriginal and Torres Strait Islander people</w:t>
      </w:r>
      <w:r w:rsidR="00DC20CD">
        <w:rPr>
          <w:iCs/>
        </w:rPr>
        <w:t>s</w:t>
      </w:r>
      <w:r w:rsidRPr="00314B32">
        <w:rPr>
          <w:iCs/>
        </w:rPr>
        <w:t xml:space="preserve"> experiencing vulnerability </w:t>
      </w:r>
    </w:p>
    <w:p w14:paraId="72B54232" w14:textId="77777777" w:rsidR="00BC4323" w:rsidRPr="00314B32" w:rsidRDefault="00BC4323" w:rsidP="0042530D">
      <w:pPr>
        <w:numPr>
          <w:ilvl w:val="0"/>
          <w:numId w:val="7"/>
        </w:numPr>
        <w:spacing w:before="60" w:line="264" w:lineRule="auto"/>
        <w:ind w:left="714" w:hanging="357"/>
        <w:rPr>
          <w:iCs/>
        </w:rPr>
      </w:pPr>
      <w:r w:rsidRPr="00314B32">
        <w:rPr>
          <w:iCs/>
        </w:rPr>
        <w:t xml:space="preserve">ensure all Aboriginal and Torres Strait Islander children and young people grow up safe and cared for in family, </w:t>
      </w:r>
      <w:proofErr w:type="gramStart"/>
      <w:r w:rsidRPr="00314B32">
        <w:rPr>
          <w:iCs/>
        </w:rPr>
        <w:t>community</w:t>
      </w:r>
      <w:proofErr w:type="gramEnd"/>
      <w:r w:rsidRPr="00314B32">
        <w:rPr>
          <w:iCs/>
        </w:rPr>
        <w:t xml:space="preserve"> and culture. </w:t>
      </w:r>
    </w:p>
    <w:p w14:paraId="4B916D91" w14:textId="77777777" w:rsidR="00ED0B77" w:rsidRDefault="00ED0B77" w:rsidP="001838C5">
      <w:pPr>
        <w:spacing w:line="264" w:lineRule="auto"/>
        <w:rPr>
          <w:iCs/>
        </w:rPr>
      </w:pPr>
    </w:p>
    <w:p w14:paraId="57CA551F" w14:textId="282854AA" w:rsidR="00BC4323" w:rsidRDefault="009F3ABA" w:rsidP="001838C5">
      <w:pPr>
        <w:spacing w:line="264" w:lineRule="auto"/>
        <w:rPr>
          <w:iCs/>
        </w:rPr>
      </w:pPr>
      <w:r>
        <w:rPr>
          <w:iCs/>
        </w:rPr>
        <w:t>Supplier</w:t>
      </w:r>
      <w:r w:rsidR="00BC4323" w:rsidRPr="00314B32">
        <w:rPr>
          <w:iCs/>
        </w:rPr>
        <w:t xml:space="preserve">s should understand and work in accordance with the Aboriginal and Torres Strait Islander </w:t>
      </w:r>
      <w:hyperlink r:id="rId16" w:history="1">
        <w:r w:rsidR="00314B32" w:rsidRPr="00314B32">
          <w:rPr>
            <w:rStyle w:val="Hyperlink"/>
            <w:rFonts w:cs="Arial"/>
            <w:iCs/>
          </w:rPr>
          <w:t>Child Placement Principle</w:t>
        </w:r>
      </w:hyperlink>
      <w:r w:rsidR="00314B32" w:rsidRPr="00314B32">
        <w:rPr>
          <w:rStyle w:val="Hyperlink"/>
          <w:rFonts w:cs="Arial"/>
          <w:iCs/>
          <w:u w:val="none"/>
        </w:rPr>
        <w:t xml:space="preserve"> </w:t>
      </w:r>
      <w:r w:rsidR="00314B32" w:rsidRPr="00314B32">
        <w:rPr>
          <w:iCs/>
        </w:rPr>
        <w:t>which is relevant across the child and family service system.</w:t>
      </w:r>
    </w:p>
    <w:p w14:paraId="552EC2AF" w14:textId="77777777" w:rsidR="00ED0B77" w:rsidRPr="00314B32" w:rsidRDefault="00ED0B77" w:rsidP="001838C5">
      <w:pPr>
        <w:spacing w:line="264" w:lineRule="auto"/>
        <w:rPr>
          <w:rFonts w:cs="Arial"/>
          <w:iCs/>
        </w:rPr>
      </w:pPr>
    </w:p>
    <w:p w14:paraId="1804AC7D" w14:textId="4BBDD5B8" w:rsidR="00155A54" w:rsidRPr="00B921C6" w:rsidRDefault="00155A54" w:rsidP="00ED0B77">
      <w:pPr>
        <w:spacing w:before="60" w:after="60" w:line="264" w:lineRule="auto"/>
        <w:rPr>
          <w:b/>
          <w:i/>
        </w:rPr>
      </w:pPr>
      <w:r w:rsidRPr="00314B32">
        <w:rPr>
          <w:b/>
          <w:i/>
        </w:rPr>
        <w:t xml:space="preserve">Service </w:t>
      </w:r>
      <w:r w:rsidR="0089542F" w:rsidRPr="00314B32">
        <w:rPr>
          <w:b/>
          <w:i/>
        </w:rPr>
        <w:t>S</w:t>
      </w:r>
      <w:r w:rsidRPr="00314B32">
        <w:rPr>
          <w:b/>
          <w:i/>
        </w:rPr>
        <w:t xml:space="preserve">ystem </w:t>
      </w:r>
      <w:r w:rsidR="0089542F" w:rsidRPr="00314B32">
        <w:rPr>
          <w:b/>
          <w:i/>
        </w:rPr>
        <w:t>P</w:t>
      </w:r>
      <w:r w:rsidRPr="00314B32">
        <w:rPr>
          <w:b/>
          <w:i/>
        </w:rPr>
        <w:t>articipation</w:t>
      </w:r>
    </w:p>
    <w:p w14:paraId="0659FEBF" w14:textId="53C1C227" w:rsidR="00155A54" w:rsidRPr="00794D0F" w:rsidRDefault="00155A54" w:rsidP="001838C5">
      <w:pPr>
        <w:spacing w:line="264" w:lineRule="auto"/>
      </w:pPr>
      <w:r w:rsidRPr="00B921C6">
        <w:t xml:space="preserve">Services should participate in service system networks and form collaborative community partnerships, including with specialist service providers, other youth focused agencies, </w:t>
      </w:r>
      <w:r w:rsidR="00D03395">
        <w:t xml:space="preserve">Queensland Police Service, Child Safety and </w:t>
      </w:r>
      <w:r w:rsidRPr="00B921C6">
        <w:rPr>
          <w:rFonts w:cs="Arial"/>
          <w:lang w:eastAsia="en-US"/>
        </w:rPr>
        <w:t xml:space="preserve">Youth Justice Service Centres, </w:t>
      </w:r>
      <w:r w:rsidRPr="00794D0F">
        <w:rPr>
          <w:rFonts w:cs="Arial"/>
          <w:lang w:eastAsia="en-US"/>
        </w:rPr>
        <w:t xml:space="preserve">local </w:t>
      </w:r>
      <w:r w:rsidR="00F77291">
        <w:rPr>
          <w:rFonts w:cs="Arial"/>
          <w:lang w:eastAsia="en-US"/>
        </w:rPr>
        <w:t xml:space="preserve">elders and </w:t>
      </w:r>
      <w:r w:rsidRPr="00794D0F">
        <w:rPr>
          <w:rFonts w:cs="Arial"/>
          <w:lang w:eastAsia="en-US"/>
        </w:rPr>
        <w:t>community groups and government agencies,</w:t>
      </w:r>
      <w:r w:rsidRPr="00794D0F">
        <w:t xml:space="preserve"> as relevant to ensure the best outcomes for service users. </w:t>
      </w:r>
    </w:p>
    <w:p w14:paraId="5B11821A" w14:textId="49B8FBAF" w:rsidR="00A1640A" w:rsidRPr="00794D0F" w:rsidRDefault="00A1640A" w:rsidP="001838C5">
      <w:pPr>
        <w:spacing w:line="264" w:lineRule="auto"/>
      </w:pPr>
    </w:p>
    <w:p w14:paraId="589C330D" w14:textId="50533BD6" w:rsidR="00A1640A" w:rsidRPr="00794D0F" w:rsidRDefault="00A1640A" w:rsidP="001838C5">
      <w:pPr>
        <w:spacing w:line="264" w:lineRule="auto"/>
        <w:rPr>
          <w:b/>
          <w:bCs/>
          <w:i/>
          <w:iCs/>
        </w:rPr>
      </w:pPr>
      <w:r w:rsidRPr="00794D0F">
        <w:rPr>
          <w:b/>
          <w:bCs/>
          <w:i/>
          <w:iCs/>
        </w:rPr>
        <w:t>Respectful Relationships</w:t>
      </w:r>
    </w:p>
    <w:p w14:paraId="242B733C" w14:textId="71229CAA" w:rsidR="00A1640A" w:rsidRPr="00794D0F" w:rsidRDefault="00A1640A" w:rsidP="001838C5">
      <w:pPr>
        <w:spacing w:line="264" w:lineRule="auto"/>
      </w:pPr>
      <w:r w:rsidRPr="00794D0F">
        <w:t xml:space="preserve">Services should seek to ensure staff are suitably skilled in recognising the indicators of violence, including intimate partner violence, </w:t>
      </w:r>
      <w:r w:rsidR="00901D6C" w:rsidRPr="00794D0F">
        <w:t xml:space="preserve">that may be </w:t>
      </w:r>
      <w:r w:rsidRPr="00794D0F">
        <w:t xml:space="preserve">experienced by young people.  </w:t>
      </w:r>
      <w:r w:rsidR="00354602" w:rsidRPr="00794D0F">
        <w:t xml:space="preserve">This includes </w:t>
      </w:r>
      <w:r w:rsidRPr="00794D0F">
        <w:t>access</w:t>
      </w:r>
      <w:r w:rsidR="00F77291">
        <w:t xml:space="preserve"> to</w:t>
      </w:r>
      <w:r w:rsidRPr="00794D0F">
        <w:t xml:space="preserve"> training </w:t>
      </w:r>
      <w:r w:rsidR="00F77291">
        <w:t xml:space="preserve">by staff </w:t>
      </w:r>
      <w:r w:rsidRPr="00794D0F">
        <w:t xml:space="preserve">to </w:t>
      </w:r>
      <w:r w:rsidR="003273D0">
        <w:t xml:space="preserve">support </w:t>
      </w:r>
      <w:r w:rsidRPr="00794D0F">
        <w:t>deliver</w:t>
      </w:r>
      <w:r w:rsidR="003273D0">
        <w:t>y of</w:t>
      </w:r>
      <w:r w:rsidRPr="00794D0F">
        <w:t xml:space="preserve"> respectful relationships conversations that are integrated into services provi</w:t>
      </w:r>
      <w:r w:rsidR="00F77291">
        <w:t>sion</w:t>
      </w:r>
      <w:r w:rsidRPr="00794D0F">
        <w:t xml:space="preserve"> to young people</w:t>
      </w:r>
      <w:r w:rsidR="00F77291">
        <w:t xml:space="preserve"> and an awareness of relevant referral pathways</w:t>
      </w:r>
      <w:r w:rsidRPr="00794D0F">
        <w:t>.</w:t>
      </w:r>
    </w:p>
    <w:p w14:paraId="70B35077" w14:textId="77777777" w:rsidR="00ED0B77" w:rsidRPr="00794D0F" w:rsidRDefault="00ED0B77" w:rsidP="001838C5">
      <w:pPr>
        <w:spacing w:line="264" w:lineRule="auto"/>
      </w:pPr>
    </w:p>
    <w:p w14:paraId="04ECF677" w14:textId="28C3D131" w:rsidR="00C2034F" w:rsidRPr="00C25A07" w:rsidRDefault="00331C71" w:rsidP="00ED0B77">
      <w:pPr>
        <w:pStyle w:val="SPEC1"/>
        <w:spacing w:before="120" w:after="120" w:line="264" w:lineRule="auto"/>
      </w:pPr>
      <w:bookmarkStart w:id="88" w:name="_Toc421798584"/>
      <w:bookmarkStart w:id="89" w:name="_Toc421799873"/>
      <w:bookmarkStart w:id="90" w:name="_Toc508701781"/>
      <w:bookmarkStart w:id="91" w:name="_Toc516054626"/>
      <w:r w:rsidRPr="00794D0F">
        <w:t>5</w:t>
      </w:r>
      <w:r w:rsidR="0024373A" w:rsidRPr="00794D0F">
        <w:t>.</w:t>
      </w:r>
      <w:r w:rsidR="00B401AA" w:rsidRPr="00794D0F">
        <w:t xml:space="preserve">  </w:t>
      </w:r>
      <w:r w:rsidR="00C2034F" w:rsidRPr="00794D0F">
        <w:t>Service deliv</w:t>
      </w:r>
      <w:r w:rsidR="00F22BA2" w:rsidRPr="00794D0F">
        <w:t xml:space="preserve">ery </w:t>
      </w:r>
      <w:r w:rsidR="00F22BA2" w:rsidRPr="00C25A07">
        <w:t xml:space="preserve">requirements for specific </w:t>
      </w:r>
      <w:r w:rsidR="00FD0A6B" w:rsidRPr="00C25A07">
        <w:t>Service User</w:t>
      </w:r>
      <w:r w:rsidR="00C2034F" w:rsidRPr="00C25A07">
        <w:t>s</w:t>
      </w:r>
      <w:bookmarkEnd w:id="88"/>
      <w:bookmarkEnd w:id="89"/>
      <w:bookmarkEnd w:id="90"/>
      <w:bookmarkEnd w:id="91"/>
    </w:p>
    <w:p w14:paraId="59BB212A" w14:textId="2ECB3AB9" w:rsidR="00B96AA2" w:rsidRPr="00C25A07" w:rsidRDefault="00331C71" w:rsidP="00ED0B77">
      <w:pPr>
        <w:pStyle w:val="SPEC2"/>
        <w:spacing w:before="120" w:after="120" w:line="264" w:lineRule="auto"/>
        <w:rPr>
          <w:sz w:val="24"/>
          <w:szCs w:val="24"/>
        </w:rPr>
      </w:pPr>
      <w:bookmarkStart w:id="92" w:name="_Toc508701782"/>
      <w:bookmarkStart w:id="93" w:name="_Toc516054627"/>
      <w:r w:rsidRPr="00C25A07">
        <w:rPr>
          <w:sz w:val="24"/>
          <w:szCs w:val="24"/>
        </w:rPr>
        <w:t>5</w:t>
      </w:r>
      <w:r w:rsidR="00E55CCD" w:rsidRPr="00C25A07">
        <w:rPr>
          <w:sz w:val="24"/>
          <w:szCs w:val="24"/>
        </w:rPr>
        <w:t xml:space="preserve">.1 </w:t>
      </w:r>
      <w:r w:rsidR="00B96AA2" w:rsidRPr="00C25A07">
        <w:rPr>
          <w:sz w:val="24"/>
          <w:szCs w:val="24"/>
        </w:rPr>
        <w:t xml:space="preserve">Young people aged </w:t>
      </w:r>
      <w:r w:rsidR="009B70E9" w:rsidRPr="00C25A07">
        <w:rPr>
          <w:sz w:val="24"/>
          <w:szCs w:val="24"/>
        </w:rPr>
        <w:t>12</w:t>
      </w:r>
      <w:r w:rsidR="00B96AA2" w:rsidRPr="00C25A07">
        <w:rPr>
          <w:sz w:val="24"/>
          <w:szCs w:val="24"/>
        </w:rPr>
        <w:t>–</w:t>
      </w:r>
      <w:r w:rsidR="00984AD5" w:rsidRPr="00C25A07">
        <w:rPr>
          <w:sz w:val="24"/>
          <w:szCs w:val="24"/>
        </w:rPr>
        <w:t xml:space="preserve">21 </w:t>
      </w:r>
      <w:r w:rsidR="00B96AA2" w:rsidRPr="00C25A07">
        <w:rPr>
          <w:sz w:val="24"/>
          <w:szCs w:val="24"/>
        </w:rPr>
        <w:t>years who are at risk of disconnection (U2107)</w:t>
      </w:r>
      <w:bookmarkEnd w:id="92"/>
      <w:bookmarkEnd w:id="93"/>
    </w:p>
    <w:p w14:paraId="3D654942" w14:textId="77777777" w:rsidR="00463953" w:rsidRPr="00C25A07" w:rsidRDefault="00463953" w:rsidP="00ED0B77">
      <w:pPr>
        <w:spacing w:before="60" w:after="60" w:line="264" w:lineRule="auto"/>
        <w:rPr>
          <w:rStyle w:val="Strong"/>
          <w:i w:val="0"/>
        </w:rPr>
      </w:pPr>
      <w:bookmarkStart w:id="94" w:name="_Hlk106284841"/>
      <w:r w:rsidRPr="00C25A07">
        <w:rPr>
          <w:rStyle w:val="Strong"/>
          <w:i w:val="0"/>
        </w:rPr>
        <w:t xml:space="preserve">Definition </w:t>
      </w:r>
    </w:p>
    <w:p w14:paraId="01F27496" w14:textId="5E0B7794" w:rsidR="00B96AA2" w:rsidRPr="00C25A07" w:rsidRDefault="0086250F" w:rsidP="001838C5">
      <w:pPr>
        <w:spacing w:line="264" w:lineRule="auto"/>
        <w:rPr>
          <w:rStyle w:val="Strong"/>
          <w:b w:val="0"/>
          <w:bCs/>
          <w:i w:val="0"/>
        </w:rPr>
      </w:pPr>
      <w:r w:rsidRPr="00C25A07">
        <w:rPr>
          <w:rStyle w:val="Strong"/>
          <w:b w:val="0"/>
          <w:bCs/>
          <w:i w:val="0"/>
        </w:rPr>
        <w:t>Y</w:t>
      </w:r>
      <w:r w:rsidR="00B96AA2" w:rsidRPr="00C25A07">
        <w:rPr>
          <w:rStyle w:val="Strong"/>
          <w:b w:val="0"/>
          <w:bCs/>
          <w:i w:val="0"/>
        </w:rPr>
        <w:t xml:space="preserve">oung people </w:t>
      </w:r>
      <w:r w:rsidRPr="00C25A07">
        <w:rPr>
          <w:rStyle w:val="Strong"/>
          <w:b w:val="0"/>
          <w:bCs/>
          <w:i w:val="0"/>
        </w:rPr>
        <w:t xml:space="preserve">aged </w:t>
      </w:r>
      <w:r w:rsidR="009B70E9" w:rsidRPr="00C25A07">
        <w:rPr>
          <w:rStyle w:val="Strong"/>
          <w:b w:val="0"/>
          <w:bCs/>
          <w:i w:val="0"/>
        </w:rPr>
        <w:t>12</w:t>
      </w:r>
      <w:r w:rsidRPr="00C25A07">
        <w:rPr>
          <w:rStyle w:val="Strong"/>
          <w:b w:val="0"/>
          <w:bCs/>
          <w:i w:val="0"/>
        </w:rPr>
        <w:t xml:space="preserve"> to 21 years who are</w:t>
      </w:r>
      <w:r w:rsidR="00E13ECD" w:rsidRPr="00C25A07">
        <w:rPr>
          <w:rStyle w:val="Strong"/>
          <w:b w:val="0"/>
          <w:bCs/>
          <w:i w:val="0"/>
        </w:rPr>
        <w:t>, or at risk of</w:t>
      </w:r>
      <w:r w:rsidRPr="00C25A07">
        <w:rPr>
          <w:rStyle w:val="Strong"/>
          <w:b w:val="0"/>
          <w:bCs/>
          <w:i w:val="0"/>
        </w:rPr>
        <w:t xml:space="preserve">: </w:t>
      </w:r>
    </w:p>
    <w:bookmarkEnd w:id="94"/>
    <w:p w14:paraId="4D6F57F6" w14:textId="0B10CDA1" w:rsidR="00B96AA2" w:rsidRPr="00C25A07" w:rsidRDefault="00B96AA2" w:rsidP="0042530D">
      <w:pPr>
        <w:numPr>
          <w:ilvl w:val="0"/>
          <w:numId w:val="3"/>
        </w:numPr>
        <w:spacing w:before="60" w:line="264" w:lineRule="auto"/>
        <w:ind w:left="714" w:hanging="357"/>
      </w:pPr>
      <w:r w:rsidRPr="00C25A07">
        <w:t>disconnecti</w:t>
      </w:r>
      <w:r w:rsidR="000D24F2" w:rsidRPr="00C25A07">
        <w:t>on</w:t>
      </w:r>
      <w:r w:rsidRPr="00C25A07">
        <w:t xml:space="preserve"> from their family</w:t>
      </w:r>
      <w:r w:rsidR="00DF5BF2" w:rsidRPr="00C25A07">
        <w:t xml:space="preserve">, </w:t>
      </w:r>
      <w:r w:rsidRPr="00C25A07">
        <w:t>community</w:t>
      </w:r>
      <w:r w:rsidR="004A7F3C" w:rsidRPr="00C25A07">
        <w:t xml:space="preserve">, </w:t>
      </w:r>
      <w:r w:rsidR="004F2E11" w:rsidRPr="00C25A07">
        <w:t xml:space="preserve">prosocial or </w:t>
      </w:r>
      <w:r w:rsidR="004A7F3C" w:rsidRPr="00C25A07">
        <w:t>recreation</w:t>
      </w:r>
      <w:r w:rsidR="004F2E11" w:rsidRPr="00C25A07">
        <w:t xml:space="preserve"> activities</w:t>
      </w:r>
      <w:r w:rsidRPr="00C25A07">
        <w:t xml:space="preserve"> or </w:t>
      </w:r>
      <w:r w:rsidR="004A7F3C" w:rsidRPr="00C25A07">
        <w:t xml:space="preserve">informal </w:t>
      </w:r>
      <w:r w:rsidRPr="00C25A07">
        <w:t>support network</w:t>
      </w:r>
      <w:r w:rsidR="004A7F3C" w:rsidRPr="00C25A07">
        <w:t>s</w:t>
      </w:r>
    </w:p>
    <w:p w14:paraId="438E5E6C" w14:textId="2FF04939" w:rsidR="00B96AA2" w:rsidRPr="0086250F" w:rsidRDefault="0089542F" w:rsidP="0042530D">
      <w:pPr>
        <w:numPr>
          <w:ilvl w:val="0"/>
          <w:numId w:val="3"/>
        </w:numPr>
        <w:spacing w:before="60" w:line="264" w:lineRule="auto"/>
        <w:ind w:left="714" w:hanging="357"/>
      </w:pPr>
      <w:r w:rsidRPr="0086250F">
        <w:t>disengag</w:t>
      </w:r>
      <w:r w:rsidR="00E13ECD">
        <w:t>ement</w:t>
      </w:r>
      <w:r w:rsidR="00B96AA2" w:rsidRPr="0086250F">
        <w:t xml:space="preserve"> from school, training and /</w:t>
      </w:r>
      <w:r w:rsidR="0086250F" w:rsidRPr="0086250F">
        <w:t xml:space="preserve"> </w:t>
      </w:r>
      <w:r w:rsidR="00B96AA2" w:rsidRPr="0086250F">
        <w:t>or employment</w:t>
      </w:r>
    </w:p>
    <w:p w14:paraId="47C92ED9" w14:textId="6CBF9840" w:rsidR="00B96AA2" w:rsidRPr="0086250F" w:rsidRDefault="00DF5BF2" w:rsidP="0042530D">
      <w:pPr>
        <w:numPr>
          <w:ilvl w:val="0"/>
          <w:numId w:val="3"/>
        </w:numPr>
        <w:spacing w:before="60" w:line="264" w:lineRule="auto"/>
        <w:ind w:left="714" w:hanging="357"/>
      </w:pPr>
      <w:r w:rsidRPr="0086250F">
        <w:t>harm</w:t>
      </w:r>
      <w:r w:rsidR="00B96AA2" w:rsidRPr="0086250F">
        <w:t xml:space="preserve"> including</w:t>
      </w:r>
      <w:r w:rsidR="000D24F2">
        <w:t xml:space="preserve"> substance abuse, </w:t>
      </w:r>
      <w:r w:rsidR="00B96AA2" w:rsidRPr="0086250F">
        <w:t>self-</w:t>
      </w:r>
      <w:proofErr w:type="gramStart"/>
      <w:r w:rsidR="00B96AA2" w:rsidRPr="0086250F">
        <w:t>harm</w:t>
      </w:r>
      <w:proofErr w:type="gramEnd"/>
      <w:r w:rsidR="003A438C" w:rsidRPr="0086250F">
        <w:t xml:space="preserve"> and suicide</w:t>
      </w:r>
    </w:p>
    <w:p w14:paraId="0C171DF7" w14:textId="77777777" w:rsidR="003A438C" w:rsidRPr="0086250F" w:rsidRDefault="00890644" w:rsidP="0042530D">
      <w:pPr>
        <w:numPr>
          <w:ilvl w:val="0"/>
          <w:numId w:val="3"/>
        </w:numPr>
        <w:spacing w:before="60" w:line="264" w:lineRule="auto"/>
        <w:ind w:left="714" w:hanging="357"/>
      </w:pPr>
      <w:r w:rsidRPr="0086250F">
        <w:t>cultural disconnection</w:t>
      </w:r>
    </w:p>
    <w:p w14:paraId="6DE54C1E" w14:textId="1422FE2B" w:rsidR="00B96AA2" w:rsidRPr="0086250F" w:rsidRDefault="00132FF1" w:rsidP="0042530D">
      <w:pPr>
        <w:numPr>
          <w:ilvl w:val="0"/>
          <w:numId w:val="3"/>
        </w:numPr>
        <w:spacing w:before="60" w:line="264" w:lineRule="auto"/>
        <w:ind w:left="714" w:hanging="357"/>
      </w:pPr>
      <w:r w:rsidRPr="0086250F">
        <w:t>homelessness</w:t>
      </w:r>
    </w:p>
    <w:p w14:paraId="10A60E5E" w14:textId="748EC232" w:rsidR="008A34AD" w:rsidRDefault="00E13ECD" w:rsidP="0042530D">
      <w:pPr>
        <w:numPr>
          <w:ilvl w:val="0"/>
          <w:numId w:val="3"/>
        </w:numPr>
        <w:spacing w:before="60" w:line="264" w:lineRule="auto"/>
        <w:ind w:left="714" w:hanging="357"/>
      </w:pPr>
      <w:r>
        <w:t>entering criminal justice systems including</w:t>
      </w:r>
      <w:r w:rsidR="003E4263" w:rsidRPr="0086250F">
        <w:t xml:space="preserve"> Youth Justice</w:t>
      </w:r>
      <w:r w:rsidR="002965C0">
        <w:t>.  (</w:t>
      </w:r>
      <w:r w:rsidR="002965C0" w:rsidRPr="002965C0">
        <w:t xml:space="preserve">Young people who are </w:t>
      </w:r>
      <w:r w:rsidR="0068080C">
        <w:t xml:space="preserve">at </w:t>
      </w:r>
      <w:r w:rsidR="002965C0" w:rsidRPr="002965C0">
        <w:t>risk of entering the Youth Justice System are known to police and have been cautioned more than once</w:t>
      </w:r>
      <w:r w:rsidR="002965C0">
        <w:t>).</w:t>
      </w:r>
    </w:p>
    <w:p w14:paraId="436A4494" w14:textId="4F6360D8" w:rsidR="00ED0B77" w:rsidRDefault="00ED0B77" w:rsidP="001838C5">
      <w:pPr>
        <w:spacing w:line="264" w:lineRule="auto"/>
      </w:pPr>
    </w:p>
    <w:p w14:paraId="44A8E071" w14:textId="2183D2F0" w:rsidR="00463953" w:rsidRPr="00463953" w:rsidRDefault="00463953" w:rsidP="00ED0B77">
      <w:pPr>
        <w:spacing w:before="60" w:after="60" w:line="264" w:lineRule="auto"/>
        <w:rPr>
          <w:b/>
          <w:bCs/>
        </w:rPr>
      </w:pPr>
      <w:r w:rsidRPr="00463953">
        <w:rPr>
          <w:b/>
          <w:bCs/>
        </w:rPr>
        <w:t>Purpose of Funding</w:t>
      </w:r>
    </w:p>
    <w:p w14:paraId="5344FA00" w14:textId="5AB0D956" w:rsidR="00ED0B77" w:rsidRPr="00C25A07" w:rsidRDefault="00E13ECD" w:rsidP="00E13ECD">
      <w:pPr>
        <w:spacing w:line="264" w:lineRule="auto"/>
        <w:rPr>
          <w:szCs w:val="18"/>
        </w:rPr>
      </w:pPr>
      <w:r w:rsidRPr="00463953">
        <w:rPr>
          <w:szCs w:val="18"/>
        </w:rPr>
        <w:t xml:space="preserve">To support young people </w:t>
      </w:r>
      <w:r w:rsidR="00710CBE" w:rsidRPr="00710CBE">
        <w:rPr>
          <w:szCs w:val="18"/>
        </w:rPr>
        <w:t xml:space="preserve">who are not </w:t>
      </w:r>
      <w:r w:rsidR="00710CBE" w:rsidRPr="00C25A07">
        <w:rPr>
          <w:szCs w:val="18"/>
        </w:rPr>
        <w:t xml:space="preserve">supported by protective factors (families, friends, communities, </w:t>
      </w:r>
      <w:proofErr w:type="gramStart"/>
      <w:r w:rsidR="00710CBE" w:rsidRPr="00C25A07">
        <w:rPr>
          <w:szCs w:val="18"/>
        </w:rPr>
        <w:t>school</w:t>
      </w:r>
      <w:proofErr w:type="gramEnd"/>
      <w:r w:rsidR="00710CBE" w:rsidRPr="00C25A07">
        <w:rPr>
          <w:szCs w:val="18"/>
        </w:rPr>
        <w:t xml:space="preserve"> and cultural connections) to enable them to lead safe, healthy and active lives. </w:t>
      </w:r>
    </w:p>
    <w:p w14:paraId="012CB672" w14:textId="77777777" w:rsidR="00E13ECD" w:rsidRPr="00C25A07" w:rsidRDefault="00E13ECD" w:rsidP="001838C5">
      <w:pPr>
        <w:spacing w:line="264" w:lineRule="auto"/>
      </w:pPr>
    </w:p>
    <w:p w14:paraId="211E651F" w14:textId="77777777" w:rsidR="009F3ABA" w:rsidRDefault="009F3ABA">
      <w:pPr>
        <w:rPr>
          <w:b/>
          <w:sz w:val="22"/>
          <w:lang w:eastAsia="en-US"/>
        </w:rPr>
      </w:pPr>
      <w:bookmarkStart w:id="95" w:name="_Toc508701783"/>
      <w:bookmarkStart w:id="96" w:name="_Toc516054628"/>
      <w:r>
        <w:br w:type="page"/>
      </w:r>
    </w:p>
    <w:p w14:paraId="464EE8E2" w14:textId="2E44D14E" w:rsidR="00B96AA2" w:rsidRPr="00944A84" w:rsidRDefault="00331C71" w:rsidP="00ED0B77">
      <w:pPr>
        <w:pStyle w:val="SPEC3"/>
        <w:spacing w:before="60" w:after="60" w:line="264" w:lineRule="auto"/>
      </w:pPr>
      <w:r w:rsidRPr="00C25A07">
        <w:lastRenderedPageBreak/>
        <w:t>5</w:t>
      </w:r>
      <w:r w:rsidR="00E55CCD" w:rsidRPr="00C25A07">
        <w:t xml:space="preserve">.1.1 </w:t>
      </w:r>
      <w:r w:rsidR="00354793" w:rsidRPr="00944A84">
        <w:t>Requirements – Y</w:t>
      </w:r>
      <w:r w:rsidR="00B96AA2" w:rsidRPr="00944A84">
        <w:t xml:space="preserve">oung people aged </w:t>
      </w:r>
      <w:r w:rsidR="009B70E9" w:rsidRPr="00944A84">
        <w:t>12</w:t>
      </w:r>
      <w:r w:rsidR="00B96AA2" w:rsidRPr="00944A84">
        <w:t>–</w:t>
      </w:r>
      <w:r w:rsidR="00984AD5" w:rsidRPr="00944A84">
        <w:t xml:space="preserve">21 </w:t>
      </w:r>
      <w:r w:rsidR="00B96AA2" w:rsidRPr="00944A84">
        <w:t>years who are at risk of disconnection</w:t>
      </w:r>
      <w:bookmarkEnd w:id="95"/>
      <w:bookmarkEnd w:id="96"/>
    </w:p>
    <w:p w14:paraId="488D2F4F" w14:textId="336CFF98" w:rsidR="00B96AA2" w:rsidRPr="00944A84" w:rsidRDefault="00710CBE" w:rsidP="001838C5">
      <w:pPr>
        <w:spacing w:line="264" w:lineRule="auto"/>
        <w:rPr>
          <w:lang w:val="en-GB"/>
        </w:rPr>
      </w:pPr>
      <w:r w:rsidRPr="00944A84">
        <w:rPr>
          <w:lang w:val="en-GB"/>
        </w:rPr>
        <w:t>The service must i</w:t>
      </w:r>
      <w:r w:rsidR="00B96AA2" w:rsidRPr="00944A84">
        <w:rPr>
          <w:lang w:val="en-GB"/>
        </w:rPr>
        <w:t>dentify and provide the most appropriate response and</w:t>
      </w:r>
      <w:r w:rsidR="008C6E8E" w:rsidRPr="00944A84">
        <w:rPr>
          <w:lang w:val="en-GB"/>
        </w:rPr>
        <w:t xml:space="preserve"> </w:t>
      </w:r>
      <w:r w:rsidR="00B96AA2" w:rsidRPr="00944A84">
        <w:rPr>
          <w:lang w:val="en-GB"/>
        </w:rPr>
        <w:t>/</w:t>
      </w:r>
      <w:r w:rsidR="008C6E8E" w:rsidRPr="00944A84">
        <w:rPr>
          <w:lang w:val="en-GB"/>
        </w:rPr>
        <w:t xml:space="preserve"> </w:t>
      </w:r>
      <w:r w:rsidR="00B96AA2" w:rsidRPr="00944A84">
        <w:rPr>
          <w:lang w:val="en-GB"/>
        </w:rPr>
        <w:t>or suitable referral in accordance with the presenting level of need and circumstances of the young person.</w:t>
      </w:r>
    </w:p>
    <w:p w14:paraId="3A1D1722" w14:textId="77777777" w:rsidR="00ED0B77" w:rsidRPr="00944A84" w:rsidRDefault="00ED0B77" w:rsidP="001838C5">
      <w:pPr>
        <w:spacing w:line="264" w:lineRule="auto"/>
        <w:rPr>
          <w:lang w:val="en-GB"/>
        </w:rPr>
      </w:pPr>
    </w:p>
    <w:p w14:paraId="69FEF81D" w14:textId="6012E18A" w:rsidR="004C5C34" w:rsidRPr="00944A84" w:rsidRDefault="004C5C34" w:rsidP="001838C5">
      <w:pPr>
        <w:spacing w:line="264" w:lineRule="auto"/>
      </w:pPr>
      <w:r w:rsidRPr="00944A84">
        <w:t xml:space="preserve">Where a young person is in, or at risk of entering the Youth Justice System, the Supplier will work with the young person, and their family as relevant, to address offending behaviour and reduce the frequency and severity of future offending behaviours. </w:t>
      </w:r>
    </w:p>
    <w:p w14:paraId="5CDE936A" w14:textId="77777777" w:rsidR="00ED0B77" w:rsidRPr="00944A84" w:rsidRDefault="00ED0B77" w:rsidP="001838C5">
      <w:pPr>
        <w:spacing w:line="264" w:lineRule="auto"/>
      </w:pPr>
    </w:p>
    <w:p w14:paraId="5FA6E3BC" w14:textId="4DFCB2B0" w:rsidR="00B96AA2" w:rsidRPr="00710CBE" w:rsidRDefault="00331C71" w:rsidP="00ED0B77">
      <w:pPr>
        <w:pStyle w:val="SPEC3"/>
        <w:spacing w:before="60" w:after="60" w:line="264" w:lineRule="auto"/>
      </w:pPr>
      <w:bookmarkStart w:id="97" w:name="_Toc508701784"/>
      <w:bookmarkStart w:id="98" w:name="_Toc516054629"/>
      <w:r w:rsidRPr="00944A84">
        <w:t>5</w:t>
      </w:r>
      <w:r w:rsidR="00E55CCD" w:rsidRPr="00944A84">
        <w:t xml:space="preserve">.1.2 </w:t>
      </w:r>
      <w:r w:rsidR="00354793" w:rsidRPr="00944A84">
        <w:t>Considerations – Y</w:t>
      </w:r>
      <w:r w:rsidR="00B96AA2" w:rsidRPr="00944A84">
        <w:t>oung people</w:t>
      </w:r>
      <w:r w:rsidR="00B96AA2" w:rsidRPr="00710CBE">
        <w:t xml:space="preserve"> aged </w:t>
      </w:r>
      <w:r w:rsidR="00984AD5" w:rsidRPr="00710CBE">
        <w:t>8</w:t>
      </w:r>
      <w:r w:rsidR="00B96AA2" w:rsidRPr="00710CBE">
        <w:t>–11 years who are at risk of disconnection</w:t>
      </w:r>
      <w:bookmarkEnd w:id="97"/>
      <w:bookmarkEnd w:id="98"/>
    </w:p>
    <w:p w14:paraId="05B52B3F" w14:textId="5D8A7B1D" w:rsidR="00B96AA2" w:rsidRDefault="00A140CF" w:rsidP="001838C5">
      <w:pPr>
        <w:spacing w:line="264" w:lineRule="auto"/>
      </w:pPr>
      <w:r w:rsidRPr="00710CBE">
        <w:t>Y</w:t>
      </w:r>
      <w:r w:rsidR="00B96AA2" w:rsidRPr="00710CBE">
        <w:t xml:space="preserve">oung people aged </w:t>
      </w:r>
      <w:r w:rsidR="00984AD5" w:rsidRPr="00710CBE">
        <w:t>8</w:t>
      </w:r>
      <w:r w:rsidRPr="00710CBE">
        <w:t xml:space="preserve"> to </w:t>
      </w:r>
      <w:r w:rsidR="00B96AA2" w:rsidRPr="00710CBE">
        <w:t xml:space="preserve">11 years are only offered a service if a sibling aged 12 years or older is already </w:t>
      </w:r>
      <w:r w:rsidR="00062A60" w:rsidRPr="00710CBE">
        <w:t>a Service User.  S</w:t>
      </w:r>
      <w:r w:rsidR="00B96AA2" w:rsidRPr="00710CBE">
        <w:t xml:space="preserve">upport </w:t>
      </w:r>
      <w:r w:rsidR="00062A60" w:rsidRPr="00710CBE">
        <w:t>may also be provided</w:t>
      </w:r>
      <w:r w:rsidR="00B96AA2" w:rsidRPr="00710CBE">
        <w:t xml:space="preserve"> in the context of working with the family. </w:t>
      </w:r>
      <w:r w:rsidR="004E2383" w:rsidRPr="00710CBE">
        <w:t xml:space="preserve"> </w:t>
      </w:r>
      <w:r w:rsidR="00FA4405" w:rsidRPr="00710CBE">
        <w:t xml:space="preserve">In these </w:t>
      </w:r>
      <w:proofErr w:type="gramStart"/>
      <w:r w:rsidR="00FA4405" w:rsidRPr="00710CBE">
        <w:t>situations</w:t>
      </w:r>
      <w:proofErr w:type="gramEnd"/>
      <w:r w:rsidR="00FA4405" w:rsidRPr="00710CBE">
        <w:t xml:space="preserve"> it may be appropriate </w:t>
      </w:r>
      <w:r w:rsidR="00F77291">
        <w:t>to collaborate</w:t>
      </w:r>
      <w:r w:rsidR="00FA4405" w:rsidRPr="00710CBE">
        <w:t xml:space="preserve"> </w:t>
      </w:r>
      <w:r w:rsidR="00D229C4" w:rsidRPr="00710CBE">
        <w:t xml:space="preserve">with a </w:t>
      </w:r>
      <w:r w:rsidR="00FA4405" w:rsidRPr="00710CBE">
        <w:t>f</w:t>
      </w:r>
      <w:r w:rsidR="00D229C4" w:rsidRPr="00710CBE">
        <w:t>amily</w:t>
      </w:r>
      <w:r w:rsidR="00D229C4" w:rsidRPr="00FA4405">
        <w:t xml:space="preserve"> </w:t>
      </w:r>
      <w:r w:rsidR="00FA4405" w:rsidRPr="00FA4405">
        <w:t>s</w:t>
      </w:r>
      <w:r w:rsidR="00D229C4" w:rsidRPr="00FA4405">
        <w:t xml:space="preserve">upport service to ensure the best outcome for children </w:t>
      </w:r>
      <w:r w:rsidR="00840AA4" w:rsidRPr="00FA4405">
        <w:t>and</w:t>
      </w:r>
      <w:r w:rsidR="00A96BD3" w:rsidRPr="00FA4405">
        <w:t xml:space="preserve"> their </w:t>
      </w:r>
      <w:r w:rsidR="00840AA4" w:rsidRPr="00FA4405">
        <w:t>famil</w:t>
      </w:r>
      <w:r w:rsidR="009F3ABA">
        <w:t>ies</w:t>
      </w:r>
      <w:r w:rsidR="00D229C4" w:rsidRPr="00FA4405">
        <w:t>.</w:t>
      </w:r>
    </w:p>
    <w:p w14:paraId="3B542480" w14:textId="77777777" w:rsidR="00ED0B77" w:rsidRPr="00FA4405" w:rsidRDefault="00ED0B77" w:rsidP="001838C5">
      <w:pPr>
        <w:spacing w:line="264" w:lineRule="auto"/>
        <w:rPr>
          <w:rFonts w:cs="Arial"/>
        </w:rPr>
      </w:pPr>
    </w:p>
    <w:p w14:paraId="0D4C8986" w14:textId="636F015F" w:rsidR="00B96AA2" w:rsidRPr="00C25A07" w:rsidRDefault="00331C71" w:rsidP="00ED0B77">
      <w:pPr>
        <w:pStyle w:val="SPEC2"/>
        <w:spacing w:before="120" w:after="120" w:line="264" w:lineRule="auto"/>
        <w:rPr>
          <w:sz w:val="24"/>
          <w:szCs w:val="18"/>
        </w:rPr>
      </w:pPr>
      <w:bookmarkStart w:id="99" w:name="_Toc508701785"/>
      <w:bookmarkStart w:id="100" w:name="_Toc516054630"/>
      <w:r w:rsidRPr="001838C5">
        <w:rPr>
          <w:sz w:val="24"/>
          <w:szCs w:val="18"/>
        </w:rPr>
        <w:t>5</w:t>
      </w:r>
      <w:r w:rsidR="00E55CCD" w:rsidRPr="001838C5">
        <w:rPr>
          <w:sz w:val="24"/>
          <w:szCs w:val="18"/>
        </w:rPr>
        <w:t xml:space="preserve">.2 </w:t>
      </w:r>
      <w:r w:rsidR="00B96AA2" w:rsidRPr="001838C5">
        <w:rPr>
          <w:sz w:val="24"/>
          <w:szCs w:val="18"/>
        </w:rPr>
        <w:t xml:space="preserve">Young </w:t>
      </w:r>
      <w:r w:rsidR="00B96AA2" w:rsidRPr="00C25A07">
        <w:rPr>
          <w:sz w:val="24"/>
          <w:szCs w:val="18"/>
        </w:rPr>
        <w:t>people aged 12–</w:t>
      </w:r>
      <w:r w:rsidR="00A67F44" w:rsidRPr="00C25A07">
        <w:rPr>
          <w:sz w:val="24"/>
          <w:szCs w:val="18"/>
        </w:rPr>
        <w:t>2</w:t>
      </w:r>
      <w:r w:rsidR="00C25A07" w:rsidRPr="00C25A07">
        <w:rPr>
          <w:sz w:val="24"/>
          <w:szCs w:val="18"/>
        </w:rPr>
        <w:t>1</w:t>
      </w:r>
      <w:r w:rsidR="00A67F44" w:rsidRPr="00C25A07">
        <w:rPr>
          <w:sz w:val="24"/>
          <w:szCs w:val="18"/>
        </w:rPr>
        <w:t xml:space="preserve"> </w:t>
      </w:r>
      <w:r w:rsidR="00B96AA2" w:rsidRPr="00C25A07">
        <w:rPr>
          <w:sz w:val="24"/>
          <w:szCs w:val="18"/>
        </w:rPr>
        <w:t>years who are at risk of homelessness, or who are homeless (U2347)</w:t>
      </w:r>
      <w:bookmarkEnd w:id="99"/>
      <w:bookmarkEnd w:id="100"/>
    </w:p>
    <w:p w14:paraId="0AECBC8A" w14:textId="77777777" w:rsidR="00463953" w:rsidRPr="00C25A07" w:rsidRDefault="00463953" w:rsidP="00ED0B77">
      <w:pPr>
        <w:spacing w:before="60" w:after="60" w:line="264" w:lineRule="auto"/>
        <w:rPr>
          <w:rStyle w:val="Strong"/>
          <w:i w:val="0"/>
        </w:rPr>
      </w:pPr>
      <w:r w:rsidRPr="00C25A07">
        <w:rPr>
          <w:rStyle w:val="Strong"/>
          <w:i w:val="0"/>
        </w:rPr>
        <w:t xml:space="preserve">Definition </w:t>
      </w:r>
    </w:p>
    <w:p w14:paraId="68A9E6F0" w14:textId="0E4E1306" w:rsidR="00B96AA2" w:rsidRPr="00C25A07" w:rsidRDefault="00FA4405" w:rsidP="001838C5">
      <w:pPr>
        <w:spacing w:line="264" w:lineRule="auto"/>
      </w:pPr>
      <w:r w:rsidRPr="00C25A07">
        <w:rPr>
          <w:rStyle w:val="Strong"/>
          <w:b w:val="0"/>
          <w:bCs/>
          <w:i w:val="0"/>
        </w:rPr>
        <w:t>Young people aged 12 to 2</w:t>
      </w:r>
      <w:r w:rsidR="00C25A07" w:rsidRPr="00C25A07">
        <w:rPr>
          <w:rStyle w:val="Strong"/>
          <w:b w:val="0"/>
          <w:bCs/>
          <w:i w:val="0"/>
        </w:rPr>
        <w:t>1</w:t>
      </w:r>
      <w:r w:rsidRPr="00C25A07">
        <w:rPr>
          <w:rStyle w:val="Strong"/>
          <w:b w:val="0"/>
          <w:bCs/>
          <w:i w:val="0"/>
        </w:rPr>
        <w:t xml:space="preserve"> years who </w:t>
      </w:r>
      <w:r w:rsidR="00517409" w:rsidRPr="00C25A07">
        <w:rPr>
          <w:rStyle w:val="Strong"/>
          <w:b w:val="0"/>
          <w:bCs/>
          <w:i w:val="0"/>
        </w:rPr>
        <w:t>have</w:t>
      </w:r>
      <w:r w:rsidR="00B96AA2" w:rsidRPr="00C25A07">
        <w:t xml:space="preserve"> been sleeping rough or living in unstable or temporary housing arrangements.</w:t>
      </w:r>
      <w:r w:rsidR="00314B32" w:rsidRPr="00C25A07">
        <w:t xml:space="preserve">  </w:t>
      </w:r>
      <w:r w:rsidR="00E13ECD" w:rsidRPr="00C25A07">
        <w:t xml:space="preserve">This includes young people who may be leaving the care of the department (Child Safety) or following a period of detention. </w:t>
      </w:r>
    </w:p>
    <w:p w14:paraId="43EE8C51" w14:textId="77777777" w:rsidR="00ED0B77" w:rsidRPr="00C25A07" w:rsidRDefault="00ED0B77" w:rsidP="001838C5">
      <w:pPr>
        <w:spacing w:line="264" w:lineRule="auto"/>
      </w:pPr>
    </w:p>
    <w:p w14:paraId="5E7E101E" w14:textId="77777777" w:rsidR="00463953" w:rsidRPr="00C25A07" w:rsidRDefault="00463953" w:rsidP="00ED0B77">
      <w:pPr>
        <w:spacing w:before="60" w:after="60" w:line="264" w:lineRule="auto"/>
        <w:rPr>
          <w:b/>
          <w:bCs/>
        </w:rPr>
      </w:pPr>
      <w:r w:rsidRPr="00C25A07">
        <w:rPr>
          <w:b/>
          <w:bCs/>
        </w:rPr>
        <w:t>Purpose of Funding</w:t>
      </w:r>
    </w:p>
    <w:p w14:paraId="5EE4105C" w14:textId="3189C99B" w:rsidR="00463953" w:rsidRPr="00C25A07" w:rsidRDefault="00463953" w:rsidP="001838C5">
      <w:pPr>
        <w:pStyle w:val="SPEC3"/>
        <w:spacing w:line="264" w:lineRule="auto"/>
        <w:rPr>
          <w:b w:val="0"/>
          <w:bCs/>
          <w:sz w:val="20"/>
          <w:szCs w:val="18"/>
        </w:rPr>
      </w:pPr>
      <w:bookmarkStart w:id="101" w:name="_Toc508634943"/>
      <w:bookmarkStart w:id="102" w:name="_Toc508636585"/>
      <w:bookmarkStart w:id="103" w:name="_Toc508636601"/>
      <w:bookmarkStart w:id="104" w:name="_Toc508636676"/>
      <w:bookmarkStart w:id="105" w:name="_Toc508699875"/>
      <w:bookmarkStart w:id="106" w:name="_Toc508701177"/>
      <w:bookmarkStart w:id="107" w:name="_Toc508701786"/>
      <w:bookmarkStart w:id="108" w:name="_Toc516054631"/>
      <w:bookmarkEnd w:id="101"/>
      <w:bookmarkEnd w:id="102"/>
      <w:bookmarkEnd w:id="103"/>
      <w:bookmarkEnd w:id="104"/>
      <w:bookmarkEnd w:id="105"/>
      <w:bookmarkEnd w:id="106"/>
      <w:r w:rsidRPr="00C25A07">
        <w:rPr>
          <w:b w:val="0"/>
          <w:bCs/>
          <w:sz w:val="20"/>
          <w:szCs w:val="18"/>
        </w:rPr>
        <w:t>To support young people to access and maintain safe and stable accommodation and information and advice which will assist the young person to connect with their family and / or required supports and services in the community.</w:t>
      </w:r>
    </w:p>
    <w:p w14:paraId="0E081268" w14:textId="77777777" w:rsidR="00ED0B77" w:rsidRPr="00C25A07" w:rsidRDefault="00ED0B77" w:rsidP="001838C5">
      <w:pPr>
        <w:pStyle w:val="SPEC3"/>
        <w:spacing w:line="264" w:lineRule="auto"/>
        <w:rPr>
          <w:b w:val="0"/>
          <w:bCs/>
          <w:sz w:val="20"/>
          <w:szCs w:val="18"/>
        </w:rPr>
      </w:pPr>
    </w:p>
    <w:p w14:paraId="1FD1DF78" w14:textId="414EC9D9" w:rsidR="00B96AA2" w:rsidRPr="00C25A07" w:rsidRDefault="00331C71" w:rsidP="00ED0B77">
      <w:pPr>
        <w:pStyle w:val="SPEC3"/>
        <w:spacing w:before="60" w:after="60" w:line="264" w:lineRule="auto"/>
      </w:pPr>
      <w:r w:rsidRPr="00C25A07">
        <w:t>5</w:t>
      </w:r>
      <w:r w:rsidR="00E55CCD" w:rsidRPr="00C25A07">
        <w:t xml:space="preserve">.2.1 </w:t>
      </w:r>
      <w:r w:rsidR="00354793" w:rsidRPr="00C25A07">
        <w:t>Requirements – Y</w:t>
      </w:r>
      <w:r w:rsidR="00B96AA2" w:rsidRPr="00C25A07">
        <w:t>oung people aged 12–</w:t>
      </w:r>
      <w:r w:rsidR="00A67F44" w:rsidRPr="00C25A07">
        <w:t>2</w:t>
      </w:r>
      <w:r w:rsidR="00C25A07" w:rsidRPr="00C25A07">
        <w:t>1</w:t>
      </w:r>
      <w:r w:rsidR="00A67F44" w:rsidRPr="00C25A07">
        <w:t xml:space="preserve"> </w:t>
      </w:r>
      <w:r w:rsidR="00B96AA2" w:rsidRPr="00C25A07">
        <w:t>at risk of homelessness or homeless</w:t>
      </w:r>
      <w:bookmarkEnd w:id="107"/>
      <w:bookmarkEnd w:id="108"/>
    </w:p>
    <w:p w14:paraId="402DB29B" w14:textId="2D4C2072" w:rsidR="00B96AA2" w:rsidRPr="00C25A07" w:rsidRDefault="005617F2" w:rsidP="001838C5">
      <w:pPr>
        <w:spacing w:line="264" w:lineRule="auto"/>
      </w:pPr>
      <w:r w:rsidRPr="00C25A07">
        <w:t>The service must p</w:t>
      </w:r>
      <w:r w:rsidR="00B96AA2" w:rsidRPr="00C25A07">
        <w:t>rovide an initial assessment to identify the</w:t>
      </w:r>
      <w:r w:rsidR="00846B38" w:rsidRPr="00C25A07">
        <w:t xml:space="preserve"> contributing factors or risks for the young </w:t>
      </w:r>
      <w:r w:rsidR="00BE6C96" w:rsidRPr="00C25A07">
        <w:t xml:space="preserve">person </w:t>
      </w:r>
      <w:r w:rsidR="00820562" w:rsidRPr="00C25A07">
        <w:t>presenting</w:t>
      </w:r>
      <w:r w:rsidR="00BE6C96" w:rsidRPr="00C25A07">
        <w:t xml:space="preserve"> as </w:t>
      </w:r>
      <w:r w:rsidR="00C61852">
        <w:t xml:space="preserve">homeless </w:t>
      </w:r>
      <w:r w:rsidR="00BE6C96" w:rsidRPr="00C25A07">
        <w:t xml:space="preserve">or at risk of </w:t>
      </w:r>
      <w:r w:rsidR="00B96AA2" w:rsidRPr="00C25A07">
        <w:t>h</w:t>
      </w:r>
      <w:r w:rsidR="00846B38" w:rsidRPr="00C25A07">
        <w:t xml:space="preserve">omelessness. </w:t>
      </w:r>
      <w:r w:rsidR="009F3ABA">
        <w:t xml:space="preserve"> </w:t>
      </w:r>
      <w:r w:rsidR="00846B38" w:rsidRPr="00C25A07">
        <w:t xml:space="preserve">Consideration </w:t>
      </w:r>
      <w:r w:rsidR="009F3ABA">
        <w:t>will</w:t>
      </w:r>
      <w:r w:rsidR="00846B38" w:rsidRPr="00C25A07">
        <w:t xml:space="preserve"> be given to working with specialist homelessness services</w:t>
      </w:r>
      <w:r w:rsidRPr="00C25A07">
        <w:t xml:space="preserve"> </w:t>
      </w:r>
      <w:r w:rsidR="00846B38" w:rsidRPr="00C25A07">
        <w:t xml:space="preserve">to actively plan for and improve the young person’s access </w:t>
      </w:r>
      <w:r w:rsidR="0007572D" w:rsidRPr="00C25A07">
        <w:t>to</w:t>
      </w:r>
      <w:r w:rsidR="00BE6C96" w:rsidRPr="00C25A07">
        <w:t>,</w:t>
      </w:r>
      <w:r w:rsidR="0007572D" w:rsidRPr="00C25A07">
        <w:t xml:space="preserve"> </w:t>
      </w:r>
      <w:r w:rsidR="00846B38" w:rsidRPr="00C25A07">
        <w:t>or maintenance of</w:t>
      </w:r>
      <w:r w:rsidR="00BE6C96" w:rsidRPr="00C25A07">
        <w:t>,</w:t>
      </w:r>
      <w:r w:rsidR="00846B38" w:rsidRPr="00C25A07">
        <w:t xml:space="preserve"> </w:t>
      </w:r>
      <w:r w:rsidR="00B96AA2" w:rsidRPr="00C25A07">
        <w:t xml:space="preserve">employment, training and education </w:t>
      </w:r>
      <w:r w:rsidR="00846B38" w:rsidRPr="00C25A07">
        <w:t xml:space="preserve">and psycho-social </w:t>
      </w:r>
      <w:r w:rsidR="00B96AA2" w:rsidRPr="00C25A07">
        <w:t xml:space="preserve">support needs </w:t>
      </w:r>
      <w:r w:rsidR="00846B38" w:rsidRPr="00C25A07">
        <w:t>as contributors to reducing ongoing risk of homelessness</w:t>
      </w:r>
      <w:r w:rsidR="00ED0B77" w:rsidRPr="00C25A07">
        <w:t>.</w:t>
      </w:r>
    </w:p>
    <w:p w14:paraId="2ABBD83C" w14:textId="77777777" w:rsidR="00ED0B77" w:rsidRPr="00C25A07" w:rsidRDefault="00ED0B77" w:rsidP="001838C5">
      <w:pPr>
        <w:spacing w:line="264" w:lineRule="auto"/>
      </w:pPr>
    </w:p>
    <w:p w14:paraId="056BE159" w14:textId="20E1B79F" w:rsidR="00B96AA2" w:rsidRPr="00C25A07" w:rsidRDefault="00331C71" w:rsidP="00ED0B77">
      <w:pPr>
        <w:pStyle w:val="SPEC3"/>
        <w:spacing w:before="60" w:after="60" w:line="264" w:lineRule="auto"/>
      </w:pPr>
      <w:bookmarkStart w:id="109" w:name="_Toc508701787"/>
      <w:bookmarkStart w:id="110" w:name="_Toc516054632"/>
      <w:r w:rsidRPr="00C25A07">
        <w:t>5</w:t>
      </w:r>
      <w:r w:rsidR="00E55CCD" w:rsidRPr="00C25A07">
        <w:t xml:space="preserve">.2.2 </w:t>
      </w:r>
      <w:r w:rsidR="00354793" w:rsidRPr="00C25A07">
        <w:t>Considerations – Y</w:t>
      </w:r>
      <w:r w:rsidR="00B96AA2" w:rsidRPr="00C25A07">
        <w:t>oung people aged 12–</w:t>
      </w:r>
      <w:r w:rsidR="00A67F44" w:rsidRPr="00C25A07">
        <w:t>2</w:t>
      </w:r>
      <w:r w:rsidR="00C25A07" w:rsidRPr="00C25A07">
        <w:t>1</w:t>
      </w:r>
      <w:r w:rsidR="00A67F44" w:rsidRPr="00C25A07">
        <w:t xml:space="preserve"> </w:t>
      </w:r>
      <w:r w:rsidR="00B96AA2" w:rsidRPr="00C25A07">
        <w:t>at risk of homelessness or homeless</w:t>
      </w:r>
      <w:bookmarkEnd w:id="109"/>
      <w:bookmarkEnd w:id="110"/>
    </w:p>
    <w:p w14:paraId="5C86240F" w14:textId="68A1AB3A" w:rsidR="00A06BD2" w:rsidRPr="00C83283" w:rsidRDefault="00B96AA2" w:rsidP="001838C5">
      <w:pPr>
        <w:tabs>
          <w:tab w:val="left" w:pos="567"/>
        </w:tabs>
        <w:spacing w:line="264" w:lineRule="auto"/>
      </w:pPr>
      <w:r w:rsidRPr="00C25A07">
        <w:t xml:space="preserve">Brokerage funds, as a component of support, are </w:t>
      </w:r>
      <w:r w:rsidR="00C83283" w:rsidRPr="00C25A07">
        <w:t xml:space="preserve">to be </w:t>
      </w:r>
      <w:r w:rsidRPr="00C25A07">
        <w:t xml:space="preserve">used to purchase goods and services for the direct benefit of Service Users in line with case plan goals </w:t>
      </w:r>
      <w:r w:rsidRPr="00C83283">
        <w:t xml:space="preserve">and service agreements. </w:t>
      </w:r>
    </w:p>
    <w:p w14:paraId="513C68A8" w14:textId="77777777" w:rsidR="00ED0B77" w:rsidRPr="00C83283" w:rsidRDefault="00ED0B77" w:rsidP="001838C5">
      <w:pPr>
        <w:tabs>
          <w:tab w:val="left" w:pos="567"/>
        </w:tabs>
        <w:spacing w:line="264" w:lineRule="auto"/>
      </w:pPr>
    </w:p>
    <w:p w14:paraId="58D27CB4" w14:textId="782DB90F" w:rsidR="00EE7F00" w:rsidRPr="0089542F" w:rsidRDefault="00331C71" w:rsidP="00ED0B77">
      <w:pPr>
        <w:pStyle w:val="SPEC1"/>
        <w:spacing w:before="120" w:after="120" w:line="264" w:lineRule="auto"/>
      </w:pPr>
      <w:bookmarkStart w:id="111" w:name="_Toc421798597"/>
      <w:bookmarkStart w:id="112" w:name="_Toc421799886"/>
      <w:bookmarkStart w:id="113" w:name="_Toc508701794"/>
      <w:bookmarkStart w:id="114" w:name="_Toc516054639"/>
      <w:r>
        <w:t>6</w:t>
      </w:r>
      <w:r w:rsidR="0024373A" w:rsidRPr="0089542F">
        <w:t>.</w:t>
      </w:r>
      <w:r w:rsidR="00B401AA" w:rsidRPr="0089542F">
        <w:t xml:space="preserve">  </w:t>
      </w:r>
      <w:r w:rsidR="00EE7F00" w:rsidRPr="0089542F">
        <w:t>Service delivery requirements for specific service types</w:t>
      </w:r>
      <w:bookmarkEnd w:id="111"/>
      <w:bookmarkEnd w:id="112"/>
      <w:bookmarkEnd w:id="113"/>
      <w:bookmarkEnd w:id="114"/>
    </w:p>
    <w:p w14:paraId="65083D65" w14:textId="58F20C10" w:rsidR="00BA2575" w:rsidRPr="001838C5" w:rsidRDefault="00331C71" w:rsidP="00ED0B77">
      <w:pPr>
        <w:pStyle w:val="SPEC2"/>
        <w:spacing w:before="120" w:after="120" w:line="264" w:lineRule="auto"/>
        <w:rPr>
          <w:sz w:val="24"/>
          <w:szCs w:val="18"/>
        </w:rPr>
      </w:pPr>
      <w:bookmarkStart w:id="115" w:name="_Toc421798598"/>
      <w:bookmarkStart w:id="116" w:name="_Toc421799887"/>
      <w:bookmarkStart w:id="117" w:name="_Toc508701795"/>
      <w:bookmarkStart w:id="118" w:name="_Toc516054640"/>
      <w:r w:rsidRPr="001838C5">
        <w:rPr>
          <w:sz w:val="24"/>
          <w:szCs w:val="18"/>
        </w:rPr>
        <w:t>6</w:t>
      </w:r>
      <w:r w:rsidR="004029BB" w:rsidRPr="001838C5">
        <w:rPr>
          <w:sz w:val="24"/>
          <w:szCs w:val="18"/>
        </w:rPr>
        <w:t xml:space="preserve">.1 </w:t>
      </w:r>
      <w:r w:rsidR="00EC56FD" w:rsidRPr="001838C5">
        <w:rPr>
          <w:sz w:val="24"/>
          <w:szCs w:val="18"/>
        </w:rPr>
        <w:t>Access</w:t>
      </w:r>
      <w:r w:rsidR="00775765" w:rsidRPr="001838C5">
        <w:rPr>
          <w:sz w:val="24"/>
          <w:szCs w:val="18"/>
        </w:rPr>
        <w:t xml:space="preserve"> – Information, </w:t>
      </w:r>
      <w:proofErr w:type="gramStart"/>
      <w:r w:rsidR="00775765" w:rsidRPr="001838C5">
        <w:rPr>
          <w:sz w:val="24"/>
          <w:szCs w:val="18"/>
        </w:rPr>
        <w:t>advice</w:t>
      </w:r>
      <w:proofErr w:type="gramEnd"/>
      <w:r w:rsidR="00775765" w:rsidRPr="001838C5">
        <w:rPr>
          <w:sz w:val="24"/>
          <w:szCs w:val="18"/>
        </w:rPr>
        <w:t xml:space="preserve"> and referral</w:t>
      </w:r>
      <w:r w:rsidR="004B0012" w:rsidRPr="001838C5">
        <w:rPr>
          <w:sz w:val="24"/>
          <w:szCs w:val="18"/>
        </w:rPr>
        <w:t xml:space="preserve"> </w:t>
      </w:r>
      <w:r w:rsidR="00205BBC" w:rsidRPr="001838C5">
        <w:rPr>
          <w:sz w:val="24"/>
          <w:szCs w:val="18"/>
        </w:rPr>
        <w:t>(T103)</w:t>
      </w:r>
      <w:bookmarkEnd w:id="115"/>
      <w:bookmarkEnd w:id="116"/>
      <w:bookmarkEnd w:id="117"/>
      <w:bookmarkEnd w:id="118"/>
    </w:p>
    <w:p w14:paraId="3825B70B" w14:textId="73F09348" w:rsidR="00EC4052" w:rsidRDefault="008F6190" w:rsidP="001838C5">
      <w:pPr>
        <w:spacing w:line="264" w:lineRule="auto"/>
      </w:pPr>
      <w:r w:rsidRPr="008F6190">
        <w:t>S</w:t>
      </w:r>
      <w:r w:rsidR="00E05A20">
        <w:t>ervice responses</w:t>
      </w:r>
      <w:r w:rsidRPr="008F6190">
        <w:t xml:space="preserve"> under this service type </w:t>
      </w:r>
      <w:r w:rsidR="00EC4052" w:rsidRPr="008F6190">
        <w:t xml:space="preserve">assist </w:t>
      </w:r>
      <w:r w:rsidR="00FD0A6B" w:rsidRPr="008F6190">
        <w:t>Service User</w:t>
      </w:r>
      <w:r w:rsidR="00EC4052" w:rsidRPr="008F6190">
        <w:t>s to make informed decisions about, or be connected to, the services and support</w:t>
      </w:r>
      <w:r w:rsidR="00062A60" w:rsidRPr="008F6190">
        <w:t>s</w:t>
      </w:r>
      <w:r w:rsidR="00EC4052" w:rsidRPr="008F6190">
        <w:t xml:space="preserve"> that they need. </w:t>
      </w:r>
      <w:r w:rsidR="00062A60" w:rsidRPr="008F6190">
        <w:t xml:space="preserve"> </w:t>
      </w:r>
      <w:r w:rsidR="00EC4052" w:rsidRPr="008F6190">
        <w:t xml:space="preserve">These responses </w:t>
      </w:r>
      <w:r w:rsidR="00D46DFE">
        <w:t xml:space="preserve">are often one-off or infrequent in regularity and </w:t>
      </w:r>
      <w:r>
        <w:t>support</w:t>
      </w:r>
      <w:r w:rsidR="00EC4052" w:rsidRPr="008F6190">
        <w:t xml:space="preserve"> prevention and early intervention approaches and involve preliminary needs identification for the purpose of identifying appropriate service and support options.</w:t>
      </w:r>
    </w:p>
    <w:p w14:paraId="024D7E1A" w14:textId="77777777" w:rsidR="00ED0B77" w:rsidRPr="008F6190" w:rsidRDefault="00ED0B77" w:rsidP="001838C5">
      <w:pPr>
        <w:spacing w:line="264" w:lineRule="auto"/>
      </w:pPr>
    </w:p>
    <w:p w14:paraId="0D5611AB" w14:textId="6B9A3696" w:rsidR="00BA2575" w:rsidRPr="0089542F" w:rsidRDefault="00331C71" w:rsidP="00ED0B77">
      <w:pPr>
        <w:pStyle w:val="SPEC3"/>
        <w:widowControl w:val="0"/>
        <w:spacing w:before="60" w:after="60" w:line="264" w:lineRule="auto"/>
      </w:pPr>
      <w:bookmarkStart w:id="119" w:name="_Toc391041835"/>
      <w:bookmarkStart w:id="120" w:name="_Toc421798599"/>
      <w:bookmarkStart w:id="121" w:name="_Toc421799888"/>
      <w:bookmarkStart w:id="122" w:name="_Toc508701796"/>
      <w:bookmarkStart w:id="123" w:name="_Toc516054641"/>
      <w:r>
        <w:t>6</w:t>
      </w:r>
      <w:r w:rsidR="0037613F" w:rsidRPr="0089542F">
        <w:t xml:space="preserve">.1.1 </w:t>
      </w:r>
      <w:r w:rsidR="00BA2575" w:rsidRPr="0089542F">
        <w:t>Requirements</w:t>
      </w:r>
      <w:r w:rsidR="00354793" w:rsidRPr="0089542F">
        <w:t xml:space="preserve"> – I</w:t>
      </w:r>
      <w:r w:rsidR="00612084" w:rsidRPr="0089542F">
        <w:t xml:space="preserve">nformation, </w:t>
      </w:r>
      <w:proofErr w:type="gramStart"/>
      <w:r w:rsidR="00612084" w:rsidRPr="0089542F">
        <w:t>advice</w:t>
      </w:r>
      <w:proofErr w:type="gramEnd"/>
      <w:r w:rsidR="00612084" w:rsidRPr="0089542F">
        <w:t xml:space="preserve"> and referral</w:t>
      </w:r>
      <w:bookmarkEnd w:id="119"/>
      <w:bookmarkEnd w:id="120"/>
      <w:bookmarkEnd w:id="121"/>
      <w:bookmarkEnd w:id="122"/>
      <w:bookmarkEnd w:id="123"/>
    </w:p>
    <w:p w14:paraId="2218141E" w14:textId="78AC5619" w:rsidR="00710CBE" w:rsidRPr="00710CBE" w:rsidRDefault="00710CBE" w:rsidP="00710CBE">
      <w:pPr>
        <w:spacing w:line="264" w:lineRule="auto"/>
        <w:rPr>
          <w:bCs/>
        </w:rPr>
      </w:pPr>
      <w:r>
        <w:rPr>
          <w:bCs/>
        </w:rPr>
        <w:t>The service must</w:t>
      </w:r>
      <w:r w:rsidRPr="00710CBE">
        <w:rPr>
          <w:bCs/>
        </w:rPr>
        <w:t xml:space="preserve"> assist young people </w:t>
      </w:r>
      <w:r w:rsidR="0068080C">
        <w:rPr>
          <w:bCs/>
        </w:rPr>
        <w:t>(</w:t>
      </w:r>
      <w:r w:rsidRPr="00710CBE">
        <w:rPr>
          <w:bCs/>
        </w:rPr>
        <w:t xml:space="preserve">and </w:t>
      </w:r>
      <w:r w:rsidR="0068080C">
        <w:rPr>
          <w:bCs/>
        </w:rPr>
        <w:t xml:space="preserve">where applicable </w:t>
      </w:r>
      <w:r w:rsidRPr="00710CBE">
        <w:rPr>
          <w:bCs/>
        </w:rPr>
        <w:t xml:space="preserve">their families, </w:t>
      </w:r>
      <w:proofErr w:type="gramStart"/>
      <w:r w:rsidRPr="00710CBE">
        <w:rPr>
          <w:bCs/>
        </w:rPr>
        <w:t>kin</w:t>
      </w:r>
      <w:proofErr w:type="gramEnd"/>
      <w:r w:rsidRPr="00710CBE">
        <w:rPr>
          <w:bCs/>
        </w:rPr>
        <w:t xml:space="preserve"> or community members</w:t>
      </w:r>
      <w:r w:rsidR="0068080C">
        <w:rPr>
          <w:bCs/>
        </w:rPr>
        <w:t>)</w:t>
      </w:r>
      <w:r w:rsidRPr="00710CBE">
        <w:rPr>
          <w:bCs/>
        </w:rPr>
        <w:t xml:space="preserve"> to make informed decisions about, or be connected to, the services and support they need. </w:t>
      </w:r>
      <w:r>
        <w:rPr>
          <w:bCs/>
        </w:rPr>
        <w:t xml:space="preserve"> </w:t>
      </w:r>
      <w:r w:rsidRPr="00710CBE">
        <w:rPr>
          <w:bCs/>
        </w:rPr>
        <w:t>These responses are an important aspect of both prevention and early intervention approaches and involve preliminary needs identification for the purpose of identifying appropriate service and support options.</w:t>
      </w:r>
    </w:p>
    <w:p w14:paraId="339491C9" w14:textId="77777777" w:rsidR="00710CBE" w:rsidRDefault="00710CBE" w:rsidP="001838C5">
      <w:pPr>
        <w:spacing w:line="264" w:lineRule="auto"/>
        <w:rPr>
          <w:bCs/>
        </w:rPr>
      </w:pPr>
    </w:p>
    <w:p w14:paraId="5AF95177" w14:textId="7AB602C1" w:rsidR="00D46DFE" w:rsidRPr="00D46DFE" w:rsidRDefault="00D46DFE" w:rsidP="001838C5">
      <w:pPr>
        <w:spacing w:line="264" w:lineRule="auto"/>
      </w:pPr>
      <w:r>
        <w:rPr>
          <w:bCs/>
        </w:rPr>
        <w:lastRenderedPageBreak/>
        <w:t>Following an initial assessment of needs, t</w:t>
      </w:r>
      <w:r w:rsidR="00C83283" w:rsidRPr="008020DC">
        <w:rPr>
          <w:bCs/>
        </w:rPr>
        <w:t>he service must</w:t>
      </w:r>
      <w:r w:rsidR="00C83283" w:rsidRPr="008020DC">
        <w:t xml:space="preserve"> </w:t>
      </w:r>
      <w:r w:rsidR="00C83283" w:rsidRPr="008020DC">
        <w:rPr>
          <w:bCs/>
        </w:rPr>
        <w:t>provid</w:t>
      </w:r>
      <w:r>
        <w:rPr>
          <w:bCs/>
        </w:rPr>
        <w:t xml:space="preserve">e </w:t>
      </w:r>
      <w:r w:rsidRPr="00D46DFE">
        <w:rPr>
          <w:bCs/>
        </w:rPr>
        <w:t>information, advice and</w:t>
      </w:r>
      <w:r>
        <w:rPr>
          <w:bCs/>
        </w:rPr>
        <w:t xml:space="preserve"> </w:t>
      </w:r>
      <w:r w:rsidRPr="00D46DFE">
        <w:rPr>
          <w:bCs/>
        </w:rPr>
        <w:t xml:space="preserve">referral that is timely, accurate and evidence-informed to meet the needs of Service Users.  This service response will </w:t>
      </w:r>
      <w:r w:rsidRPr="00D46DFE">
        <w:t xml:space="preserve">act as an entry point into the broader service </w:t>
      </w:r>
      <w:r>
        <w:t xml:space="preserve">support </w:t>
      </w:r>
      <w:r w:rsidRPr="00D46DFE">
        <w:t xml:space="preserve">system. </w:t>
      </w:r>
    </w:p>
    <w:p w14:paraId="3C9813AF" w14:textId="77777777" w:rsidR="00ED0B77" w:rsidRPr="00B235A5" w:rsidRDefault="00ED0B77" w:rsidP="001838C5">
      <w:pPr>
        <w:spacing w:line="264" w:lineRule="auto"/>
        <w:rPr>
          <w:highlight w:val="yellow"/>
          <w:lang w:val="en-GB"/>
        </w:rPr>
      </w:pPr>
    </w:p>
    <w:p w14:paraId="47B9AF46" w14:textId="5D94DE08" w:rsidR="00D46DFE" w:rsidRPr="00D46DFE" w:rsidRDefault="00D46DFE" w:rsidP="00D46DFE">
      <w:pPr>
        <w:spacing w:line="264" w:lineRule="auto"/>
      </w:pPr>
      <w:r w:rsidRPr="00D46DFE">
        <w:t xml:space="preserve">Where brokerage is provided under the funding schedule, this must be used as a component of the support provided, used to purchase goods and services for the direct benefit of the Service User’s presenting needs. </w:t>
      </w:r>
    </w:p>
    <w:p w14:paraId="1FA3801B" w14:textId="77777777" w:rsidR="00C55434" w:rsidRPr="00D46DFE" w:rsidRDefault="00C55434" w:rsidP="00C55434">
      <w:pPr>
        <w:spacing w:line="264" w:lineRule="auto"/>
      </w:pPr>
    </w:p>
    <w:p w14:paraId="40628250" w14:textId="504B1848" w:rsidR="00E71C9E" w:rsidRDefault="00A63538" w:rsidP="00AB2F7C">
      <w:pPr>
        <w:spacing w:line="264" w:lineRule="auto"/>
      </w:pPr>
      <w:r w:rsidRPr="008020DC">
        <w:t xml:space="preserve">Support to young people will be delivered in a manner consistent with the </w:t>
      </w:r>
      <w:r w:rsidRPr="008020DC">
        <w:rPr>
          <w:i/>
          <w:iCs/>
        </w:rPr>
        <w:t>Practice Guide for Youth Support Services</w:t>
      </w:r>
      <w:r w:rsidRPr="008020DC">
        <w:t xml:space="preserve"> (September 2016)</w:t>
      </w:r>
      <w:r w:rsidR="00E71C9E">
        <w:t xml:space="preserve"> available on the </w:t>
      </w:r>
      <w:r w:rsidR="00E71C9E" w:rsidRPr="00E71C9E">
        <w:rPr>
          <w:bCs/>
        </w:rPr>
        <w:t>Department of Children, Youth Justice and Multicultural Affairs</w:t>
      </w:r>
      <w:r w:rsidR="00E71C9E" w:rsidRPr="00E71C9E">
        <w:rPr>
          <w:bCs/>
          <w:lang w:val="en"/>
        </w:rPr>
        <w:t xml:space="preserve"> website at</w:t>
      </w:r>
      <w:r w:rsidR="009E2E80" w:rsidRPr="009E2E80">
        <w:t xml:space="preserve"> </w:t>
      </w:r>
      <w:hyperlink r:id="rId17" w:history="1">
        <w:r w:rsidR="009E2E80" w:rsidRPr="00B57178">
          <w:rPr>
            <w:rStyle w:val="Hyperlink"/>
          </w:rPr>
          <w:t>https://www.cyjma.qld.gov.au/resources/dcsyw/youth/youth-support-services/youth-support-practice-guide.pdf</w:t>
        </w:r>
      </w:hyperlink>
      <w:r w:rsidR="009E2E80">
        <w:t>.</w:t>
      </w:r>
      <w:r w:rsidRPr="008020DC">
        <w:t xml:space="preserve">  </w:t>
      </w:r>
    </w:p>
    <w:p w14:paraId="69E64D18" w14:textId="77777777" w:rsidR="00E71C9E" w:rsidRDefault="00E71C9E" w:rsidP="00AB2F7C">
      <w:pPr>
        <w:spacing w:line="264" w:lineRule="auto"/>
      </w:pPr>
    </w:p>
    <w:p w14:paraId="50C44007" w14:textId="38F55A0E" w:rsidR="00A63538" w:rsidRPr="008020DC" w:rsidRDefault="00A63538" w:rsidP="00AB2F7C">
      <w:pPr>
        <w:spacing w:line="264" w:lineRule="auto"/>
        <w:rPr>
          <w:bCs/>
        </w:rPr>
      </w:pPr>
      <w:r w:rsidRPr="008020DC">
        <w:t xml:space="preserve">In addition, services must use </w:t>
      </w:r>
      <w:r w:rsidRPr="008020DC">
        <w:rPr>
          <w:bCs/>
        </w:rPr>
        <w:t xml:space="preserve">the Youth Support Client Information System (YSCIS), </w:t>
      </w:r>
      <w:r w:rsidRPr="008020DC">
        <w:rPr>
          <w:bCs/>
          <w:lang w:val="en"/>
        </w:rPr>
        <w:t>an online client management system developed to support service delivery for Youth Support Services in Queensland.</w:t>
      </w:r>
    </w:p>
    <w:p w14:paraId="13D92FD3" w14:textId="77777777" w:rsidR="00A63538" w:rsidRPr="008020DC" w:rsidRDefault="00A63538" w:rsidP="00A63538">
      <w:pPr>
        <w:spacing w:line="264" w:lineRule="auto"/>
        <w:rPr>
          <w:bCs/>
          <w:lang w:val="en"/>
        </w:rPr>
      </w:pPr>
    </w:p>
    <w:p w14:paraId="0E0C7EFB" w14:textId="5B641400" w:rsidR="00A63538" w:rsidRPr="008020DC" w:rsidRDefault="00A63538" w:rsidP="00A63538">
      <w:pPr>
        <w:spacing w:line="264" w:lineRule="auto"/>
        <w:rPr>
          <w:bCs/>
          <w:lang w:val="en"/>
        </w:rPr>
      </w:pPr>
      <w:r>
        <w:rPr>
          <w:bCs/>
          <w:lang w:val="en"/>
        </w:rPr>
        <w:t xml:space="preserve">Training for staff regarding the use of YSCIS is the responsibility of the </w:t>
      </w:r>
      <w:r w:rsidR="00F648CA">
        <w:rPr>
          <w:bCs/>
          <w:lang w:val="en"/>
        </w:rPr>
        <w:t>Supplier</w:t>
      </w:r>
      <w:r>
        <w:rPr>
          <w:bCs/>
          <w:lang w:val="en"/>
        </w:rPr>
        <w:t xml:space="preserve">.  </w:t>
      </w:r>
      <w:r w:rsidRPr="008020DC">
        <w:rPr>
          <w:bCs/>
          <w:lang w:val="en"/>
        </w:rPr>
        <w:t>More information about these tools</w:t>
      </w:r>
      <w:r>
        <w:rPr>
          <w:bCs/>
          <w:lang w:val="en"/>
        </w:rPr>
        <w:t>, including training videos for YSCIS,</w:t>
      </w:r>
      <w:r w:rsidRPr="008020DC">
        <w:rPr>
          <w:bCs/>
          <w:lang w:val="en"/>
        </w:rPr>
        <w:t xml:space="preserve"> is available on the </w:t>
      </w:r>
      <w:r w:rsidRPr="008020DC">
        <w:rPr>
          <w:bCs/>
        </w:rPr>
        <w:t xml:space="preserve">Department of Children, Youth </w:t>
      </w:r>
      <w:proofErr w:type="gramStart"/>
      <w:r w:rsidRPr="008020DC">
        <w:rPr>
          <w:bCs/>
        </w:rPr>
        <w:t>Justice</w:t>
      </w:r>
      <w:proofErr w:type="gramEnd"/>
      <w:r w:rsidRPr="008020DC">
        <w:rPr>
          <w:bCs/>
        </w:rPr>
        <w:t xml:space="preserve"> and Multicultural Affairs</w:t>
      </w:r>
      <w:r w:rsidRPr="008020DC">
        <w:rPr>
          <w:bCs/>
          <w:lang w:val="en"/>
        </w:rPr>
        <w:t xml:space="preserve"> website at </w:t>
      </w:r>
      <w:hyperlink r:id="rId18" w:history="1">
        <w:r w:rsidRPr="008020DC">
          <w:rPr>
            <w:rStyle w:val="Hyperlink"/>
            <w:bCs/>
            <w:lang w:val="en"/>
          </w:rPr>
          <w:t>https://www.cyjma.qld.gov.au/youth/youth-support-services</w:t>
        </w:r>
      </w:hyperlink>
      <w:r w:rsidRPr="008020DC">
        <w:rPr>
          <w:bCs/>
          <w:lang w:val="en"/>
        </w:rPr>
        <w:t>.</w:t>
      </w:r>
    </w:p>
    <w:p w14:paraId="47AE3C56" w14:textId="77777777" w:rsidR="00ED0B77" w:rsidRPr="00FA4405" w:rsidRDefault="00ED0B77" w:rsidP="001838C5">
      <w:pPr>
        <w:spacing w:line="264" w:lineRule="auto"/>
        <w:rPr>
          <w:highlight w:val="yellow"/>
        </w:rPr>
      </w:pPr>
    </w:p>
    <w:p w14:paraId="159429AE" w14:textId="3F7E7777" w:rsidR="002A5249" w:rsidRPr="0089542F" w:rsidRDefault="00331C71" w:rsidP="00ED0B77">
      <w:pPr>
        <w:pStyle w:val="SPEC3"/>
        <w:spacing w:before="60" w:after="60" w:line="264" w:lineRule="auto"/>
      </w:pPr>
      <w:bookmarkStart w:id="124" w:name="_Toc391041836"/>
      <w:bookmarkStart w:id="125" w:name="_Toc421798600"/>
      <w:bookmarkStart w:id="126" w:name="_Toc421799889"/>
      <w:bookmarkStart w:id="127" w:name="_Toc508701797"/>
      <w:bookmarkStart w:id="128" w:name="_Toc516054642"/>
      <w:r>
        <w:t>6</w:t>
      </w:r>
      <w:r w:rsidR="0037613F" w:rsidRPr="0089542F">
        <w:t xml:space="preserve">.1.2 </w:t>
      </w:r>
      <w:r w:rsidR="00BA2575" w:rsidRPr="0089542F">
        <w:t>Considerations</w:t>
      </w:r>
      <w:r w:rsidR="00354793" w:rsidRPr="0089542F">
        <w:t xml:space="preserve"> – I</w:t>
      </w:r>
      <w:r w:rsidR="00612084" w:rsidRPr="0089542F">
        <w:t xml:space="preserve">nformation, </w:t>
      </w:r>
      <w:proofErr w:type="gramStart"/>
      <w:r w:rsidR="00612084" w:rsidRPr="0089542F">
        <w:t>advice</w:t>
      </w:r>
      <w:proofErr w:type="gramEnd"/>
      <w:r w:rsidR="00612084" w:rsidRPr="0089542F">
        <w:t xml:space="preserve"> and referral</w:t>
      </w:r>
      <w:bookmarkEnd w:id="124"/>
      <w:bookmarkEnd w:id="125"/>
      <w:bookmarkEnd w:id="126"/>
      <w:bookmarkEnd w:id="127"/>
      <w:bookmarkEnd w:id="128"/>
    </w:p>
    <w:p w14:paraId="6E9A4330" w14:textId="0B52A18A" w:rsidR="001E62AC" w:rsidRDefault="001E62AC" w:rsidP="001838C5">
      <w:pPr>
        <w:spacing w:line="264" w:lineRule="auto"/>
      </w:pPr>
      <w:bookmarkStart w:id="129" w:name="_Toc379918991"/>
      <w:r w:rsidRPr="008F6190">
        <w:t xml:space="preserve">Services </w:t>
      </w:r>
      <w:r w:rsidR="008F6190" w:rsidRPr="008F6190">
        <w:t>should</w:t>
      </w:r>
      <w:r w:rsidRPr="008F6190">
        <w:t xml:space="preserve"> be accessible and available to the target group, including through extended hours in response to local need.</w:t>
      </w:r>
    </w:p>
    <w:p w14:paraId="7C0BD89C" w14:textId="6D81E2B0" w:rsidR="00D46DFE" w:rsidRDefault="00D46DFE" w:rsidP="001838C5">
      <w:pPr>
        <w:spacing w:line="264" w:lineRule="auto"/>
      </w:pPr>
    </w:p>
    <w:p w14:paraId="4B13243E" w14:textId="6A51BAAF" w:rsidR="00D46DFE" w:rsidRPr="00D46DFE" w:rsidRDefault="00D46DFE" w:rsidP="00D46DFE">
      <w:pPr>
        <w:spacing w:line="264" w:lineRule="auto"/>
      </w:pPr>
      <w:r w:rsidRPr="00D46DFE">
        <w:t>For information to be understood and accessible to Service Users, it may need to be provided in a range of ways.</w:t>
      </w:r>
      <w:r>
        <w:t xml:space="preserve"> </w:t>
      </w:r>
      <w:r w:rsidRPr="00D46DFE">
        <w:t xml:space="preserve"> Some information may be given verbally, other advice may need to be presented as printed material or electronically as an online resource. </w:t>
      </w:r>
      <w:r>
        <w:t xml:space="preserve"> </w:t>
      </w:r>
      <w:r w:rsidRPr="00D46DFE">
        <w:t>Some clients may need access to a qualified or accredited interpreter or translated written material.</w:t>
      </w:r>
    </w:p>
    <w:p w14:paraId="2C50F4B2" w14:textId="061E91A7" w:rsidR="00CE7438" w:rsidRPr="0089542F" w:rsidRDefault="00331C71" w:rsidP="00ED0B77">
      <w:pPr>
        <w:pStyle w:val="SPEC2"/>
        <w:spacing w:before="120" w:after="120" w:line="264" w:lineRule="auto"/>
      </w:pPr>
      <w:bookmarkStart w:id="130" w:name="_Toc508701798"/>
      <w:bookmarkStart w:id="131" w:name="_Toc516054643"/>
      <w:bookmarkStart w:id="132" w:name="_Toc421798601"/>
      <w:bookmarkStart w:id="133" w:name="_Toc421799890"/>
      <w:r>
        <w:t>6</w:t>
      </w:r>
      <w:r w:rsidR="0037613F" w:rsidRPr="0089542F">
        <w:t xml:space="preserve">.2 </w:t>
      </w:r>
      <w:r w:rsidR="00EC4052" w:rsidRPr="0089542F">
        <w:t>Support</w:t>
      </w:r>
      <w:r w:rsidR="0031675C" w:rsidRPr="0089542F">
        <w:t xml:space="preserve"> </w:t>
      </w:r>
      <w:r w:rsidR="00E67628" w:rsidRPr="0089542F">
        <w:t>–</w:t>
      </w:r>
      <w:r w:rsidR="00775765" w:rsidRPr="0089542F">
        <w:t xml:space="preserve"> </w:t>
      </w:r>
      <w:r w:rsidR="00767D37" w:rsidRPr="0089542F">
        <w:t>Support</w:t>
      </w:r>
      <w:bookmarkEnd w:id="129"/>
      <w:r w:rsidR="004B0012" w:rsidRPr="0089542F">
        <w:t xml:space="preserve"> </w:t>
      </w:r>
      <w:r w:rsidR="007A42F4" w:rsidRPr="0089542F">
        <w:t xml:space="preserve">and case </w:t>
      </w:r>
      <w:r w:rsidR="00354793" w:rsidRPr="0089542F">
        <w:t>m</w:t>
      </w:r>
      <w:r w:rsidR="00CE7438" w:rsidRPr="0089542F">
        <w:t>anagement (T314)</w:t>
      </w:r>
      <w:bookmarkEnd w:id="130"/>
      <w:bookmarkEnd w:id="131"/>
    </w:p>
    <w:p w14:paraId="6D33E0A9" w14:textId="3BF2D979" w:rsidR="0037613F" w:rsidRPr="005B3CA6" w:rsidRDefault="00E05A20" w:rsidP="001838C5">
      <w:pPr>
        <w:spacing w:line="264" w:lineRule="auto"/>
        <w:rPr>
          <w:rStyle w:val="Emphasis"/>
          <w:i w:val="0"/>
        </w:rPr>
      </w:pPr>
      <w:bookmarkStart w:id="134" w:name="_Toc389922116"/>
      <w:bookmarkEnd w:id="132"/>
      <w:bookmarkEnd w:id="133"/>
      <w:r w:rsidRPr="005B3CA6">
        <w:rPr>
          <w:rStyle w:val="Emphasis"/>
          <w:i w:val="0"/>
        </w:rPr>
        <w:t xml:space="preserve">Service responses under this service type </w:t>
      </w:r>
      <w:r w:rsidR="005B3CA6" w:rsidRPr="005B3CA6">
        <w:rPr>
          <w:rStyle w:val="Emphasis"/>
          <w:i w:val="0"/>
        </w:rPr>
        <w:t xml:space="preserve">provide practical support, counselling and coordinated responses </w:t>
      </w:r>
      <w:r w:rsidR="00EC4052" w:rsidRPr="005B3CA6">
        <w:rPr>
          <w:rStyle w:val="Emphasis"/>
          <w:i w:val="0"/>
        </w:rPr>
        <w:t xml:space="preserve">aimed at empowering and working with </w:t>
      </w:r>
      <w:r w:rsidR="005B3CA6" w:rsidRPr="005B3CA6">
        <w:rPr>
          <w:rStyle w:val="Emphasis"/>
          <w:i w:val="0"/>
        </w:rPr>
        <w:t>young people</w:t>
      </w:r>
      <w:r w:rsidR="00EC4052" w:rsidRPr="005B3CA6">
        <w:rPr>
          <w:rStyle w:val="Emphasis"/>
          <w:i w:val="0"/>
        </w:rPr>
        <w:t xml:space="preserve"> to meet their individual needs and to increase their self-reliance and independence.  </w:t>
      </w:r>
    </w:p>
    <w:p w14:paraId="0718B36C" w14:textId="61B91391" w:rsidR="00ED0B77" w:rsidRPr="005B3CA6" w:rsidRDefault="00ED0B77" w:rsidP="001838C5">
      <w:pPr>
        <w:spacing w:line="264" w:lineRule="auto"/>
        <w:rPr>
          <w:rStyle w:val="Emphasis"/>
          <w:i w:val="0"/>
        </w:rPr>
      </w:pPr>
    </w:p>
    <w:bookmarkEnd w:id="134"/>
    <w:p w14:paraId="5CC4ABE8" w14:textId="33F0663A" w:rsidR="005B3CA6" w:rsidRPr="005B3CA6" w:rsidRDefault="005B3CA6" w:rsidP="005B3CA6">
      <w:pPr>
        <w:spacing w:line="264" w:lineRule="auto"/>
        <w:rPr>
          <w:bCs/>
          <w:iCs/>
        </w:rPr>
      </w:pPr>
      <w:r w:rsidRPr="005B3CA6">
        <w:rPr>
          <w:bCs/>
          <w:iCs/>
          <w:lang w:val="en"/>
        </w:rPr>
        <w:t xml:space="preserve">Some youth support services, </w:t>
      </w:r>
      <w:r>
        <w:rPr>
          <w:bCs/>
          <w:iCs/>
          <w:lang w:val="en"/>
        </w:rPr>
        <w:t xml:space="preserve">known as </w:t>
      </w:r>
      <w:r w:rsidRPr="005B3CA6">
        <w:rPr>
          <w:bCs/>
          <w:iCs/>
        </w:rPr>
        <w:t xml:space="preserve">Youth Housing and Reintegration Services (YHARS), are funded to specifically work with young people </w:t>
      </w:r>
      <w:r w:rsidRPr="005B3CA6">
        <w:rPr>
          <w:iCs/>
        </w:rPr>
        <w:t>aged 12–2</w:t>
      </w:r>
      <w:r w:rsidR="00C25A07">
        <w:rPr>
          <w:iCs/>
        </w:rPr>
        <w:t>1</w:t>
      </w:r>
      <w:r w:rsidRPr="005B3CA6">
        <w:rPr>
          <w:iCs/>
        </w:rPr>
        <w:t xml:space="preserve"> years </w:t>
      </w:r>
      <w:r w:rsidRPr="005B3CA6">
        <w:rPr>
          <w:bCs/>
          <w:iCs/>
        </w:rPr>
        <w:t>who are homeless or at risk of homelessness, including those who are couch surfing or living in unstable housing arrangements.</w:t>
      </w:r>
    </w:p>
    <w:p w14:paraId="31A69F86" w14:textId="6B0F0976" w:rsidR="005A70E5" w:rsidRPr="005B3CA6" w:rsidRDefault="005A70E5" w:rsidP="001838C5">
      <w:pPr>
        <w:spacing w:line="264" w:lineRule="auto"/>
        <w:rPr>
          <w:rStyle w:val="Emphasis"/>
          <w:i w:val="0"/>
        </w:rPr>
      </w:pPr>
    </w:p>
    <w:p w14:paraId="437BE6CC" w14:textId="19281314" w:rsidR="00EC4052" w:rsidRPr="0089542F" w:rsidRDefault="00331C71" w:rsidP="00ED0B77">
      <w:pPr>
        <w:pStyle w:val="SPEC3"/>
        <w:spacing w:before="60" w:after="60" w:line="264" w:lineRule="auto"/>
      </w:pPr>
      <w:bookmarkStart w:id="135" w:name="_Toc421798602"/>
      <w:bookmarkStart w:id="136" w:name="_Toc421799891"/>
      <w:bookmarkStart w:id="137" w:name="_Toc508701799"/>
      <w:bookmarkStart w:id="138" w:name="_Toc516054644"/>
      <w:bookmarkStart w:id="139" w:name="_Hlk116035876"/>
      <w:r>
        <w:t>6</w:t>
      </w:r>
      <w:r w:rsidR="0037613F" w:rsidRPr="0089542F">
        <w:t xml:space="preserve">.2.1 </w:t>
      </w:r>
      <w:r w:rsidR="00EC4052" w:rsidRPr="0089542F">
        <w:t>Requirements</w:t>
      </w:r>
      <w:r w:rsidR="006E518A" w:rsidRPr="0089542F">
        <w:t xml:space="preserve"> – </w:t>
      </w:r>
      <w:r w:rsidR="007A42F4" w:rsidRPr="0089542F">
        <w:t>Support and c</w:t>
      </w:r>
      <w:r w:rsidR="006E518A" w:rsidRPr="0089542F">
        <w:t>ase management</w:t>
      </w:r>
      <w:bookmarkEnd w:id="135"/>
      <w:bookmarkEnd w:id="136"/>
      <w:bookmarkEnd w:id="137"/>
      <w:bookmarkEnd w:id="138"/>
      <w:r w:rsidR="005A70E5">
        <w:t xml:space="preserve"> </w:t>
      </w:r>
    </w:p>
    <w:p w14:paraId="13587C26" w14:textId="76971F52" w:rsidR="00710CBE" w:rsidRPr="00710CBE" w:rsidRDefault="00710CBE" w:rsidP="00710CBE">
      <w:pPr>
        <w:spacing w:line="264" w:lineRule="auto"/>
        <w:rPr>
          <w:bCs/>
        </w:rPr>
      </w:pPr>
      <w:bookmarkStart w:id="140" w:name="_Hlk116651599"/>
      <w:r w:rsidRPr="00710CBE">
        <w:rPr>
          <w:bCs/>
        </w:rPr>
        <w:t xml:space="preserve">The service must provide young people with case management support that is collaborative, coordinated and client-centred, supporting young people to meet their individual needs and to increase their self-reliance and independence.  Responses will be based on identification, assessment and planning for young people’s needs and coordination </w:t>
      </w:r>
      <w:r w:rsidR="00C61852">
        <w:rPr>
          <w:bCs/>
        </w:rPr>
        <w:t>of</w:t>
      </w:r>
      <w:r w:rsidR="00C61852" w:rsidRPr="00710CBE">
        <w:rPr>
          <w:bCs/>
        </w:rPr>
        <w:t xml:space="preserve"> </w:t>
      </w:r>
      <w:r w:rsidRPr="00710CBE">
        <w:rPr>
          <w:bCs/>
        </w:rPr>
        <w:t xml:space="preserve">a range of other appropriate services, such as housing, </w:t>
      </w:r>
      <w:proofErr w:type="gramStart"/>
      <w:r w:rsidRPr="00710CBE">
        <w:rPr>
          <w:bCs/>
        </w:rPr>
        <w:t>counselling</w:t>
      </w:r>
      <w:proofErr w:type="gramEnd"/>
      <w:r w:rsidRPr="00710CBE">
        <w:rPr>
          <w:bCs/>
        </w:rPr>
        <w:t xml:space="preserve"> or skills development.  This may include the coordination of case panels with other government and non-government agencies to support client outcomes. </w:t>
      </w:r>
    </w:p>
    <w:p w14:paraId="4105B75F" w14:textId="77777777" w:rsidR="00710CBE" w:rsidRDefault="00710CBE" w:rsidP="008020DC">
      <w:pPr>
        <w:spacing w:line="264" w:lineRule="auto"/>
        <w:rPr>
          <w:bCs/>
        </w:rPr>
      </w:pPr>
    </w:p>
    <w:p w14:paraId="52F89D52" w14:textId="57E11793" w:rsidR="008020DC" w:rsidRDefault="008020DC" w:rsidP="008020DC">
      <w:pPr>
        <w:spacing w:line="264" w:lineRule="auto"/>
        <w:rPr>
          <w:bCs/>
        </w:rPr>
      </w:pPr>
      <w:r w:rsidRPr="008020DC">
        <w:rPr>
          <w:bCs/>
        </w:rPr>
        <w:t>The service must</w:t>
      </w:r>
      <w:r w:rsidRPr="008020DC">
        <w:t xml:space="preserve"> </w:t>
      </w:r>
      <w:r w:rsidRPr="008020DC">
        <w:rPr>
          <w:bCs/>
        </w:rPr>
        <w:t xml:space="preserve">provide </w:t>
      </w:r>
      <w:bookmarkEnd w:id="140"/>
      <w:r w:rsidRPr="008020DC">
        <w:rPr>
          <w:bCs/>
        </w:rPr>
        <w:t xml:space="preserve">practical </w:t>
      </w:r>
      <w:r>
        <w:rPr>
          <w:bCs/>
        </w:rPr>
        <w:t>su</w:t>
      </w:r>
      <w:r w:rsidRPr="008020DC">
        <w:rPr>
          <w:bCs/>
          <w:iCs/>
        </w:rPr>
        <w:t xml:space="preserve">pport and </w:t>
      </w:r>
      <w:r w:rsidR="00B66EA7">
        <w:rPr>
          <w:bCs/>
          <w:iCs/>
        </w:rPr>
        <w:t xml:space="preserve">facilitate </w:t>
      </w:r>
      <w:r w:rsidRPr="008020DC">
        <w:rPr>
          <w:bCs/>
          <w:iCs/>
        </w:rPr>
        <w:t>coordinated responses</w:t>
      </w:r>
      <w:r w:rsidRPr="008020DC">
        <w:rPr>
          <w:bCs/>
        </w:rPr>
        <w:t xml:space="preserve"> in the context of </w:t>
      </w:r>
      <w:r>
        <w:rPr>
          <w:bCs/>
        </w:rPr>
        <w:t>individual</w:t>
      </w:r>
      <w:r w:rsidRPr="008020DC">
        <w:rPr>
          <w:bCs/>
        </w:rPr>
        <w:t xml:space="preserve"> case plan</w:t>
      </w:r>
      <w:r>
        <w:rPr>
          <w:bCs/>
        </w:rPr>
        <w:t xml:space="preserve">s to the target group identified at section 5.1 of this </w:t>
      </w:r>
      <w:r w:rsidR="00F648CA">
        <w:rPr>
          <w:bCs/>
        </w:rPr>
        <w:t>s</w:t>
      </w:r>
      <w:r>
        <w:rPr>
          <w:bCs/>
        </w:rPr>
        <w:t xml:space="preserve">pecification.  The response to Service Users </w:t>
      </w:r>
      <w:r w:rsidRPr="008020DC">
        <w:rPr>
          <w:bCs/>
        </w:rPr>
        <w:t>must be respectful of the</w:t>
      </w:r>
      <w:r>
        <w:rPr>
          <w:bCs/>
        </w:rPr>
        <w:t>ir</w:t>
      </w:r>
      <w:r w:rsidRPr="008020DC">
        <w:rPr>
          <w:bCs/>
        </w:rPr>
        <w:t xml:space="preserve"> view</w:t>
      </w:r>
      <w:r>
        <w:rPr>
          <w:bCs/>
        </w:rPr>
        <w:t>s</w:t>
      </w:r>
      <w:r w:rsidRPr="008020DC">
        <w:rPr>
          <w:bCs/>
        </w:rPr>
        <w:t xml:space="preserve"> while helping to deal with specific risks</w:t>
      </w:r>
      <w:r w:rsidR="00A63538">
        <w:rPr>
          <w:bCs/>
        </w:rPr>
        <w:t>, needs</w:t>
      </w:r>
      <w:r w:rsidRPr="008020DC">
        <w:rPr>
          <w:bCs/>
        </w:rPr>
        <w:t xml:space="preserve"> and issues to enhance their </w:t>
      </w:r>
      <w:r w:rsidR="00A63538">
        <w:rPr>
          <w:bCs/>
        </w:rPr>
        <w:t>capacity to successful</w:t>
      </w:r>
      <w:r w:rsidR="0068080C">
        <w:rPr>
          <w:bCs/>
        </w:rPr>
        <w:t>ly</w:t>
      </w:r>
      <w:r w:rsidR="00A63538">
        <w:rPr>
          <w:bCs/>
        </w:rPr>
        <w:t xml:space="preserve"> contribute to their community</w:t>
      </w:r>
      <w:r w:rsidRPr="008020DC">
        <w:rPr>
          <w:bCs/>
        </w:rPr>
        <w:t>.</w:t>
      </w:r>
    </w:p>
    <w:p w14:paraId="2FD09B64" w14:textId="70E620AB" w:rsidR="008020DC" w:rsidRDefault="008020DC" w:rsidP="008020DC">
      <w:pPr>
        <w:spacing w:line="264" w:lineRule="auto"/>
        <w:rPr>
          <w:bCs/>
        </w:rPr>
      </w:pPr>
    </w:p>
    <w:p w14:paraId="1BE0BEE5" w14:textId="21E90637" w:rsidR="00D91B79" w:rsidRDefault="00A63538" w:rsidP="00A63538">
      <w:pPr>
        <w:spacing w:line="264" w:lineRule="auto"/>
        <w:rPr>
          <w:bCs/>
        </w:rPr>
      </w:pPr>
      <w:r>
        <w:rPr>
          <w:bCs/>
        </w:rPr>
        <w:t>Following an assessment of needs, re</w:t>
      </w:r>
      <w:r w:rsidRPr="00A63538">
        <w:rPr>
          <w:bCs/>
        </w:rPr>
        <w:t xml:space="preserve">sponses </w:t>
      </w:r>
      <w:r w:rsidR="008020DC" w:rsidRPr="008020DC">
        <w:rPr>
          <w:bCs/>
        </w:rPr>
        <w:t>m</w:t>
      </w:r>
      <w:r>
        <w:rPr>
          <w:bCs/>
        </w:rPr>
        <w:t>ay</w:t>
      </w:r>
      <w:r w:rsidR="008020DC" w:rsidRPr="008020DC">
        <w:rPr>
          <w:bCs/>
        </w:rPr>
        <w:t xml:space="preserve"> take place on a one-to-one basis or in a group setting </w:t>
      </w:r>
      <w:r>
        <w:rPr>
          <w:bCs/>
        </w:rPr>
        <w:t>to achieve the goals identified within a Service User’s case plan</w:t>
      </w:r>
      <w:r w:rsidR="009F49E7">
        <w:rPr>
          <w:bCs/>
        </w:rPr>
        <w:t xml:space="preserve">.  </w:t>
      </w:r>
      <w:r w:rsidR="00D91B79">
        <w:rPr>
          <w:bCs/>
        </w:rPr>
        <w:t xml:space="preserve">This may include responses where Service Users are assisted to </w:t>
      </w:r>
      <w:r w:rsidR="00D91B79" w:rsidRPr="00D91B79">
        <w:rPr>
          <w:bCs/>
        </w:rPr>
        <w:t>access specialist services such as drug or alcohol, mental health, housing services,</w:t>
      </w:r>
      <w:r w:rsidR="00AB2F7C">
        <w:rPr>
          <w:bCs/>
        </w:rPr>
        <w:t xml:space="preserve"> education and employment,</w:t>
      </w:r>
      <w:r w:rsidR="00D91B79" w:rsidRPr="00D91B79">
        <w:rPr>
          <w:bCs/>
        </w:rPr>
        <w:t xml:space="preserve"> legal services, domestic and family violence support, general health services, budgeting and debt management and any other mainstream services as required. </w:t>
      </w:r>
      <w:r w:rsidR="00D91B79">
        <w:rPr>
          <w:bCs/>
        </w:rPr>
        <w:t xml:space="preserve"> </w:t>
      </w:r>
    </w:p>
    <w:p w14:paraId="06F2DAC8" w14:textId="77777777" w:rsidR="00D91B79" w:rsidRDefault="00D91B79" w:rsidP="00A63538">
      <w:pPr>
        <w:spacing w:line="264" w:lineRule="auto"/>
        <w:rPr>
          <w:bCs/>
        </w:rPr>
      </w:pPr>
    </w:p>
    <w:p w14:paraId="44671C59" w14:textId="61B57696" w:rsidR="00D91B79" w:rsidRDefault="00AB2F7C" w:rsidP="00A63538">
      <w:pPr>
        <w:spacing w:line="264" w:lineRule="auto"/>
        <w:rPr>
          <w:bCs/>
        </w:rPr>
      </w:pPr>
      <w:r>
        <w:rPr>
          <w:bCs/>
        </w:rPr>
        <w:t xml:space="preserve">The </w:t>
      </w:r>
      <w:r w:rsidR="00D91B79">
        <w:rPr>
          <w:bCs/>
        </w:rPr>
        <w:t>service must</w:t>
      </w:r>
      <w:r w:rsidR="00D91B79" w:rsidRPr="00D91B79">
        <w:rPr>
          <w:bCs/>
        </w:rPr>
        <w:t xml:space="preserve"> establish and</w:t>
      </w:r>
      <w:r w:rsidR="00D91B79">
        <w:rPr>
          <w:bCs/>
        </w:rPr>
        <w:t xml:space="preserve"> / or</w:t>
      </w:r>
      <w:r w:rsidR="00D91B79" w:rsidRPr="00D91B79">
        <w:rPr>
          <w:bCs/>
        </w:rPr>
        <w:t xml:space="preserve"> participat</w:t>
      </w:r>
      <w:r w:rsidR="00D91B79">
        <w:rPr>
          <w:bCs/>
        </w:rPr>
        <w:t>e</w:t>
      </w:r>
      <w:r w:rsidR="00D91B79" w:rsidRPr="00D91B79">
        <w:rPr>
          <w:bCs/>
        </w:rPr>
        <w:t xml:space="preserve"> in case panels between services to support the Service User’s goals, identifying barriers to coordinated service delivery and implementing local strategies to enhance service provision and reduce duplication of service</w:t>
      </w:r>
      <w:r w:rsidR="00D91B79">
        <w:rPr>
          <w:bCs/>
        </w:rPr>
        <w:t xml:space="preserve"> responses.</w:t>
      </w:r>
    </w:p>
    <w:p w14:paraId="105D69E4" w14:textId="77777777" w:rsidR="00D91B79" w:rsidRDefault="00D91B79" w:rsidP="00A63538">
      <w:pPr>
        <w:spacing w:line="264" w:lineRule="auto"/>
        <w:rPr>
          <w:bCs/>
        </w:rPr>
      </w:pPr>
    </w:p>
    <w:p w14:paraId="24F191B7" w14:textId="1A04804F" w:rsidR="00FA4405" w:rsidRPr="00AB2F7C" w:rsidRDefault="00D91B79" w:rsidP="00D91B79">
      <w:pPr>
        <w:spacing w:line="264" w:lineRule="auto"/>
      </w:pPr>
      <w:bookmarkStart w:id="141" w:name="_Hlk116653847"/>
      <w:r w:rsidRPr="00AB2F7C">
        <w:t xml:space="preserve">Where brokerage is provided under the funding schedule, this must be used as a </w:t>
      </w:r>
      <w:r w:rsidR="00FA4405" w:rsidRPr="00AB2F7C">
        <w:t xml:space="preserve">component of </w:t>
      </w:r>
      <w:r w:rsidRPr="00AB2F7C">
        <w:t xml:space="preserve">the </w:t>
      </w:r>
      <w:r w:rsidR="00FA4405" w:rsidRPr="00AB2F7C">
        <w:t>support</w:t>
      </w:r>
      <w:r w:rsidRPr="00AB2F7C">
        <w:t xml:space="preserve"> provided</w:t>
      </w:r>
      <w:r w:rsidR="00FA4405" w:rsidRPr="00AB2F7C">
        <w:t xml:space="preserve">, used to purchase goods and services for the direct benefit of </w:t>
      </w:r>
      <w:r w:rsidRPr="00AB2F7C">
        <w:t xml:space="preserve">the </w:t>
      </w:r>
      <w:r w:rsidR="00AB2F7C" w:rsidRPr="00AB2F7C">
        <w:t>individual</w:t>
      </w:r>
      <w:r w:rsidR="00FA4405" w:rsidRPr="00AB2F7C">
        <w:t xml:space="preserve"> in line with </w:t>
      </w:r>
      <w:r w:rsidR="00AB2F7C" w:rsidRPr="00AB2F7C">
        <w:t xml:space="preserve">their </w:t>
      </w:r>
      <w:r w:rsidR="00FA4405" w:rsidRPr="00AB2F7C">
        <w:t xml:space="preserve">case plan goals. </w:t>
      </w:r>
    </w:p>
    <w:bookmarkEnd w:id="141"/>
    <w:p w14:paraId="32B10A10" w14:textId="6692C8A1" w:rsidR="005B3CA6" w:rsidRDefault="005B3CA6" w:rsidP="001838C5">
      <w:pPr>
        <w:spacing w:line="264" w:lineRule="auto"/>
        <w:rPr>
          <w:highlight w:val="yellow"/>
        </w:rPr>
      </w:pPr>
    </w:p>
    <w:p w14:paraId="63DBAB95" w14:textId="0803B4E6" w:rsidR="008020DC" w:rsidRPr="008020DC" w:rsidRDefault="008020DC" w:rsidP="008020DC">
      <w:pPr>
        <w:spacing w:line="264" w:lineRule="auto"/>
      </w:pPr>
      <w:bookmarkStart w:id="142" w:name="_Hlk116646994"/>
      <w:r w:rsidRPr="008020DC">
        <w:t xml:space="preserve">Support to young people will be delivered in a manner consistent with the </w:t>
      </w:r>
      <w:bookmarkStart w:id="143" w:name="_Hlk64456715"/>
      <w:r w:rsidRPr="008020DC">
        <w:rPr>
          <w:i/>
          <w:iCs/>
        </w:rPr>
        <w:t>Practice Guide for Youth Support Services</w:t>
      </w:r>
      <w:r w:rsidRPr="008020DC">
        <w:t xml:space="preserve"> (September 2016)</w:t>
      </w:r>
      <w:bookmarkEnd w:id="143"/>
      <w:r w:rsidRPr="008020DC">
        <w:t xml:space="preserve">.  In addition, services must use – </w:t>
      </w:r>
    </w:p>
    <w:p w14:paraId="7D526C6F" w14:textId="77777777" w:rsidR="008020DC" w:rsidRPr="008020DC" w:rsidRDefault="008020DC" w:rsidP="0042530D">
      <w:pPr>
        <w:numPr>
          <w:ilvl w:val="0"/>
          <w:numId w:val="17"/>
        </w:numPr>
        <w:spacing w:line="264" w:lineRule="auto"/>
        <w:rPr>
          <w:bCs/>
        </w:rPr>
      </w:pPr>
      <w:r w:rsidRPr="008020DC">
        <w:rPr>
          <w:bCs/>
        </w:rPr>
        <w:t>the Youth Wellbeing Common Assessment Tool (CAT) to identify the needs of service users and develop tailored, individual case plans; and</w:t>
      </w:r>
    </w:p>
    <w:p w14:paraId="5E16E172" w14:textId="77777777" w:rsidR="008020DC" w:rsidRPr="008020DC" w:rsidRDefault="008020DC" w:rsidP="0042530D">
      <w:pPr>
        <w:numPr>
          <w:ilvl w:val="0"/>
          <w:numId w:val="17"/>
        </w:numPr>
        <w:spacing w:line="264" w:lineRule="auto"/>
        <w:rPr>
          <w:bCs/>
        </w:rPr>
      </w:pPr>
      <w:r w:rsidRPr="008020DC">
        <w:rPr>
          <w:bCs/>
        </w:rPr>
        <w:t xml:space="preserve">the Youth Support Client Information System (YSCIS), </w:t>
      </w:r>
      <w:r w:rsidRPr="008020DC">
        <w:rPr>
          <w:bCs/>
          <w:lang w:val="en"/>
        </w:rPr>
        <w:t>an online client management system developed to support service delivery for Youth Support Services in Queensland.</w:t>
      </w:r>
    </w:p>
    <w:p w14:paraId="2ED3CDD3" w14:textId="77777777" w:rsidR="008020DC" w:rsidRPr="008020DC" w:rsidRDefault="008020DC" w:rsidP="008020DC">
      <w:pPr>
        <w:spacing w:line="264" w:lineRule="auto"/>
        <w:rPr>
          <w:bCs/>
          <w:lang w:val="en"/>
        </w:rPr>
      </w:pPr>
    </w:p>
    <w:p w14:paraId="54226F69" w14:textId="1EDCB39C" w:rsidR="007E66BF" w:rsidRDefault="007E66BF" w:rsidP="008020DC">
      <w:pPr>
        <w:spacing w:line="264" w:lineRule="auto"/>
        <w:rPr>
          <w:bCs/>
          <w:lang w:val="en"/>
        </w:rPr>
      </w:pPr>
      <w:r w:rsidRPr="008020DC">
        <w:rPr>
          <w:bCs/>
          <w:lang w:val="en"/>
        </w:rPr>
        <w:t xml:space="preserve">More information about these </w:t>
      </w:r>
      <w:r>
        <w:rPr>
          <w:bCs/>
          <w:lang w:val="en"/>
        </w:rPr>
        <w:t xml:space="preserve">documents </w:t>
      </w:r>
      <w:r w:rsidRPr="008020DC">
        <w:rPr>
          <w:bCs/>
          <w:lang w:val="en"/>
        </w:rPr>
        <w:t xml:space="preserve">is available on the </w:t>
      </w:r>
      <w:r w:rsidRPr="008020DC">
        <w:rPr>
          <w:bCs/>
        </w:rPr>
        <w:t xml:space="preserve">Department of Children, Youth </w:t>
      </w:r>
      <w:proofErr w:type="gramStart"/>
      <w:r w:rsidRPr="008020DC">
        <w:rPr>
          <w:bCs/>
        </w:rPr>
        <w:t>Justice</w:t>
      </w:r>
      <w:proofErr w:type="gramEnd"/>
      <w:r w:rsidRPr="008020DC">
        <w:rPr>
          <w:bCs/>
        </w:rPr>
        <w:t xml:space="preserve"> and Multicultural Affairs</w:t>
      </w:r>
      <w:r w:rsidRPr="008020DC">
        <w:rPr>
          <w:bCs/>
          <w:lang w:val="en"/>
        </w:rPr>
        <w:t xml:space="preserve"> website at </w:t>
      </w:r>
      <w:hyperlink r:id="rId19" w:history="1">
        <w:r w:rsidRPr="008020DC">
          <w:rPr>
            <w:rStyle w:val="Hyperlink"/>
            <w:bCs/>
            <w:lang w:val="en"/>
          </w:rPr>
          <w:t>https://www.cyjma.qld.gov.au/youth/youth-support-services</w:t>
        </w:r>
      </w:hyperlink>
      <w:r w:rsidRPr="008020DC">
        <w:rPr>
          <w:bCs/>
          <w:lang w:val="en"/>
        </w:rPr>
        <w:t>.</w:t>
      </w:r>
    </w:p>
    <w:p w14:paraId="01639E0E" w14:textId="77777777" w:rsidR="007E66BF" w:rsidRDefault="007E66BF" w:rsidP="008020DC">
      <w:pPr>
        <w:spacing w:line="264" w:lineRule="auto"/>
        <w:rPr>
          <w:bCs/>
          <w:lang w:val="en"/>
        </w:rPr>
      </w:pPr>
    </w:p>
    <w:p w14:paraId="0E8BD15A" w14:textId="4818FB0B" w:rsidR="008020DC" w:rsidRPr="008020DC" w:rsidRDefault="008020DC" w:rsidP="008020DC">
      <w:pPr>
        <w:spacing w:line="264" w:lineRule="auto"/>
        <w:rPr>
          <w:bCs/>
          <w:lang w:val="en"/>
        </w:rPr>
      </w:pPr>
      <w:r>
        <w:rPr>
          <w:bCs/>
          <w:lang w:val="en"/>
        </w:rPr>
        <w:t xml:space="preserve">Training for staff regarding the implementation of the CAT and use of YSCIS is the responsibility of the </w:t>
      </w:r>
      <w:r w:rsidR="00F648CA">
        <w:rPr>
          <w:bCs/>
          <w:lang w:val="en"/>
        </w:rPr>
        <w:t>Supplier</w:t>
      </w:r>
      <w:r>
        <w:rPr>
          <w:bCs/>
          <w:lang w:val="en"/>
        </w:rPr>
        <w:t xml:space="preserve">.  </w:t>
      </w:r>
      <w:r w:rsidRPr="008020DC">
        <w:rPr>
          <w:bCs/>
          <w:lang w:val="en"/>
        </w:rPr>
        <w:t>More information about these tools</w:t>
      </w:r>
      <w:r>
        <w:rPr>
          <w:bCs/>
          <w:lang w:val="en"/>
        </w:rPr>
        <w:t>, including training videos for YSCIS,</w:t>
      </w:r>
      <w:r w:rsidRPr="008020DC">
        <w:rPr>
          <w:bCs/>
          <w:lang w:val="en"/>
        </w:rPr>
        <w:t xml:space="preserve"> is available on the </w:t>
      </w:r>
      <w:r w:rsidRPr="008020DC">
        <w:rPr>
          <w:bCs/>
        </w:rPr>
        <w:t xml:space="preserve">Department of Children, Youth </w:t>
      </w:r>
      <w:proofErr w:type="gramStart"/>
      <w:r w:rsidRPr="008020DC">
        <w:rPr>
          <w:bCs/>
        </w:rPr>
        <w:t>Justice</w:t>
      </w:r>
      <w:proofErr w:type="gramEnd"/>
      <w:r w:rsidRPr="008020DC">
        <w:rPr>
          <w:bCs/>
        </w:rPr>
        <w:t xml:space="preserve"> and Multicultural Affairs</w:t>
      </w:r>
      <w:r w:rsidRPr="008020DC">
        <w:rPr>
          <w:bCs/>
          <w:lang w:val="en"/>
        </w:rPr>
        <w:t xml:space="preserve"> website </w:t>
      </w:r>
      <w:bookmarkStart w:id="144" w:name="_Hlk84842322"/>
      <w:r w:rsidRPr="008020DC">
        <w:rPr>
          <w:bCs/>
          <w:lang w:val="en"/>
        </w:rPr>
        <w:t xml:space="preserve">at </w:t>
      </w:r>
      <w:hyperlink r:id="rId20" w:history="1">
        <w:r w:rsidRPr="008020DC">
          <w:rPr>
            <w:rStyle w:val="Hyperlink"/>
            <w:bCs/>
            <w:lang w:val="en"/>
          </w:rPr>
          <w:t>https://www.cyjma.qld.gov.au/youth/youth-support-services</w:t>
        </w:r>
      </w:hyperlink>
      <w:bookmarkEnd w:id="144"/>
      <w:r w:rsidRPr="008020DC">
        <w:rPr>
          <w:bCs/>
          <w:lang w:val="en"/>
        </w:rPr>
        <w:t>.</w:t>
      </w:r>
    </w:p>
    <w:p w14:paraId="2DE9DC20" w14:textId="77777777" w:rsidR="008020DC" w:rsidRPr="004D0A3D" w:rsidRDefault="008020DC" w:rsidP="001838C5">
      <w:pPr>
        <w:spacing w:line="264" w:lineRule="auto"/>
      </w:pPr>
    </w:p>
    <w:p w14:paraId="573342BB" w14:textId="0955D7B6" w:rsidR="005A70E5" w:rsidRPr="004D0A3D" w:rsidRDefault="005A70E5" w:rsidP="00ED0B77">
      <w:pPr>
        <w:pStyle w:val="SPEC3"/>
        <w:spacing w:before="60" w:after="60" w:line="264" w:lineRule="auto"/>
      </w:pPr>
      <w:bookmarkStart w:id="145" w:name="_Toc421798603"/>
      <w:bookmarkStart w:id="146" w:name="_Toc421799892"/>
      <w:bookmarkStart w:id="147" w:name="_Toc508701800"/>
      <w:bookmarkStart w:id="148" w:name="_Toc516054645"/>
      <w:bookmarkEnd w:id="139"/>
      <w:bookmarkEnd w:id="142"/>
      <w:r w:rsidRPr="004D0A3D">
        <w:t>6.2.2 Requirements – Support and case management (</w:t>
      </w:r>
      <w:r w:rsidR="002D2330" w:rsidRPr="004D0A3D">
        <w:t>YHARS</w:t>
      </w:r>
      <w:r w:rsidRPr="004D0A3D">
        <w:t>)</w:t>
      </w:r>
    </w:p>
    <w:p w14:paraId="3A12480F" w14:textId="7B739512" w:rsidR="00C83283" w:rsidRDefault="00C83283" w:rsidP="00C83283">
      <w:pPr>
        <w:spacing w:line="264" w:lineRule="auto"/>
      </w:pPr>
      <w:r w:rsidRPr="00C83283">
        <w:t xml:space="preserve">Under individual case plans, the service must undertake actions which aim to support young people to secure and maintain suitable accommodation. </w:t>
      </w:r>
    </w:p>
    <w:p w14:paraId="1C2ACF19" w14:textId="77777777" w:rsidR="00C83283" w:rsidRPr="00C83283" w:rsidRDefault="00C83283" w:rsidP="00C83283">
      <w:pPr>
        <w:spacing w:line="264" w:lineRule="auto"/>
      </w:pPr>
    </w:p>
    <w:p w14:paraId="600B1BAB" w14:textId="4A575DD9" w:rsidR="00C83283" w:rsidRPr="00C83283" w:rsidRDefault="00C83283" w:rsidP="00C83283">
      <w:pPr>
        <w:spacing w:line="264" w:lineRule="auto"/>
        <w:rPr>
          <w:lang w:val="en-GB"/>
        </w:rPr>
      </w:pPr>
      <w:r>
        <w:rPr>
          <w:lang w:val="en-GB"/>
        </w:rPr>
        <w:t>The service</w:t>
      </w:r>
      <w:r w:rsidRPr="00C83283">
        <w:rPr>
          <w:lang w:val="en-GB"/>
        </w:rPr>
        <w:t xml:space="preserve"> has two main service delivery components – </w:t>
      </w:r>
    </w:p>
    <w:p w14:paraId="25315A92" w14:textId="7F20103F" w:rsidR="00C83283" w:rsidRPr="00C25A07" w:rsidRDefault="00C83283" w:rsidP="00267E34">
      <w:pPr>
        <w:numPr>
          <w:ilvl w:val="0"/>
          <w:numId w:val="18"/>
        </w:numPr>
        <w:spacing w:before="60" w:line="264" w:lineRule="auto"/>
        <w:ind w:left="714" w:hanging="357"/>
        <w:rPr>
          <w:lang w:val="en-GB"/>
        </w:rPr>
      </w:pPr>
      <w:r w:rsidRPr="00C83283">
        <w:rPr>
          <w:lang w:val="en-GB"/>
        </w:rPr>
        <w:t xml:space="preserve">Support Services – support </w:t>
      </w:r>
      <w:r w:rsidRPr="00C25A07">
        <w:rPr>
          <w:lang w:val="en-GB"/>
        </w:rPr>
        <w:t>services to young people aged 12 to 2</w:t>
      </w:r>
      <w:r w:rsidR="00C25A07" w:rsidRPr="00C25A07">
        <w:rPr>
          <w:lang w:val="en-GB"/>
        </w:rPr>
        <w:t>1</w:t>
      </w:r>
      <w:r w:rsidRPr="00C25A07">
        <w:rPr>
          <w:lang w:val="en-GB"/>
        </w:rPr>
        <w:t xml:space="preserve"> years who have been sleeping rough or living in unstable, temporary, or inadequate housing, including those who have exited, or are exiting from care after being subject to a Child Protection Order, or are transitioning to the community following a period of sentence or remand in a Youth Detention Centre; and</w:t>
      </w:r>
    </w:p>
    <w:p w14:paraId="716C58A5" w14:textId="3413946E" w:rsidR="00C83283" w:rsidRPr="00C83283" w:rsidRDefault="00C83283" w:rsidP="00267E34">
      <w:pPr>
        <w:numPr>
          <w:ilvl w:val="0"/>
          <w:numId w:val="18"/>
        </w:numPr>
        <w:spacing w:before="60" w:line="264" w:lineRule="auto"/>
        <w:ind w:left="714" w:hanging="357"/>
        <w:rPr>
          <w:lang w:val="en-GB"/>
        </w:rPr>
      </w:pPr>
      <w:r w:rsidRPr="00C25A07">
        <w:rPr>
          <w:lang w:val="en-GB"/>
        </w:rPr>
        <w:t>After Care – supporting the case plans of other agencies through the provision of brokerage targeting young people aged 17 to 2</w:t>
      </w:r>
      <w:r w:rsidR="00C25A07" w:rsidRPr="00C25A07">
        <w:rPr>
          <w:lang w:val="en-GB"/>
        </w:rPr>
        <w:t>1</w:t>
      </w:r>
      <w:r w:rsidRPr="00C25A07">
        <w:rPr>
          <w:lang w:val="en-GB"/>
        </w:rPr>
        <w:t xml:space="preserve"> years who</w:t>
      </w:r>
      <w:r w:rsidRPr="00C83283">
        <w:rPr>
          <w:lang w:val="en-GB"/>
        </w:rPr>
        <w:t xml:space="preserve"> are leaving or have recently left the care of Child Safety Services and are homeless, or at risk of homelessness.</w:t>
      </w:r>
    </w:p>
    <w:p w14:paraId="753497D9" w14:textId="77777777" w:rsidR="00C83283" w:rsidRDefault="00C83283" w:rsidP="001369EF">
      <w:pPr>
        <w:spacing w:line="264" w:lineRule="auto"/>
      </w:pPr>
    </w:p>
    <w:p w14:paraId="5DFF5E6C" w14:textId="62DF27AD" w:rsidR="001369EF" w:rsidRDefault="001369EF" w:rsidP="001369EF">
      <w:pPr>
        <w:spacing w:line="264" w:lineRule="auto"/>
      </w:pPr>
      <w:r w:rsidRPr="00AB2F7C">
        <w:t xml:space="preserve">Services will be delivered in accordance with the </w:t>
      </w:r>
      <w:r w:rsidRPr="00AB2F7C">
        <w:rPr>
          <w:i/>
          <w:iCs/>
        </w:rPr>
        <w:t>Guidelines for Service Delivery: Youth Housing and Reintegration Service (YHARS) and After Care Service</w:t>
      </w:r>
      <w:r w:rsidRPr="00AB2F7C">
        <w:t xml:space="preserve"> (October 2017)</w:t>
      </w:r>
      <w:r w:rsidR="00F648CA">
        <w:t xml:space="preserve"> (the Guidelines)</w:t>
      </w:r>
      <w:r w:rsidR="00C83283">
        <w:t>, including the provisions outlined in relation to the use of brokerage.</w:t>
      </w:r>
      <w:r w:rsidR="00F648CA">
        <w:t xml:space="preserve">  In addition, services must use the YHARS Service Record System (SRS), </w:t>
      </w:r>
      <w:r w:rsidR="00F648CA" w:rsidRPr="00F648CA">
        <w:rPr>
          <w:bCs/>
          <w:lang w:val="en"/>
        </w:rPr>
        <w:t xml:space="preserve">an online client management system developed to support service delivery for </w:t>
      </w:r>
      <w:r w:rsidR="00F648CA">
        <w:rPr>
          <w:bCs/>
          <w:lang w:val="en"/>
        </w:rPr>
        <w:t>YHARS</w:t>
      </w:r>
      <w:r w:rsidR="00F648CA" w:rsidRPr="00F648CA">
        <w:rPr>
          <w:bCs/>
          <w:lang w:val="en"/>
        </w:rPr>
        <w:t xml:space="preserve"> in Queensland</w:t>
      </w:r>
      <w:r w:rsidR="00F648CA">
        <w:rPr>
          <w:bCs/>
          <w:lang w:val="en"/>
        </w:rPr>
        <w:t>,</w:t>
      </w:r>
      <w:r w:rsidR="00F648CA" w:rsidRPr="00F648CA">
        <w:t xml:space="preserve"> </w:t>
      </w:r>
      <w:r w:rsidR="00F648CA">
        <w:t>provided by the department.</w:t>
      </w:r>
    </w:p>
    <w:p w14:paraId="0BB65D98" w14:textId="6E3143EB" w:rsidR="00F648CA" w:rsidRDefault="00F648CA" w:rsidP="001369EF">
      <w:pPr>
        <w:spacing w:line="264" w:lineRule="auto"/>
      </w:pPr>
    </w:p>
    <w:p w14:paraId="001E5B62" w14:textId="5FA49401" w:rsidR="00F648CA" w:rsidRPr="008020DC" w:rsidRDefault="00F648CA" w:rsidP="00F648CA">
      <w:pPr>
        <w:spacing w:line="264" w:lineRule="auto"/>
        <w:rPr>
          <w:bCs/>
          <w:lang w:val="en"/>
        </w:rPr>
      </w:pPr>
      <w:r>
        <w:rPr>
          <w:bCs/>
          <w:lang w:val="en"/>
        </w:rPr>
        <w:t xml:space="preserve">Training for staff regarding the implementation of the Guidelines and use of YHARS SRS is the responsibility of the Supplier.  </w:t>
      </w:r>
      <w:bookmarkStart w:id="149" w:name="_Hlk120702339"/>
      <w:r w:rsidRPr="008020DC">
        <w:rPr>
          <w:bCs/>
          <w:lang w:val="en"/>
        </w:rPr>
        <w:t>More information about these tools</w:t>
      </w:r>
      <w:r>
        <w:rPr>
          <w:bCs/>
          <w:lang w:val="en"/>
        </w:rPr>
        <w:t xml:space="preserve"> </w:t>
      </w:r>
      <w:r w:rsidRPr="008020DC">
        <w:rPr>
          <w:bCs/>
          <w:lang w:val="en"/>
        </w:rPr>
        <w:t xml:space="preserve">is available on the </w:t>
      </w:r>
      <w:r w:rsidRPr="008020DC">
        <w:rPr>
          <w:bCs/>
        </w:rPr>
        <w:t xml:space="preserve">Department of Children, Youth </w:t>
      </w:r>
      <w:proofErr w:type="gramStart"/>
      <w:r w:rsidRPr="008020DC">
        <w:rPr>
          <w:bCs/>
        </w:rPr>
        <w:t>Justice</w:t>
      </w:r>
      <w:proofErr w:type="gramEnd"/>
      <w:r w:rsidRPr="008020DC">
        <w:rPr>
          <w:bCs/>
        </w:rPr>
        <w:t xml:space="preserve"> and Multicultural Affairs</w:t>
      </w:r>
      <w:r w:rsidRPr="008020DC">
        <w:rPr>
          <w:bCs/>
          <w:lang w:val="en"/>
        </w:rPr>
        <w:t xml:space="preserve"> website at </w:t>
      </w:r>
      <w:hyperlink r:id="rId21" w:history="1">
        <w:r w:rsidRPr="008020DC">
          <w:rPr>
            <w:rStyle w:val="Hyperlink"/>
            <w:bCs/>
            <w:lang w:val="en"/>
          </w:rPr>
          <w:t>https://www.cyjma.qld.gov.au/youth/youth-support-services</w:t>
        </w:r>
      </w:hyperlink>
      <w:r w:rsidRPr="008020DC">
        <w:rPr>
          <w:bCs/>
          <w:lang w:val="en"/>
        </w:rPr>
        <w:t>.</w:t>
      </w:r>
    </w:p>
    <w:bookmarkEnd w:id="149"/>
    <w:p w14:paraId="43653DC7" w14:textId="77777777" w:rsidR="00ED0B77" w:rsidRPr="00AB2F7C" w:rsidRDefault="00ED0B77" w:rsidP="001838C5">
      <w:pPr>
        <w:spacing w:line="264" w:lineRule="auto"/>
      </w:pPr>
    </w:p>
    <w:p w14:paraId="47954124" w14:textId="396C7C9A" w:rsidR="00EC4052" w:rsidRPr="0089542F" w:rsidRDefault="00331C71" w:rsidP="00ED0B77">
      <w:pPr>
        <w:pStyle w:val="SPEC3"/>
        <w:spacing w:before="60" w:after="60" w:line="264" w:lineRule="auto"/>
      </w:pPr>
      <w:r>
        <w:t>6</w:t>
      </w:r>
      <w:r w:rsidR="0037613F" w:rsidRPr="0089542F">
        <w:t>.2.</w:t>
      </w:r>
      <w:r w:rsidR="005A70E5">
        <w:t>3</w:t>
      </w:r>
      <w:r w:rsidR="0037613F" w:rsidRPr="0089542F">
        <w:t xml:space="preserve"> </w:t>
      </w:r>
      <w:r w:rsidR="00EC4052" w:rsidRPr="0089542F">
        <w:t>Considerations</w:t>
      </w:r>
      <w:r w:rsidR="006E518A" w:rsidRPr="0089542F">
        <w:t xml:space="preserve"> – </w:t>
      </w:r>
      <w:r w:rsidR="007A42F4" w:rsidRPr="0089542F">
        <w:t>Support and c</w:t>
      </w:r>
      <w:r w:rsidR="006E518A" w:rsidRPr="0089542F">
        <w:t>ase management</w:t>
      </w:r>
      <w:bookmarkEnd w:id="145"/>
      <w:bookmarkEnd w:id="146"/>
      <w:bookmarkEnd w:id="147"/>
      <w:bookmarkEnd w:id="148"/>
    </w:p>
    <w:p w14:paraId="4E7EF2F8" w14:textId="77698453" w:rsidR="008F6190" w:rsidRDefault="008F6190" w:rsidP="001838C5">
      <w:pPr>
        <w:spacing w:line="264" w:lineRule="auto"/>
      </w:pPr>
      <w:r w:rsidRPr="008F6190">
        <w:t>Services should be accessible and available to the target group, including through extended hours</w:t>
      </w:r>
      <w:r w:rsidR="00D03395">
        <w:t xml:space="preserve"> or </w:t>
      </w:r>
      <w:proofErr w:type="gramStart"/>
      <w:r w:rsidR="00D03395">
        <w:t>after hours</w:t>
      </w:r>
      <w:proofErr w:type="gramEnd"/>
      <w:r w:rsidR="00D03395">
        <w:t xml:space="preserve"> arrangements</w:t>
      </w:r>
      <w:r w:rsidRPr="008F6190">
        <w:t xml:space="preserve"> in response to local need.</w:t>
      </w:r>
    </w:p>
    <w:p w14:paraId="003F1A7A" w14:textId="77777777" w:rsidR="00ED0B77" w:rsidRPr="00794D0F" w:rsidRDefault="00ED0B77" w:rsidP="001838C5">
      <w:pPr>
        <w:spacing w:line="264" w:lineRule="auto"/>
      </w:pPr>
    </w:p>
    <w:p w14:paraId="773BEAA2" w14:textId="25BC6F5F" w:rsidR="008F6190" w:rsidRPr="00794D0F" w:rsidRDefault="008F6190" w:rsidP="001838C5">
      <w:pPr>
        <w:spacing w:line="264" w:lineRule="auto"/>
      </w:pPr>
      <w:r w:rsidRPr="00794D0F">
        <w:t xml:space="preserve">A collaborative approach through partnerships and coordinated responses is encouraged to improve Service User outcomes and minimise the duplication of services.  </w:t>
      </w:r>
    </w:p>
    <w:p w14:paraId="49094F6D" w14:textId="0538E01E" w:rsidR="00C25A07" w:rsidRPr="00794D0F" w:rsidRDefault="00C25A07" w:rsidP="001838C5">
      <w:pPr>
        <w:spacing w:line="264" w:lineRule="auto"/>
      </w:pPr>
    </w:p>
    <w:p w14:paraId="35B43434" w14:textId="3A7F2DEA" w:rsidR="00C25A07" w:rsidRPr="00794D0F" w:rsidRDefault="00C25A07" w:rsidP="00C25A07">
      <w:pPr>
        <w:pStyle w:val="SPEC3"/>
        <w:spacing w:before="60" w:after="60" w:line="264" w:lineRule="auto"/>
      </w:pPr>
      <w:r w:rsidRPr="00794D0F">
        <w:lastRenderedPageBreak/>
        <w:t>6.2.4 Considerations – Support and case management (YHARS)</w:t>
      </w:r>
    </w:p>
    <w:p w14:paraId="557D4D5B" w14:textId="5E2ACCD0" w:rsidR="00132B3F" w:rsidRPr="00794D0F" w:rsidRDefault="00132B3F" w:rsidP="001838C5">
      <w:pPr>
        <w:spacing w:line="264" w:lineRule="auto"/>
      </w:pPr>
      <w:r w:rsidRPr="00794D0F">
        <w:t xml:space="preserve">For YHARS services, </w:t>
      </w:r>
      <w:r w:rsidR="00B23EEE">
        <w:t xml:space="preserve">given the </w:t>
      </w:r>
      <w:r w:rsidR="003273D0">
        <w:t xml:space="preserve">readiness to accept support can vary with a young person’s developmental stage and maturation, support may be required after turning </w:t>
      </w:r>
      <w:r w:rsidR="005C717B" w:rsidRPr="00794D0F">
        <w:t>2</w:t>
      </w:r>
      <w:r w:rsidR="005C717B">
        <w:t>2</w:t>
      </w:r>
      <w:r w:rsidR="005C717B" w:rsidRPr="00794D0F">
        <w:t xml:space="preserve"> </w:t>
      </w:r>
      <w:r w:rsidRPr="00794D0F">
        <w:t>years</w:t>
      </w:r>
      <w:r w:rsidR="00297943">
        <w:t xml:space="preserve"> for some young people</w:t>
      </w:r>
      <w:r w:rsidRPr="00794D0F">
        <w:t xml:space="preserve">.  </w:t>
      </w:r>
      <w:r w:rsidR="00F648CA">
        <w:t>R</w:t>
      </w:r>
      <w:r w:rsidR="00F648CA" w:rsidRPr="00F648CA">
        <w:t xml:space="preserve">ather than </w:t>
      </w:r>
      <w:r w:rsidR="00297943">
        <w:t xml:space="preserve">requiring </w:t>
      </w:r>
      <w:r w:rsidR="00F648CA">
        <w:t>the Service User to exit, s</w:t>
      </w:r>
      <w:r w:rsidRPr="00794D0F">
        <w:t xml:space="preserve">ervices may continue to work with young people in these situations.  However, services will be conscious of the need to avoid creating </w:t>
      </w:r>
      <w:r w:rsidR="00297943" w:rsidRPr="00794D0F">
        <w:t>a dependency</w:t>
      </w:r>
      <w:r w:rsidRPr="00794D0F">
        <w:t xml:space="preserve"> on the support provided. </w:t>
      </w:r>
    </w:p>
    <w:p w14:paraId="3C26FFE3" w14:textId="77777777" w:rsidR="00ED0B77" w:rsidRPr="00794D0F" w:rsidRDefault="00ED0B77" w:rsidP="001838C5">
      <w:pPr>
        <w:spacing w:line="264" w:lineRule="auto"/>
      </w:pPr>
    </w:p>
    <w:p w14:paraId="3E48E137" w14:textId="60672200" w:rsidR="00EC4052" w:rsidRPr="00794D0F" w:rsidRDefault="00331C71" w:rsidP="00ED0B77">
      <w:pPr>
        <w:pStyle w:val="SPEC2"/>
        <w:spacing w:before="120" w:after="120" w:line="264" w:lineRule="auto"/>
      </w:pPr>
      <w:bookmarkStart w:id="150" w:name="_Toc379918992"/>
      <w:bookmarkStart w:id="151" w:name="_Toc421798607"/>
      <w:bookmarkStart w:id="152" w:name="_Toc421799896"/>
      <w:bookmarkStart w:id="153" w:name="_Toc508701801"/>
      <w:bookmarkStart w:id="154" w:name="_Toc516054646"/>
      <w:r w:rsidRPr="00794D0F">
        <w:t>6</w:t>
      </w:r>
      <w:r w:rsidR="0037613F" w:rsidRPr="00794D0F">
        <w:t xml:space="preserve">.3 </w:t>
      </w:r>
      <w:r w:rsidR="00EC4052" w:rsidRPr="00794D0F">
        <w:t>Support</w:t>
      </w:r>
      <w:bookmarkEnd w:id="150"/>
      <w:r w:rsidR="00C521D8" w:rsidRPr="00794D0F">
        <w:t xml:space="preserve"> </w:t>
      </w:r>
      <w:r w:rsidR="001A2822" w:rsidRPr="00794D0F">
        <w:t>services</w:t>
      </w:r>
      <w:r w:rsidR="00782A0D" w:rsidRPr="00794D0F">
        <w:t xml:space="preserve"> –</w:t>
      </w:r>
      <w:r w:rsidR="00775765" w:rsidRPr="00794D0F">
        <w:t xml:space="preserve"> Community </w:t>
      </w:r>
      <w:r w:rsidR="004B0012" w:rsidRPr="00794D0F">
        <w:t xml:space="preserve">support </w:t>
      </w:r>
      <w:r w:rsidR="00F20B0E" w:rsidRPr="00794D0F">
        <w:t>(</w:t>
      </w:r>
      <w:r w:rsidR="00ED22D9" w:rsidRPr="00794D0F">
        <w:t>T317</w:t>
      </w:r>
      <w:r w:rsidR="00F20B0E" w:rsidRPr="00794D0F">
        <w:t>)</w:t>
      </w:r>
      <w:bookmarkEnd w:id="151"/>
      <w:bookmarkEnd w:id="152"/>
      <w:bookmarkEnd w:id="153"/>
      <w:bookmarkEnd w:id="154"/>
    </w:p>
    <w:p w14:paraId="723F48E8" w14:textId="52F2EC4A" w:rsidR="00A3443F" w:rsidRPr="00794D0F" w:rsidRDefault="00A3443F" w:rsidP="00E05A20">
      <w:pPr>
        <w:spacing w:line="264" w:lineRule="auto"/>
        <w:rPr>
          <w:rStyle w:val="Emphasis"/>
          <w:i w:val="0"/>
        </w:rPr>
      </w:pPr>
      <w:r w:rsidRPr="00794D0F">
        <w:rPr>
          <w:rStyle w:val="Emphasis"/>
          <w:i w:val="0"/>
        </w:rPr>
        <w:t xml:space="preserve">Subject to the details outlined in the Funding Schedule, two different types of responses may be provided under this service type – </w:t>
      </w:r>
    </w:p>
    <w:p w14:paraId="42224E2E" w14:textId="71530E5F" w:rsidR="00A3443F" w:rsidRDefault="00A3443F" w:rsidP="0042530D">
      <w:pPr>
        <w:pStyle w:val="ListParagraph"/>
        <w:numPr>
          <w:ilvl w:val="0"/>
          <w:numId w:val="16"/>
        </w:numPr>
        <w:spacing w:before="60" w:after="0" w:line="264" w:lineRule="auto"/>
        <w:ind w:left="714" w:hanging="357"/>
        <w:contextualSpacing w:val="0"/>
        <w:rPr>
          <w:rFonts w:ascii="Arial" w:hAnsi="Arial" w:cs="Arial"/>
          <w:iCs/>
        </w:rPr>
      </w:pPr>
      <w:r w:rsidRPr="00794D0F">
        <w:rPr>
          <w:rFonts w:ascii="Arial" w:hAnsi="Arial" w:cs="Arial"/>
          <w:iCs/>
        </w:rPr>
        <w:t xml:space="preserve">Programs, events, </w:t>
      </w:r>
      <w:proofErr w:type="gramStart"/>
      <w:r w:rsidRPr="00794D0F">
        <w:rPr>
          <w:rFonts w:ascii="Arial" w:hAnsi="Arial" w:cs="Arial"/>
          <w:iCs/>
        </w:rPr>
        <w:t>activities</w:t>
      </w:r>
      <w:proofErr w:type="gramEnd"/>
      <w:r w:rsidRPr="00794D0F">
        <w:rPr>
          <w:rFonts w:ascii="Arial" w:hAnsi="Arial" w:cs="Arial"/>
          <w:iCs/>
        </w:rPr>
        <w:t xml:space="preserve"> and projects </w:t>
      </w:r>
      <w:r>
        <w:rPr>
          <w:rFonts w:ascii="Arial" w:hAnsi="Arial" w:cs="Arial"/>
          <w:iCs/>
        </w:rPr>
        <w:t>–</w:t>
      </w:r>
      <w:r w:rsidR="00C40F84">
        <w:rPr>
          <w:rFonts w:ascii="Arial" w:hAnsi="Arial" w:cs="Arial"/>
          <w:iCs/>
        </w:rPr>
        <w:t xml:space="preserve"> </w:t>
      </w:r>
      <w:r w:rsidRPr="00A3443F">
        <w:rPr>
          <w:rFonts w:ascii="Arial" w:hAnsi="Arial" w:cs="Arial"/>
          <w:iCs/>
        </w:rPr>
        <w:t>engag</w:t>
      </w:r>
      <w:r w:rsidR="00C40F84">
        <w:rPr>
          <w:rFonts w:ascii="Arial" w:hAnsi="Arial" w:cs="Arial"/>
          <w:iCs/>
        </w:rPr>
        <w:t>ing</w:t>
      </w:r>
      <w:r w:rsidRPr="00A3443F">
        <w:rPr>
          <w:rFonts w:ascii="Arial" w:hAnsi="Arial" w:cs="Arial"/>
          <w:iCs/>
        </w:rPr>
        <w:t xml:space="preserve"> vulnerable young people in programs, events, activities and projects to support them to develop their knowledge, skills and experience, supporting them to participate as active members of their community</w:t>
      </w:r>
      <w:r>
        <w:rPr>
          <w:rFonts w:ascii="Arial" w:hAnsi="Arial" w:cs="Arial"/>
          <w:iCs/>
        </w:rPr>
        <w:t xml:space="preserve">; and /or </w:t>
      </w:r>
    </w:p>
    <w:p w14:paraId="71E1B908" w14:textId="0372094C" w:rsidR="00A3443F" w:rsidRDefault="00A3443F" w:rsidP="0042530D">
      <w:pPr>
        <w:pStyle w:val="ListParagraph"/>
        <w:numPr>
          <w:ilvl w:val="0"/>
          <w:numId w:val="16"/>
        </w:numPr>
        <w:spacing w:before="60" w:after="0" w:line="264" w:lineRule="auto"/>
        <w:ind w:left="714" w:hanging="357"/>
        <w:contextualSpacing w:val="0"/>
        <w:rPr>
          <w:rFonts w:ascii="Arial" w:hAnsi="Arial" w:cs="Arial"/>
          <w:iCs/>
        </w:rPr>
      </w:pPr>
      <w:r>
        <w:rPr>
          <w:rFonts w:ascii="Arial" w:hAnsi="Arial" w:cs="Arial"/>
          <w:iCs/>
        </w:rPr>
        <w:t>S</w:t>
      </w:r>
      <w:r w:rsidRPr="00A3443F">
        <w:rPr>
          <w:rFonts w:ascii="Arial" w:hAnsi="Arial" w:cs="Arial"/>
          <w:iCs/>
        </w:rPr>
        <w:t>ystem coordination</w:t>
      </w:r>
      <w:r>
        <w:rPr>
          <w:rFonts w:ascii="Arial" w:hAnsi="Arial" w:cs="Arial"/>
          <w:iCs/>
        </w:rPr>
        <w:t xml:space="preserve"> –</w:t>
      </w:r>
      <w:r w:rsidR="00C40F84">
        <w:rPr>
          <w:rFonts w:ascii="Arial" w:hAnsi="Arial" w:cs="Arial"/>
          <w:iCs/>
        </w:rPr>
        <w:t xml:space="preserve"> </w:t>
      </w:r>
      <w:r>
        <w:rPr>
          <w:rFonts w:ascii="Arial" w:hAnsi="Arial" w:cs="Arial"/>
          <w:iCs/>
        </w:rPr>
        <w:t xml:space="preserve">development of local level arrangements aimed at best </w:t>
      </w:r>
      <w:r w:rsidRPr="00A3443F">
        <w:rPr>
          <w:rFonts w:ascii="Arial" w:hAnsi="Arial" w:cs="Arial"/>
          <w:bCs/>
          <w:iCs/>
        </w:rPr>
        <w:t>meet</w:t>
      </w:r>
      <w:r>
        <w:rPr>
          <w:rFonts w:ascii="Arial" w:hAnsi="Arial" w:cs="Arial"/>
          <w:bCs/>
          <w:iCs/>
        </w:rPr>
        <w:t>ing</w:t>
      </w:r>
      <w:r w:rsidRPr="00A3443F">
        <w:rPr>
          <w:rFonts w:ascii="Arial" w:hAnsi="Arial" w:cs="Arial"/>
          <w:bCs/>
          <w:iCs/>
        </w:rPr>
        <w:t xml:space="preserve"> the safety and support needs of young people</w:t>
      </w:r>
      <w:r>
        <w:rPr>
          <w:rFonts w:ascii="Arial" w:hAnsi="Arial" w:cs="Arial"/>
          <w:bCs/>
          <w:iCs/>
        </w:rPr>
        <w:t xml:space="preserve"> as part of a coordinated system involving government and non-government agencies</w:t>
      </w:r>
      <w:r w:rsidRPr="00A3443F">
        <w:rPr>
          <w:rFonts w:ascii="Arial" w:hAnsi="Arial" w:cs="Arial"/>
          <w:bCs/>
          <w:iCs/>
        </w:rPr>
        <w:t xml:space="preserve">.  </w:t>
      </w:r>
    </w:p>
    <w:p w14:paraId="517B7ECE" w14:textId="77777777" w:rsidR="00ED0B77" w:rsidRPr="00B235A5" w:rsidRDefault="00ED0B77" w:rsidP="001838C5">
      <w:pPr>
        <w:spacing w:line="264" w:lineRule="auto"/>
        <w:rPr>
          <w:highlight w:val="yellow"/>
        </w:rPr>
      </w:pPr>
    </w:p>
    <w:p w14:paraId="0AB0CB27" w14:textId="47B9FBFA" w:rsidR="007C09E9" w:rsidRPr="0089542F" w:rsidRDefault="00331C71" w:rsidP="00ED0B77">
      <w:pPr>
        <w:pStyle w:val="SPEC3"/>
        <w:spacing w:before="60" w:after="60" w:line="264" w:lineRule="auto"/>
        <w:rPr>
          <w:rStyle w:val="Strong"/>
          <w:b/>
          <w:i w:val="0"/>
        </w:rPr>
      </w:pPr>
      <w:bookmarkStart w:id="155" w:name="_Toc421798608"/>
      <w:bookmarkStart w:id="156" w:name="_Toc421799897"/>
      <w:bookmarkStart w:id="157" w:name="_Toc508701802"/>
      <w:bookmarkStart w:id="158" w:name="_Toc516054647"/>
      <w:r>
        <w:t>6</w:t>
      </w:r>
      <w:r w:rsidR="0037613F" w:rsidRPr="0089542F">
        <w:t xml:space="preserve">.3.1 </w:t>
      </w:r>
      <w:r w:rsidR="00EC4052" w:rsidRPr="0089542F">
        <w:t>Requirement</w:t>
      </w:r>
      <w:r w:rsidR="00812FF7" w:rsidRPr="0089542F">
        <w:t>s</w:t>
      </w:r>
      <w:r w:rsidR="006E518A" w:rsidRPr="0089542F">
        <w:t xml:space="preserve"> – </w:t>
      </w:r>
      <w:r w:rsidR="00354793" w:rsidRPr="0089542F">
        <w:t>C</w:t>
      </w:r>
      <w:r w:rsidR="006E518A" w:rsidRPr="0089542F">
        <w:t>ommunity support</w:t>
      </w:r>
      <w:bookmarkEnd w:id="155"/>
      <w:bookmarkEnd w:id="156"/>
      <w:bookmarkEnd w:id="157"/>
      <w:bookmarkEnd w:id="158"/>
      <w:r w:rsidR="005A4D5D" w:rsidRPr="0089542F">
        <w:t xml:space="preserve"> (programs, events, </w:t>
      </w:r>
      <w:proofErr w:type="gramStart"/>
      <w:r w:rsidR="005A4D5D" w:rsidRPr="0089542F">
        <w:t>activities</w:t>
      </w:r>
      <w:proofErr w:type="gramEnd"/>
      <w:r w:rsidR="005A4D5D" w:rsidRPr="0089542F">
        <w:t xml:space="preserve"> and projects)</w:t>
      </w:r>
    </w:p>
    <w:p w14:paraId="16C94622" w14:textId="3335F3D5" w:rsidR="00C55434" w:rsidRDefault="00C40F84" w:rsidP="00C55434">
      <w:pPr>
        <w:spacing w:line="264" w:lineRule="auto"/>
        <w:rPr>
          <w:lang w:val="en-GB"/>
        </w:rPr>
      </w:pPr>
      <w:bookmarkStart w:id="159" w:name="_Hlk116646248"/>
      <w:bookmarkStart w:id="160" w:name="_Hlk111547958"/>
      <w:r w:rsidRPr="00C40F84">
        <w:rPr>
          <w:bCs/>
        </w:rPr>
        <w:t xml:space="preserve">The service must </w:t>
      </w:r>
      <w:bookmarkEnd w:id="159"/>
      <w:r w:rsidRPr="00C40F84">
        <w:rPr>
          <w:bCs/>
        </w:rPr>
        <w:t>develop</w:t>
      </w:r>
      <w:r w:rsidR="00C9077B" w:rsidRPr="00C40F84">
        <w:rPr>
          <w:lang w:val="en-GB"/>
        </w:rPr>
        <w:t xml:space="preserve"> opportunities </w:t>
      </w:r>
      <w:r w:rsidRPr="00C40F84">
        <w:rPr>
          <w:lang w:val="en-GB"/>
        </w:rPr>
        <w:t>in partnership with</w:t>
      </w:r>
      <w:r w:rsidR="00C9077B" w:rsidRPr="00C40F84">
        <w:rPr>
          <w:lang w:val="en-GB"/>
        </w:rPr>
        <w:t xml:space="preserve"> young people </w:t>
      </w:r>
      <w:r w:rsidRPr="00C40F84">
        <w:rPr>
          <w:lang w:val="en-GB"/>
        </w:rPr>
        <w:t xml:space="preserve">for them </w:t>
      </w:r>
      <w:r w:rsidR="00C9077B" w:rsidRPr="00C40F84">
        <w:rPr>
          <w:lang w:val="en-GB"/>
        </w:rPr>
        <w:t>to participate in</w:t>
      </w:r>
      <w:r w:rsidR="00F92BA7" w:rsidRPr="00C40F84">
        <w:rPr>
          <w:lang w:val="en-GB"/>
        </w:rPr>
        <w:t xml:space="preserve"> </w:t>
      </w:r>
      <w:bookmarkStart w:id="161" w:name="_Hlk111547553"/>
      <w:r w:rsidR="00C9077B" w:rsidRPr="00C40F84">
        <w:rPr>
          <w:lang w:val="en-GB"/>
        </w:rPr>
        <w:t>programs</w:t>
      </w:r>
      <w:r w:rsidR="00F92BA7" w:rsidRPr="00C40F84">
        <w:rPr>
          <w:lang w:val="en-GB"/>
        </w:rPr>
        <w:t xml:space="preserve">, </w:t>
      </w:r>
      <w:r w:rsidR="00C9077B" w:rsidRPr="00C40F84">
        <w:rPr>
          <w:lang w:val="en-GB"/>
        </w:rPr>
        <w:t>events</w:t>
      </w:r>
      <w:r w:rsidR="00F92BA7" w:rsidRPr="00C40F84">
        <w:rPr>
          <w:lang w:val="en-GB"/>
        </w:rPr>
        <w:t xml:space="preserve">, </w:t>
      </w:r>
      <w:proofErr w:type="gramStart"/>
      <w:r w:rsidR="00C9077B" w:rsidRPr="00C40F84">
        <w:rPr>
          <w:lang w:val="en-GB"/>
        </w:rPr>
        <w:t>activities</w:t>
      </w:r>
      <w:proofErr w:type="gramEnd"/>
      <w:r w:rsidR="007C09E9" w:rsidRPr="00C40F84">
        <w:rPr>
          <w:lang w:val="en-GB"/>
        </w:rPr>
        <w:t xml:space="preserve"> </w:t>
      </w:r>
      <w:r w:rsidR="00F92BA7" w:rsidRPr="00C40F84">
        <w:rPr>
          <w:lang w:val="en-GB"/>
        </w:rPr>
        <w:t xml:space="preserve">and </w:t>
      </w:r>
      <w:r w:rsidR="00C9077B" w:rsidRPr="00C40F84">
        <w:rPr>
          <w:lang w:val="en-GB"/>
        </w:rPr>
        <w:t xml:space="preserve">projects </w:t>
      </w:r>
      <w:bookmarkEnd w:id="161"/>
      <w:r w:rsidR="00C9077B" w:rsidRPr="00C40F84">
        <w:rPr>
          <w:lang w:val="en-GB"/>
        </w:rPr>
        <w:t xml:space="preserve">designed to develop their </w:t>
      </w:r>
      <w:r w:rsidRPr="00C40F84">
        <w:rPr>
          <w:iCs/>
        </w:rPr>
        <w:t>knowledge, skills and experience, supporting them</w:t>
      </w:r>
      <w:r w:rsidR="00C9077B" w:rsidRPr="00C40F84">
        <w:rPr>
          <w:lang w:val="en-GB"/>
        </w:rPr>
        <w:t xml:space="preserve"> </w:t>
      </w:r>
      <w:r w:rsidRPr="00C40F84">
        <w:rPr>
          <w:lang w:val="en-GB"/>
        </w:rPr>
        <w:t>to positively connect with their family, community, friends and social networks.</w:t>
      </w:r>
      <w:r w:rsidR="00C55434">
        <w:rPr>
          <w:lang w:val="en-GB"/>
        </w:rPr>
        <w:t xml:space="preserve">  O</w:t>
      </w:r>
      <w:r w:rsidR="00C55434" w:rsidRPr="00C55434">
        <w:rPr>
          <w:lang w:val="en-GB"/>
        </w:rPr>
        <w:t xml:space="preserve">pportunities </w:t>
      </w:r>
      <w:r w:rsidR="00C55434">
        <w:rPr>
          <w:lang w:val="en-GB"/>
        </w:rPr>
        <w:t xml:space="preserve">will be provided </w:t>
      </w:r>
      <w:r w:rsidR="00C55434" w:rsidRPr="00C55434">
        <w:rPr>
          <w:lang w:val="en-GB"/>
        </w:rPr>
        <w:t xml:space="preserve">for young people to express their ideas and views, raise issues of concern, and act on issues which affect their lives </w:t>
      </w:r>
      <w:r w:rsidR="00297943">
        <w:rPr>
          <w:lang w:val="en-GB"/>
        </w:rPr>
        <w:t xml:space="preserve">so they can </w:t>
      </w:r>
      <w:r w:rsidR="00C55434" w:rsidRPr="00C55434">
        <w:rPr>
          <w:lang w:val="en-GB"/>
        </w:rPr>
        <w:t>become engaged, resilient citizens.</w:t>
      </w:r>
    </w:p>
    <w:p w14:paraId="297EBF4A" w14:textId="01F4A819" w:rsidR="00A85454" w:rsidRDefault="00A85454" w:rsidP="00C55434">
      <w:pPr>
        <w:spacing w:line="264" w:lineRule="auto"/>
        <w:rPr>
          <w:lang w:val="en-GB"/>
        </w:rPr>
      </w:pPr>
    </w:p>
    <w:p w14:paraId="23C92B1D" w14:textId="7CE2D5CC" w:rsidR="00A85454" w:rsidRPr="00A85454" w:rsidRDefault="00A85454" w:rsidP="00A85454">
      <w:pPr>
        <w:spacing w:line="264" w:lineRule="auto"/>
      </w:pPr>
      <w:r>
        <w:t xml:space="preserve">Responses under this service type must not be limited to </w:t>
      </w:r>
      <w:r w:rsidRPr="00A85454">
        <w:t>recreational activities</w:t>
      </w:r>
      <w:r w:rsidR="00297943">
        <w:t>,</w:t>
      </w:r>
      <w:r w:rsidRPr="00A85454">
        <w:t xml:space="preserve"> such</w:t>
      </w:r>
      <w:r w:rsidR="00297943">
        <w:t xml:space="preserve"> as</w:t>
      </w:r>
      <w:r w:rsidRPr="00A85454">
        <w:t xml:space="preserve"> sport, music, art, outdoor </w:t>
      </w:r>
      <w:proofErr w:type="gramStart"/>
      <w:r w:rsidRPr="00A85454">
        <w:t>adventure</w:t>
      </w:r>
      <w:proofErr w:type="gramEnd"/>
      <w:r w:rsidRPr="00A85454">
        <w:t xml:space="preserve"> and social events</w:t>
      </w:r>
      <w:r>
        <w:t xml:space="preserve">.  Recreational activities must only be </w:t>
      </w:r>
      <w:r w:rsidR="00297943">
        <w:t xml:space="preserve">delivered as </w:t>
      </w:r>
      <w:r>
        <w:t>part of a broader response</w:t>
      </w:r>
      <w:r w:rsidRPr="00A85454">
        <w:t xml:space="preserve"> which seek</w:t>
      </w:r>
      <w:r>
        <w:t>s</w:t>
      </w:r>
      <w:r w:rsidRPr="00A85454">
        <w:t xml:space="preserve"> to </w:t>
      </w:r>
      <w:r w:rsidRPr="00A85454">
        <w:rPr>
          <w:lang w:val="en-GB"/>
        </w:rPr>
        <w:t xml:space="preserve">develop their </w:t>
      </w:r>
      <w:r w:rsidRPr="00A85454">
        <w:rPr>
          <w:iCs/>
        </w:rPr>
        <w:t xml:space="preserve">knowledge, </w:t>
      </w:r>
      <w:proofErr w:type="gramStart"/>
      <w:r w:rsidRPr="00A85454">
        <w:rPr>
          <w:iCs/>
        </w:rPr>
        <w:t>skills</w:t>
      </w:r>
      <w:proofErr w:type="gramEnd"/>
      <w:r w:rsidRPr="00A85454">
        <w:rPr>
          <w:iCs/>
        </w:rPr>
        <w:t xml:space="preserve"> and experience, supporting them</w:t>
      </w:r>
      <w:r w:rsidRPr="00A85454">
        <w:rPr>
          <w:lang w:val="en-GB"/>
        </w:rPr>
        <w:t xml:space="preserve"> to positively connect with their family, community, friends and social networks.</w:t>
      </w:r>
      <w:r w:rsidRPr="00A85454">
        <w:t xml:space="preserve">  </w:t>
      </w:r>
    </w:p>
    <w:p w14:paraId="21E1752A" w14:textId="77777777" w:rsidR="00A85454" w:rsidRPr="00C55434" w:rsidRDefault="00A85454" w:rsidP="00C55434">
      <w:pPr>
        <w:spacing w:line="264" w:lineRule="auto"/>
        <w:rPr>
          <w:lang w:val="en-GB"/>
        </w:rPr>
      </w:pPr>
    </w:p>
    <w:bookmarkEnd w:id="160"/>
    <w:p w14:paraId="4DD52149" w14:textId="5AB8FEBE" w:rsidR="00FA4405" w:rsidRDefault="00FA4405" w:rsidP="001838C5">
      <w:pPr>
        <w:spacing w:line="264" w:lineRule="auto"/>
      </w:pPr>
      <w:r w:rsidRPr="00C40F84">
        <w:t xml:space="preserve">Brokerage funds </w:t>
      </w:r>
      <w:r w:rsidR="00C40F84">
        <w:t>must</w:t>
      </w:r>
      <w:r w:rsidRPr="00C40F84">
        <w:t xml:space="preserve"> not </w:t>
      </w:r>
      <w:r w:rsidR="00C40F84">
        <w:t>to be used</w:t>
      </w:r>
      <w:r w:rsidRPr="00C40F84">
        <w:t xml:space="preserve"> for this service type. </w:t>
      </w:r>
    </w:p>
    <w:p w14:paraId="06119439" w14:textId="6B6FEFF9" w:rsidR="00A85454" w:rsidRDefault="00A85454" w:rsidP="001838C5">
      <w:pPr>
        <w:spacing w:line="264" w:lineRule="auto"/>
      </w:pPr>
    </w:p>
    <w:p w14:paraId="4056162C" w14:textId="24E2899E" w:rsidR="00A85454" w:rsidRPr="00C40F84" w:rsidRDefault="00A85454" w:rsidP="001838C5">
      <w:pPr>
        <w:spacing w:line="264" w:lineRule="auto"/>
      </w:pPr>
      <w:r>
        <w:rPr>
          <w:lang w:val="en-GB"/>
        </w:rPr>
        <w:t>P</w:t>
      </w:r>
      <w:r w:rsidRPr="00A85454">
        <w:rPr>
          <w:lang w:val="en-GB"/>
        </w:rPr>
        <w:t xml:space="preserve">rograms, events, </w:t>
      </w:r>
      <w:proofErr w:type="gramStart"/>
      <w:r w:rsidRPr="00A85454">
        <w:rPr>
          <w:lang w:val="en-GB"/>
        </w:rPr>
        <w:t>activities</w:t>
      </w:r>
      <w:proofErr w:type="gramEnd"/>
      <w:r w:rsidRPr="00A85454">
        <w:rPr>
          <w:lang w:val="en-GB"/>
        </w:rPr>
        <w:t xml:space="preserve"> and projects</w:t>
      </w:r>
      <w:r>
        <w:rPr>
          <w:lang w:val="en-GB"/>
        </w:rPr>
        <w:t xml:space="preserve"> delivered under this service type are not to be recorded on YSCIS or YHARS SRS.</w:t>
      </w:r>
    </w:p>
    <w:p w14:paraId="7416DC32" w14:textId="77777777" w:rsidR="00ED0B77" w:rsidRPr="00FA4405" w:rsidRDefault="00ED0B77" w:rsidP="001838C5">
      <w:pPr>
        <w:spacing w:line="264" w:lineRule="auto"/>
        <w:rPr>
          <w:highlight w:val="yellow"/>
        </w:rPr>
      </w:pPr>
    </w:p>
    <w:p w14:paraId="47B46380" w14:textId="344C1E90" w:rsidR="0089542F" w:rsidRDefault="00331C71" w:rsidP="00ED0B77">
      <w:pPr>
        <w:pStyle w:val="SPEC3"/>
        <w:spacing w:before="60" w:after="60" w:line="264" w:lineRule="auto"/>
      </w:pPr>
      <w:bookmarkStart w:id="162" w:name="_Toc421798609"/>
      <w:bookmarkStart w:id="163" w:name="_Toc421799898"/>
      <w:bookmarkStart w:id="164" w:name="_Toc508701803"/>
      <w:bookmarkStart w:id="165" w:name="_Toc516054648"/>
      <w:r>
        <w:t>6</w:t>
      </w:r>
      <w:r w:rsidR="0089542F" w:rsidRPr="0089542F">
        <w:t>.3.</w:t>
      </w:r>
      <w:r w:rsidR="0089542F">
        <w:t xml:space="preserve">2 </w:t>
      </w:r>
      <w:r w:rsidR="0083213E" w:rsidRPr="0083213E">
        <w:t>Considerations</w:t>
      </w:r>
      <w:r w:rsidR="0089542F" w:rsidRPr="0089542F">
        <w:t xml:space="preserve"> – Community support </w:t>
      </w:r>
      <w:bookmarkStart w:id="166" w:name="_Hlk112680110"/>
      <w:r w:rsidR="0089542F" w:rsidRPr="0089542F">
        <w:t xml:space="preserve">(programs, events, </w:t>
      </w:r>
      <w:proofErr w:type="gramStart"/>
      <w:r w:rsidR="0089542F" w:rsidRPr="0089542F">
        <w:t>activities</w:t>
      </w:r>
      <w:proofErr w:type="gramEnd"/>
      <w:r w:rsidR="0089542F" w:rsidRPr="0089542F">
        <w:t xml:space="preserve"> and projects)</w:t>
      </w:r>
    </w:p>
    <w:bookmarkEnd w:id="166"/>
    <w:p w14:paraId="46F2EFB5" w14:textId="27EBC121" w:rsidR="0089542F" w:rsidRPr="00C55434" w:rsidRDefault="0089542F" w:rsidP="005B3CA6">
      <w:pPr>
        <w:spacing w:line="264" w:lineRule="auto"/>
      </w:pPr>
      <w:r w:rsidRPr="00C55434">
        <w:t xml:space="preserve">When designing </w:t>
      </w:r>
      <w:proofErr w:type="gramStart"/>
      <w:r w:rsidRPr="00C55434">
        <w:t>community based</w:t>
      </w:r>
      <w:proofErr w:type="gramEnd"/>
      <w:r w:rsidRPr="00C55434">
        <w:t xml:space="preserve"> youth responses</w:t>
      </w:r>
      <w:r w:rsidR="005B3CA6">
        <w:t>, services</w:t>
      </w:r>
      <w:r w:rsidRPr="00C55434">
        <w:t xml:space="preserve"> should work with young people, non-government agencies</w:t>
      </w:r>
      <w:r w:rsidR="005B3CA6">
        <w:t xml:space="preserve">, </w:t>
      </w:r>
      <w:r w:rsidRPr="00C55434">
        <w:t>local community groups</w:t>
      </w:r>
      <w:r w:rsidR="005B3CA6">
        <w:t>,</w:t>
      </w:r>
      <w:r w:rsidRPr="00C55434">
        <w:t xml:space="preserve"> businesses</w:t>
      </w:r>
      <w:r w:rsidR="005B3CA6">
        <w:t xml:space="preserve"> and relevant government agencies</w:t>
      </w:r>
      <w:r w:rsidRPr="00C55434">
        <w:t xml:space="preserve"> to identify suitable community projects and strategies that provide opportunities </w:t>
      </w:r>
      <w:r w:rsidR="00297943">
        <w:t>for skill</w:t>
      </w:r>
      <w:r w:rsidR="00297943" w:rsidRPr="00C55434">
        <w:t xml:space="preserve"> </w:t>
      </w:r>
      <w:r w:rsidRPr="00C55434">
        <w:t>develop</w:t>
      </w:r>
      <w:r w:rsidR="00297943">
        <w:t>ment and participation in</w:t>
      </w:r>
      <w:r w:rsidRPr="00C55434">
        <w:t xml:space="preserve"> practical productive activities that strengthen bond</w:t>
      </w:r>
      <w:r w:rsidR="00297943">
        <w:t>s</w:t>
      </w:r>
      <w:r w:rsidRPr="00C55434">
        <w:t xml:space="preserve"> with their communities.</w:t>
      </w:r>
      <w:r w:rsidR="005B3CA6">
        <w:t xml:space="preserve">  </w:t>
      </w:r>
      <w:r w:rsidRPr="00C55434">
        <w:t>Suitable responses include</w:t>
      </w:r>
      <w:r w:rsidR="00C55434" w:rsidRPr="00C55434">
        <w:t xml:space="preserve"> – </w:t>
      </w:r>
    </w:p>
    <w:p w14:paraId="58CCA3DC" w14:textId="723515E1" w:rsidR="00A85454" w:rsidRPr="00A85454" w:rsidRDefault="00A85454" w:rsidP="00A85454">
      <w:pPr>
        <w:keepNext/>
        <w:numPr>
          <w:ilvl w:val="0"/>
          <w:numId w:val="8"/>
        </w:numPr>
        <w:spacing w:before="60" w:line="264" w:lineRule="auto"/>
        <w:ind w:left="714" w:hanging="357"/>
        <w:rPr>
          <w:rFonts w:eastAsia="Calibri" w:cs="Arial"/>
          <w:szCs w:val="22"/>
          <w:lang w:eastAsia="en-US"/>
        </w:rPr>
      </w:pPr>
      <w:r w:rsidRPr="00A85454">
        <w:rPr>
          <w:rFonts w:eastAsia="Calibri" w:cs="Arial"/>
          <w:szCs w:val="22"/>
          <w:lang w:eastAsia="en-US"/>
        </w:rPr>
        <w:t>cultural activities that connect young people to culture and community</w:t>
      </w:r>
      <w:r w:rsidR="00297943">
        <w:rPr>
          <w:rFonts w:eastAsia="Calibri" w:cs="Arial"/>
          <w:szCs w:val="22"/>
          <w:lang w:eastAsia="en-US"/>
        </w:rPr>
        <w:t>,</w:t>
      </w:r>
      <w:r w:rsidRPr="00A85454">
        <w:rPr>
          <w:rFonts w:eastAsia="Calibri" w:cs="Arial"/>
          <w:szCs w:val="22"/>
          <w:lang w:eastAsia="en-US"/>
        </w:rPr>
        <w:t xml:space="preserve"> such as building yarning circles, learning to care for country and organising and participating in cultural events</w:t>
      </w:r>
    </w:p>
    <w:p w14:paraId="3DB7095C" w14:textId="77777777" w:rsidR="00A85454" w:rsidRPr="00A85454" w:rsidRDefault="00A85454" w:rsidP="00A85454">
      <w:pPr>
        <w:keepNext/>
        <w:numPr>
          <w:ilvl w:val="0"/>
          <w:numId w:val="8"/>
        </w:numPr>
        <w:spacing w:before="60" w:line="264" w:lineRule="auto"/>
        <w:ind w:left="714" w:hanging="357"/>
        <w:rPr>
          <w:rFonts w:eastAsia="Calibri" w:cs="Arial"/>
          <w:szCs w:val="22"/>
          <w:lang w:eastAsia="en-US"/>
        </w:rPr>
      </w:pPr>
      <w:r w:rsidRPr="00A85454">
        <w:rPr>
          <w:rFonts w:eastAsia="Calibri" w:cs="Arial"/>
          <w:szCs w:val="22"/>
          <w:lang w:eastAsia="en-US"/>
        </w:rPr>
        <w:t>locally developed strategies to engage with disconnected young people and provide ways to assist them to reengage with education and with training or employment opportunities where relevant</w:t>
      </w:r>
    </w:p>
    <w:p w14:paraId="70E2BBA8" w14:textId="2E3AF6A1" w:rsidR="0089542F" w:rsidRPr="00C55434" w:rsidRDefault="0089542F" w:rsidP="0042530D">
      <w:pPr>
        <w:keepNext/>
        <w:numPr>
          <w:ilvl w:val="0"/>
          <w:numId w:val="8"/>
        </w:numPr>
        <w:spacing w:before="60" w:line="264" w:lineRule="auto"/>
        <w:ind w:left="714" w:hanging="357"/>
        <w:rPr>
          <w:rFonts w:eastAsia="Calibri" w:cs="Arial"/>
          <w:lang w:eastAsia="en-US"/>
        </w:rPr>
      </w:pPr>
      <w:r w:rsidRPr="00C55434">
        <w:rPr>
          <w:rFonts w:eastAsia="Calibri" w:cs="Arial"/>
          <w:szCs w:val="22"/>
          <w:lang w:eastAsia="en-US"/>
        </w:rPr>
        <w:t>development of supervised and self-employment opportunities</w:t>
      </w:r>
      <w:r w:rsidR="00701B65">
        <w:rPr>
          <w:rFonts w:eastAsia="Calibri" w:cs="Arial"/>
          <w:szCs w:val="22"/>
          <w:lang w:eastAsia="en-US"/>
        </w:rPr>
        <w:t>,</w:t>
      </w:r>
      <w:r w:rsidRPr="00C55434">
        <w:rPr>
          <w:rFonts w:eastAsia="Calibri" w:cs="Arial"/>
          <w:szCs w:val="22"/>
          <w:lang w:eastAsia="en-US"/>
        </w:rPr>
        <w:t xml:space="preserve"> such as property maintenance and home help including garden care, home cleaning and fence painting</w:t>
      </w:r>
    </w:p>
    <w:p w14:paraId="125B2CBF" w14:textId="271457E1" w:rsidR="0089542F" w:rsidRPr="005B3CA6" w:rsidRDefault="0089542F" w:rsidP="0042530D">
      <w:pPr>
        <w:keepNext/>
        <w:numPr>
          <w:ilvl w:val="0"/>
          <w:numId w:val="8"/>
        </w:numPr>
        <w:spacing w:before="60" w:line="264" w:lineRule="auto"/>
        <w:ind w:left="714" w:hanging="357"/>
        <w:rPr>
          <w:rFonts w:eastAsia="Calibri" w:cs="Arial"/>
          <w:lang w:eastAsia="en-US"/>
        </w:rPr>
      </w:pPr>
      <w:r w:rsidRPr="00C55434">
        <w:rPr>
          <w:rFonts w:eastAsia="Calibri" w:cs="Arial"/>
          <w:lang w:eastAsia="en-US"/>
        </w:rPr>
        <w:t>skill development activities and opportunities</w:t>
      </w:r>
      <w:r w:rsidR="00701B65">
        <w:rPr>
          <w:rFonts w:eastAsia="Calibri" w:cs="Arial"/>
          <w:lang w:eastAsia="en-US"/>
        </w:rPr>
        <w:t>,</w:t>
      </w:r>
      <w:r w:rsidRPr="00C55434">
        <w:rPr>
          <w:rFonts w:eastAsia="Calibri" w:cs="Arial"/>
          <w:lang w:eastAsia="en-US"/>
        </w:rPr>
        <w:t xml:space="preserve"> such as volunteering with local community groups, </w:t>
      </w:r>
      <w:r w:rsidRPr="005B3CA6">
        <w:rPr>
          <w:rFonts w:eastAsia="Calibri" w:cs="Arial"/>
          <w:lang w:eastAsia="en-US"/>
        </w:rPr>
        <w:t>gaining skills in home and vehicle maintenance, customer service experience and literacy and numeracy skills</w:t>
      </w:r>
    </w:p>
    <w:p w14:paraId="5EDF44A5" w14:textId="77777777" w:rsidR="00ED0B77" w:rsidRPr="005B3CA6" w:rsidRDefault="00ED0B77" w:rsidP="001838C5">
      <w:pPr>
        <w:spacing w:line="264" w:lineRule="auto"/>
        <w:rPr>
          <w:rFonts w:cs="Arial"/>
        </w:rPr>
      </w:pPr>
    </w:p>
    <w:p w14:paraId="2A9BECDF" w14:textId="7876F488" w:rsidR="0089542F" w:rsidRPr="005B3CA6" w:rsidRDefault="000F2441" w:rsidP="001838C5">
      <w:pPr>
        <w:spacing w:line="264" w:lineRule="auto"/>
        <w:rPr>
          <w:rFonts w:cs="Arial"/>
        </w:rPr>
      </w:pPr>
      <w:r>
        <w:rPr>
          <w:rFonts w:cs="Arial"/>
        </w:rPr>
        <w:t>I</w:t>
      </w:r>
      <w:r w:rsidR="0089542F" w:rsidRPr="005B3CA6">
        <w:rPr>
          <w:rFonts w:cs="Arial"/>
        </w:rPr>
        <w:t xml:space="preserve">dentification and planning should actively involve young people, to address their areas of interest or concern, as well as </w:t>
      </w:r>
      <w:r w:rsidR="00701B65" w:rsidRPr="005B3CA6">
        <w:rPr>
          <w:rFonts w:cs="Arial"/>
        </w:rPr>
        <w:t>leverag</w:t>
      </w:r>
      <w:r w:rsidR="00701B65">
        <w:rPr>
          <w:rFonts w:cs="Arial"/>
        </w:rPr>
        <w:t>ing</w:t>
      </w:r>
      <w:r w:rsidR="00701B65" w:rsidRPr="005B3CA6">
        <w:rPr>
          <w:rFonts w:cs="Arial"/>
        </w:rPr>
        <w:t xml:space="preserve"> </w:t>
      </w:r>
      <w:r w:rsidR="0089542F" w:rsidRPr="005B3CA6">
        <w:rPr>
          <w:rFonts w:cs="Arial"/>
        </w:rPr>
        <w:t xml:space="preserve">and </w:t>
      </w:r>
      <w:r w:rsidR="00701B65" w:rsidRPr="005B3CA6">
        <w:rPr>
          <w:rFonts w:cs="Arial"/>
        </w:rPr>
        <w:t>involv</w:t>
      </w:r>
      <w:r w:rsidR="00701B65">
        <w:rPr>
          <w:rFonts w:cs="Arial"/>
        </w:rPr>
        <w:t>ing</w:t>
      </w:r>
      <w:r w:rsidR="00701B65" w:rsidRPr="005B3CA6">
        <w:rPr>
          <w:rFonts w:cs="Arial"/>
        </w:rPr>
        <w:t xml:space="preserve"> </w:t>
      </w:r>
      <w:r w:rsidR="0089542F" w:rsidRPr="005B3CA6">
        <w:rPr>
          <w:rFonts w:cs="Arial"/>
        </w:rPr>
        <w:t>other key community organisations and groups.</w:t>
      </w:r>
    </w:p>
    <w:p w14:paraId="1D3CF1A3" w14:textId="77777777" w:rsidR="00ED0B77" w:rsidRPr="005B3CA6" w:rsidRDefault="00ED0B77" w:rsidP="001838C5">
      <w:pPr>
        <w:spacing w:line="264" w:lineRule="auto"/>
        <w:rPr>
          <w:rFonts w:cs="Arial"/>
        </w:rPr>
      </w:pPr>
    </w:p>
    <w:p w14:paraId="3ADAE02F" w14:textId="6E4A8235" w:rsidR="0089542F" w:rsidRPr="00051348" w:rsidRDefault="0089542F" w:rsidP="001838C5">
      <w:pPr>
        <w:spacing w:line="264" w:lineRule="auto"/>
        <w:rPr>
          <w:rFonts w:cs="Arial"/>
        </w:rPr>
      </w:pPr>
      <w:r w:rsidRPr="005B3CA6">
        <w:rPr>
          <w:rFonts w:cs="Arial"/>
        </w:rPr>
        <w:t>Young people should be encouraged to proactively identify ways to ensure success and develop their skills and confidence during the delivery</w:t>
      </w:r>
      <w:r w:rsidRPr="00051348">
        <w:rPr>
          <w:rFonts w:cs="Arial"/>
        </w:rPr>
        <w:t xml:space="preserve"> of the </w:t>
      </w:r>
      <w:r w:rsidR="000F2441" w:rsidRPr="000F2441">
        <w:rPr>
          <w:rFonts w:cs="Arial"/>
        </w:rPr>
        <w:t>program, event, activit</w:t>
      </w:r>
      <w:r w:rsidR="000F2441">
        <w:rPr>
          <w:rFonts w:cs="Arial"/>
        </w:rPr>
        <w:t>y</w:t>
      </w:r>
      <w:r w:rsidR="000F2441" w:rsidRPr="000F2441">
        <w:rPr>
          <w:rFonts w:cs="Arial"/>
        </w:rPr>
        <w:t xml:space="preserve"> and</w:t>
      </w:r>
      <w:r w:rsidR="000F2441">
        <w:rPr>
          <w:rFonts w:cs="Arial"/>
        </w:rPr>
        <w:t xml:space="preserve"> / or</w:t>
      </w:r>
      <w:r w:rsidR="000F2441" w:rsidRPr="000F2441">
        <w:rPr>
          <w:rFonts w:cs="Arial"/>
        </w:rPr>
        <w:t xml:space="preserve"> project</w:t>
      </w:r>
      <w:r w:rsidRPr="00051348">
        <w:rPr>
          <w:rFonts w:cs="Arial"/>
        </w:rPr>
        <w:t>.</w:t>
      </w:r>
      <w:r w:rsidR="000F2441">
        <w:rPr>
          <w:rFonts w:cs="Arial"/>
        </w:rPr>
        <w:t xml:space="preserve"> </w:t>
      </w:r>
    </w:p>
    <w:p w14:paraId="3E1E5A78" w14:textId="77777777" w:rsidR="00ED0B77" w:rsidRPr="00051348" w:rsidRDefault="00ED0B77" w:rsidP="001838C5">
      <w:pPr>
        <w:spacing w:line="264" w:lineRule="auto"/>
        <w:rPr>
          <w:rFonts w:cs="Arial"/>
        </w:rPr>
      </w:pPr>
    </w:p>
    <w:p w14:paraId="38FFD7A9" w14:textId="2CDFAE83" w:rsidR="00645F41" w:rsidRPr="0089542F" w:rsidRDefault="00331C71" w:rsidP="00ED0B77">
      <w:pPr>
        <w:pStyle w:val="SPEC3"/>
        <w:spacing w:before="60" w:after="60" w:line="264" w:lineRule="auto"/>
      </w:pPr>
      <w:r w:rsidRPr="00051348">
        <w:t>6</w:t>
      </w:r>
      <w:r w:rsidR="00645F41" w:rsidRPr="00051348">
        <w:t>.3.</w:t>
      </w:r>
      <w:r w:rsidR="0089542F" w:rsidRPr="00051348">
        <w:t>3</w:t>
      </w:r>
      <w:r w:rsidR="00645F41" w:rsidRPr="00051348">
        <w:t xml:space="preserve"> </w:t>
      </w:r>
      <w:r w:rsidR="00FA4405" w:rsidRPr="00051348">
        <w:t xml:space="preserve">Requirements – Community </w:t>
      </w:r>
      <w:r w:rsidR="005A4D5D" w:rsidRPr="00051348">
        <w:t>s</w:t>
      </w:r>
      <w:r w:rsidR="00FA4405" w:rsidRPr="00051348">
        <w:t>upport</w:t>
      </w:r>
      <w:r w:rsidR="00FA4405" w:rsidRPr="0089542F">
        <w:t xml:space="preserve"> (</w:t>
      </w:r>
      <w:r w:rsidR="005A4D5D" w:rsidRPr="0089542F">
        <w:t>s</w:t>
      </w:r>
      <w:r w:rsidR="00FA4405" w:rsidRPr="0089542F">
        <w:t xml:space="preserve">ystem </w:t>
      </w:r>
      <w:r w:rsidR="005A4D5D" w:rsidRPr="0089542F">
        <w:t>c</w:t>
      </w:r>
      <w:r w:rsidR="00FA4405" w:rsidRPr="0089542F">
        <w:t>oordination)</w:t>
      </w:r>
    </w:p>
    <w:p w14:paraId="5EEA6B56" w14:textId="0690043A" w:rsidR="00ED0B77" w:rsidRPr="003F311C" w:rsidRDefault="00946703" w:rsidP="001838C5">
      <w:pPr>
        <w:pStyle w:val="SPEC3"/>
        <w:spacing w:line="264" w:lineRule="auto"/>
        <w:rPr>
          <w:b w:val="0"/>
          <w:bCs/>
          <w:sz w:val="20"/>
          <w:szCs w:val="18"/>
        </w:rPr>
      </w:pPr>
      <w:r w:rsidRPr="00946703">
        <w:rPr>
          <w:b w:val="0"/>
          <w:bCs/>
          <w:sz w:val="20"/>
          <w:szCs w:val="18"/>
        </w:rPr>
        <w:t xml:space="preserve">The service must develop, </w:t>
      </w:r>
      <w:proofErr w:type="gramStart"/>
      <w:r w:rsidRPr="00946703">
        <w:rPr>
          <w:b w:val="0"/>
          <w:bCs/>
          <w:sz w:val="20"/>
          <w:szCs w:val="18"/>
        </w:rPr>
        <w:t>lead</w:t>
      </w:r>
      <w:proofErr w:type="gramEnd"/>
      <w:r w:rsidRPr="00946703">
        <w:rPr>
          <w:b w:val="0"/>
          <w:bCs/>
          <w:sz w:val="20"/>
          <w:szCs w:val="18"/>
        </w:rPr>
        <w:t xml:space="preserve"> and maintain a</w:t>
      </w:r>
      <w:r>
        <w:rPr>
          <w:b w:val="0"/>
          <w:bCs/>
          <w:sz w:val="20"/>
          <w:szCs w:val="18"/>
        </w:rPr>
        <w:t xml:space="preserve"> coordinated</w:t>
      </w:r>
      <w:r w:rsidRPr="00946703">
        <w:rPr>
          <w:b w:val="0"/>
          <w:bCs/>
          <w:sz w:val="20"/>
          <w:szCs w:val="18"/>
        </w:rPr>
        <w:t xml:space="preserve"> service </w:t>
      </w:r>
      <w:r>
        <w:rPr>
          <w:b w:val="0"/>
          <w:bCs/>
          <w:sz w:val="20"/>
          <w:szCs w:val="18"/>
        </w:rPr>
        <w:t xml:space="preserve">system </w:t>
      </w:r>
      <w:r w:rsidRPr="00946703">
        <w:rPr>
          <w:b w:val="0"/>
          <w:bCs/>
          <w:sz w:val="20"/>
          <w:szCs w:val="18"/>
        </w:rPr>
        <w:t>which brings together a broad range of government and non-government agencies and services to facilitate the delivery of flexible and tailored responses to young people</w:t>
      </w:r>
      <w:r w:rsidR="00701B65">
        <w:rPr>
          <w:b w:val="0"/>
          <w:bCs/>
          <w:sz w:val="20"/>
          <w:szCs w:val="18"/>
        </w:rPr>
        <w:t xml:space="preserve"> experiencing vulnerability</w:t>
      </w:r>
      <w:r w:rsidRPr="00946703">
        <w:rPr>
          <w:b w:val="0"/>
          <w:bCs/>
          <w:sz w:val="20"/>
          <w:szCs w:val="18"/>
        </w:rPr>
        <w:t>.</w:t>
      </w:r>
      <w:r>
        <w:rPr>
          <w:b w:val="0"/>
          <w:bCs/>
          <w:sz w:val="20"/>
          <w:szCs w:val="18"/>
        </w:rPr>
        <w:t xml:space="preserve">  </w:t>
      </w:r>
      <w:r w:rsidRPr="00946703">
        <w:rPr>
          <w:b w:val="0"/>
          <w:bCs/>
          <w:sz w:val="20"/>
          <w:szCs w:val="18"/>
        </w:rPr>
        <w:t xml:space="preserve">The </w:t>
      </w:r>
      <w:r w:rsidR="00A85454">
        <w:rPr>
          <w:b w:val="0"/>
          <w:bCs/>
          <w:sz w:val="20"/>
          <w:szCs w:val="18"/>
        </w:rPr>
        <w:t>Supplier</w:t>
      </w:r>
      <w:r w:rsidRPr="00946703">
        <w:rPr>
          <w:b w:val="0"/>
          <w:bCs/>
          <w:sz w:val="20"/>
          <w:szCs w:val="18"/>
        </w:rPr>
        <w:t xml:space="preserve"> must support agencies to work </w:t>
      </w:r>
      <w:r w:rsidRPr="003F311C">
        <w:rPr>
          <w:b w:val="0"/>
          <w:bCs/>
          <w:sz w:val="20"/>
          <w:szCs w:val="18"/>
        </w:rPr>
        <w:t xml:space="preserve">together through structured mechanisms and formalised relationships to deliver effective, timely </w:t>
      </w:r>
      <w:r w:rsidR="003F311C" w:rsidRPr="003F311C">
        <w:rPr>
          <w:b w:val="0"/>
          <w:bCs/>
          <w:sz w:val="20"/>
          <w:szCs w:val="18"/>
        </w:rPr>
        <w:t xml:space="preserve">individual, case managed </w:t>
      </w:r>
      <w:r w:rsidRPr="003F311C">
        <w:rPr>
          <w:b w:val="0"/>
          <w:bCs/>
          <w:sz w:val="20"/>
          <w:szCs w:val="18"/>
        </w:rPr>
        <w:t xml:space="preserve">responses to meet the safety and support needs of young people.  </w:t>
      </w:r>
    </w:p>
    <w:p w14:paraId="1E2A36D3" w14:textId="77777777" w:rsidR="00ED0B77" w:rsidRPr="003F311C" w:rsidRDefault="00ED0B77" w:rsidP="001838C5">
      <w:pPr>
        <w:pStyle w:val="SPEC3"/>
        <w:spacing w:line="264" w:lineRule="auto"/>
        <w:rPr>
          <w:b w:val="0"/>
          <w:sz w:val="20"/>
          <w:szCs w:val="18"/>
        </w:rPr>
      </w:pPr>
    </w:p>
    <w:p w14:paraId="49B98DD4" w14:textId="0ECD5367" w:rsidR="00946703" w:rsidRPr="003F311C" w:rsidRDefault="003F311C" w:rsidP="00946703">
      <w:pPr>
        <w:pStyle w:val="SPEC3"/>
        <w:rPr>
          <w:b w:val="0"/>
          <w:bCs/>
          <w:sz w:val="20"/>
          <w:szCs w:val="16"/>
        </w:rPr>
      </w:pPr>
      <w:r w:rsidRPr="003F311C">
        <w:rPr>
          <w:b w:val="0"/>
          <w:bCs/>
          <w:sz w:val="20"/>
          <w:szCs w:val="16"/>
        </w:rPr>
        <w:t>As part of this coordinated system, s</w:t>
      </w:r>
      <w:r w:rsidR="00946703" w:rsidRPr="003F311C">
        <w:rPr>
          <w:b w:val="0"/>
          <w:bCs/>
          <w:sz w:val="20"/>
          <w:szCs w:val="16"/>
        </w:rPr>
        <w:t>ervices must provide information</w:t>
      </w:r>
      <w:r w:rsidRPr="003F311C">
        <w:rPr>
          <w:b w:val="0"/>
          <w:bCs/>
          <w:sz w:val="20"/>
          <w:szCs w:val="16"/>
        </w:rPr>
        <w:t xml:space="preserve"> and</w:t>
      </w:r>
      <w:r w:rsidR="00946703" w:rsidRPr="003F311C">
        <w:rPr>
          <w:b w:val="0"/>
          <w:bCs/>
          <w:sz w:val="20"/>
          <w:szCs w:val="16"/>
        </w:rPr>
        <w:t xml:space="preserve"> advice to other agencies that form part of the local service system and in response to general enquiries from the general community. Some information may be given verbally, while other information may need to be presented as printed material or electronically as an online resource. </w:t>
      </w:r>
    </w:p>
    <w:p w14:paraId="717373A6" w14:textId="77777777" w:rsidR="00946703" w:rsidRPr="003F311C" w:rsidRDefault="00946703" w:rsidP="001838C5">
      <w:pPr>
        <w:pStyle w:val="SPEC3"/>
        <w:spacing w:line="264" w:lineRule="auto"/>
        <w:rPr>
          <w:b w:val="0"/>
          <w:sz w:val="20"/>
          <w:szCs w:val="18"/>
        </w:rPr>
      </w:pPr>
    </w:p>
    <w:p w14:paraId="34ABD345" w14:textId="5DFED5D9" w:rsidR="00560C05" w:rsidRPr="003F311C" w:rsidRDefault="00560C05" w:rsidP="001838C5">
      <w:pPr>
        <w:pStyle w:val="SPEC3"/>
        <w:spacing w:line="264" w:lineRule="auto"/>
        <w:rPr>
          <w:b w:val="0"/>
          <w:sz w:val="20"/>
          <w:szCs w:val="18"/>
        </w:rPr>
      </w:pPr>
      <w:r w:rsidRPr="003F311C">
        <w:rPr>
          <w:b w:val="0"/>
          <w:sz w:val="20"/>
          <w:szCs w:val="18"/>
        </w:rPr>
        <w:t xml:space="preserve">Services must </w:t>
      </w:r>
      <w:r w:rsidR="003F311C" w:rsidRPr="003F311C">
        <w:rPr>
          <w:b w:val="0"/>
          <w:sz w:val="20"/>
          <w:szCs w:val="18"/>
        </w:rPr>
        <w:t xml:space="preserve">also </w:t>
      </w:r>
      <w:r w:rsidRPr="003F311C">
        <w:rPr>
          <w:b w:val="0"/>
          <w:sz w:val="20"/>
          <w:szCs w:val="18"/>
        </w:rPr>
        <w:t xml:space="preserve">provide or facilitate professional development and training opportunities to these key agencies to support the aims of the </w:t>
      </w:r>
      <w:r w:rsidR="003F311C" w:rsidRPr="003F311C">
        <w:rPr>
          <w:b w:val="0"/>
          <w:sz w:val="20"/>
          <w:szCs w:val="18"/>
        </w:rPr>
        <w:t>coordinat</w:t>
      </w:r>
      <w:r w:rsidRPr="003F311C">
        <w:rPr>
          <w:b w:val="0"/>
          <w:sz w:val="20"/>
          <w:szCs w:val="18"/>
        </w:rPr>
        <w:t>ed service response</w:t>
      </w:r>
      <w:r w:rsidR="003F311C" w:rsidRPr="003F311C">
        <w:rPr>
          <w:b w:val="0"/>
          <w:sz w:val="20"/>
          <w:szCs w:val="18"/>
        </w:rPr>
        <w:t xml:space="preserve">, including a shared understanding of the needs of young people </w:t>
      </w:r>
      <w:r w:rsidR="00701B65">
        <w:rPr>
          <w:b w:val="0"/>
          <w:sz w:val="20"/>
          <w:szCs w:val="18"/>
        </w:rPr>
        <w:t xml:space="preserve">experiencing </w:t>
      </w:r>
      <w:r w:rsidR="00701B65" w:rsidRPr="00701B65">
        <w:rPr>
          <w:b w:val="0"/>
          <w:sz w:val="20"/>
          <w:szCs w:val="18"/>
        </w:rPr>
        <w:t>vulnerab</w:t>
      </w:r>
      <w:r w:rsidR="00701B65">
        <w:rPr>
          <w:b w:val="0"/>
          <w:sz w:val="20"/>
          <w:szCs w:val="18"/>
        </w:rPr>
        <w:t>ility</w:t>
      </w:r>
      <w:r w:rsidR="00701B65" w:rsidRPr="00701B65">
        <w:rPr>
          <w:b w:val="0"/>
          <w:sz w:val="20"/>
          <w:szCs w:val="18"/>
        </w:rPr>
        <w:t xml:space="preserve"> </w:t>
      </w:r>
      <w:r w:rsidR="003F311C" w:rsidRPr="003F311C">
        <w:rPr>
          <w:b w:val="0"/>
          <w:sz w:val="20"/>
          <w:szCs w:val="18"/>
        </w:rPr>
        <w:t>and appropriate</w:t>
      </w:r>
      <w:r w:rsidRPr="003F311C">
        <w:rPr>
          <w:b w:val="0"/>
          <w:sz w:val="20"/>
          <w:szCs w:val="18"/>
        </w:rPr>
        <w:t xml:space="preserve"> </w:t>
      </w:r>
      <w:r w:rsidR="003F311C" w:rsidRPr="003F311C">
        <w:rPr>
          <w:b w:val="0"/>
          <w:sz w:val="20"/>
          <w:szCs w:val="18"/>
        </w:rPr>
        <w:t>strategies to minimise risks to young people</w:t>
      </w:r>
      <w:r w:rsidRPr="003F311C">
        <w:rPr>
          <w:b w:val="0"/>
          <w:sz w:val="20"/>
          <w:szCs w:val="18"/>
        </w:rPr>
        <w:t xml:space="preserve">. </w:t>
      </w:r>
    </w:p>
    <w:p w14:paraId="7CDC9800" w14:textId="35C03009" w:rsidR="00946703" w:rsidRPr="003F311C" w:rsidRDefault="00946703" w:rsidP="001838C5">
      <w:pPr>
        <w:pStyle w:val="SPEC3"/>
        <w:spacing w:line="264" w:lineRule="auto"/>
        <w:rPr>
          <w:b w:val="0"/>
          <w:sz w:val="20"/>
          <w:szCs w:val="18"/>
        </w:rPr>
      </w:pPr>
    </w:p>
    <w:p w14:paraId="10061608" w14:textId="13590ABC" w:rsidR="003F311C" w:rsidRDefault="00701B65" w:rsidP="001838C5">
      <w:pPr>
        <w:pStyle w:val="SPEC3"/>
        <w:spacing w:line="264" w:lineRule="auto"/>
        <w:rPr>
          <w:b w:val="0"/>
          <w:sz w:val="20"/>
          <w:szCs w:val="18"/>
        </w:rPr>
      </w:pPr>
      <w:r>
        <w:rPr>
          <w:b w:val="0"/>
          <w:sz w:val="20"/>
          <w:szCs w:val="18"/>
        </w:rPr>
        <w:t>G</w:t>
      </w:r>
      <w:r w:rsidR="003F311C" w:rsidRPr="003F311C">
        <w:rPr>
          <w:b w:val="0"/>
          <w:sz w:val="20"/>
          <w:szCs w:val="18"/>
        </w:rPr>
        <w:t xml:space="preserve">eneral </w:t>
      </w:r>
      <w:r w:rsidR="003F311C">
        <w:rPr>
          <w:b w:val="0"/>
          <w:sz w:val="20"/>
          <w:szCs w:val="18"/>
        </w:rPr>
        <w:t xml:space="preserve">service </w:t>
      </w:r>
      <w:r w:rsidR="003F311C" w:rsidRPr="003F311C">
        <w:rPr>
          <w:b w:val="0"/>
          <w:sz w:val="20"/>
          <w:szCs w:val="18"/>
        </w:rPr>
        <w:t>networking, attending Annual General Meetings</w:t>
      </w:r>
      <w:r w:rsidR="003F311C">
        <w:rPr>
          <w:b w:val="0"/>
          <w:sz w:val="20"/>
          <w:szCs w:val="18"/>
        </w:rPr>
        <w:t xml:space="preserve">, service promotion activities and the </w:t>
      </w:r>
      <w:r w:rsidR="003F311C" w:rsidRPr="003F311C">
        <w:rPr>
          <w:b w:val="0"/>
          <w:sz w:val="20"/>
          <w:szCs w:val="18"/>
        </w:rPr>
        <w:t xml:space="preserve">like are not considered as system coordination activities under this </w:t>
      </w:r>
      <w:r w:rsidR="00A85454">
        <w:rPr>
          <w:b w:val="0"/>
          <w:sz w:val="20"/>
          <w:szCs w:val="18"/>
        </w:rPr>
        <w:t>s</w:t>
      </w:r>
      <w:r w:rsidR="003F311C" w:rsidRPr="003F311C">
        <w:rPr>
          <w:b w:val="0"/>
          <w:sz w:val="20"/>
          <w:szCs w:val="18"/>
        </w:rPr>
        <w:t>pecification.</w:t>
      </w:r>
    </w:p>
    <w:p w14:paraId="7DF4A621" w14:textId="2D9640C1" w:rsidR="00C40F84" w:rsidRPr="00C40F84" w:rsidRDefault="00C40F84" w:rsidP="001838C5">
      <w:pPr>
        <w:pStyle w:val="SPEC3"/>
        <w:spacing w:line="264" w:lineRule="auto"/>
        <w:rPr>
          <w:b w:val="0"/>
          <w:bCs/>
          <w:sz w:val="20"/>
        </w:rPr>
      </w:pPr>
    </w:p>
    <w:p w14:paraId="22D48A56" w14:textId="77777777" w:rsidR="00C40F84" w:rsidRPr="00C40F84" w:rsidRDefault="00C40F84" w:rsidP="00C40F84">
      <w:pPr>
        <w:pStyle w:val="SPEC3"/>
        <w:rPr>
          <w:b w:val="0"/>
          <w:bCs/>
          <w:sz w:val="20"/>
        </w:rPr>
      </w:pPr>
      <w:r w:rsidRPr="00C40F84">
        <w:rPr>
          <w:b w:val="0"/>
          <w:bCs/>
          <w:sz w:val="20"/>
        </w:rPr>
        <w:t xml:space="preserve">Brokerage funds must not to be used for this service type. </w:t>
      </w:r>
    </w:p>
    <w:p w14:paraId="5B747281" w14:textId="77777777" w:rsidR="00ED0B77" w:rsidRPr="00C40F84" w:rsidRDefault="00ED0B77" w:rsidP="001838C5">
      <w:pPr>
        <w:pStyle w:val="SPEC3"/>
        <w:spacing w:line="264" w:lineRule="auto"/>
        <w:rPr>
          <w:b w:val="0"/>
          <w:bCs/>
          <w:sz w:val="20"/>
        </w:rPr>
      </w:pPr>
    </w:p>
    <w:p w14:paraId="15217A75" w14:textId="12B2A0BE" w:rsidR="00EC4052" w:rsidRPr="003F311C" w:rsidRDefault="00331C71" w:rsidP="00ED0B77">
      <w:pPr>
        <w:pStyle w:val="SPEC3"/>
        <w:spacing w:before="60" w:after="60" w:line="264" w:lineRule="auto"/>
      </w:pPr>
      <w:r w:rsidRPr="003F311C">
        <w:t>6</w:t>
      </w:r>
      <w:r w:rsidR="0037613F" w:rsidRPr="003F311C">
        <w:t>.3.</w:t>
      </w:r>
      <w:r w:rsidR="00253854" w:rsidRPr="003F311C">
        <w:t>4</w:t>
      </w:r>
      <w:r w:rsidR="0037613F" w:rsidRPr="003F311C">
        <w:t xml:space="preserve"> </w:t>
      </w:r>
      <w:r w:rsidR="00EC4052" w:rsidRPr="003F311C">
        <w:t>Consideration</w:t>
      </w:r>
      <w:r w:rsidR="00812FF7" w:rsidRPr="003F311C">
        <w:t>s</w:t>
      </w:r>
      <w:r w:rsidR="006E518A" w:rsidRPr="003F311C">
        <w:t xml:space="preserve"> – </w:t>
      </w:r>
      <w:r w:rsidR="00354793" w:rsidRPr="003F311C">
        <w:t>C</w:t>
      </w:r>
      <w:r w:rsidR="006E518A" w:rsidRPr="003F311C">
        <w:t>ommunity support</w:t>
      </w:r>
      <w:bookmarkEnd w:id="162"/>
      <w:bookmarkEnd w:id="163"/>
      <w:bookmarkEnd w:id="164"/>
      <w:bookmarkEnd w:id="165"/>
      <w:r w:rsidR="0089542F" w:rsidRPr="003F311C">
        <w:t xml:space="preserve"> (system coordination)</w:t>
      </w:r>
    </w:p>
    <w:p w14:paraId="23C3E699" w14:textId="59FD8F09" w:rsidR="003F311C" w:rsidRPr="003F311C" w:rsidRDefault="00946703" w:rsidP="00946703">
      <w:pPr>
        <w:pStyle w:val="SPEC3"/>
        <w:spacing w:line="264" w:lineRule="auto"/>
        <w:rPr>
          <w:b w:val="0"/>
          <w:sz w:val="20"/>
          <w:szCs w:val="18"/>
        </w:rPr>
      </w:pPr>
      <w:r w:rsidRPr="003F311C">
        <w:rPr>
          <w:b w:val="0"/>
          <w:sz w:val="20"/>
          <w:szCs w:val="18"/>
        </w:rPr>
        <w:t>Services m</w:t>
      </w:r>
      <w:r w:rsidR="003F311C" w:rsidRPr="003F311C">
        <w:rPr>
          <w:b w:val="0"/>
          <w:sz w:val="20"/>
          <w:szCs w:val="18"/>
        </w:rPr>
        <w:t>ay</w:t>
      </w:r>
      <w:r w:rsidRPr="003F311C">
        <w:rPr>
          <w:b w:val="0"/>
          <w:sz w:val="20"/>
          <w:szCs w:val="18"/>
        </w:rPr>
        <w:t xml:space="preserve"> promote greater public awareness of </w:t>
      </w:r>
      <w:r w:rsidR="003F311C" w:rsidRPr="003F311C">
        <w:rPr>
          <w:b w:val="0"/>
          <w:sz w:val="20"/>
          <w:szCs w:val="18"/>
        </w:rPr>
        <w:t>the experiences of young people</w:t>
      </w:r>
      <w:r w:rsidR="00701B65">
        <w:rPr>
          <w:b w:val="0"/>
          <w:sz w:val="20"/>
          <w:szCs w:val="18"/>
        </w:rPr>
        <w:t xml:space="preserve"> experiencing </w:t>
      </w:r>
      <w:r w:rsidR="00701B65" w:rsidRPr="003F311C">
        <w:rPr>
          <w:b w:val="0"/>
          <w:sz w:val="20"/>
          <w:szCs w:val="18"/>
        </w:rPr>
        <w:t>vulnerab</w:t>
      </w:r>
      <w:r w:rsidR="00701B65">
        <w:rPr>
          <w:b w:val="0"/>
          <w:sz w:val="20"/>
          <w:szCs w:val="18"/>
        </w:rPr>
        <w:t>ility</w:t>
      </w:r>
      <w:r w:rsidR="003F311C" w:rsidRPr="003F311C">
        <w:rPr>
          <w:b w:val="0"/>
          <w:sz w:val="20"/>
          <w:szCs w:val="18"/>
        </w:rPr>
        <w:t xml:space="preserve"> to inform and enhance </w:t>
      </w:r>
      <w:r w:rsidRPr="003F311C">
        <w:rPr>
          <w:b w:val="0"/>
          <w:sz w:val="20"/>
          <w:szCs w:val="18"/>
        </w:rPr>
        <w:t xml:space="preserve">the capacity of individuals and community groups to respond appropriately.  These activities </w:t>
      </w:r>
      <w:r w:rsidR="003F311C">
        <w:rPr>
          <w:b w:val="0"/>
          <w:sz w:val="20"/>
          <w:szCs w:val="18"/>
        </w:rPr>
        <w:t>will</w:t>
      </w:r>
      <w:r w:rsidRPr="003F311C">
        <w:rPr>
          <w:b w:val="0"/>
          <w:sz w:val="20"/>
          <w:szCs w:val="18"/>
        </w:rPr>
        <w:t xml:space="preserve"> be developed and conducted in the context of </w:t>
      </w:r>
      <w:r w:rsidR="003F311C">
        <w:rPr>
          <w:b w:val="0"/>
          <w:sz w:val="20"/>
          <w:szCs w:val="18"/>
        </w:rPr>
        <w:t xml:space="preserve">the </w:t>
      </w:r>
      <w:r w:rsidR="003F311C" w:rsidRPr="003F311C">
        <w:rPr>
          <w:b w:val="0"/>
          <w:bCs/>
          <w:sz w:val="20"/>
          <w:szCs w:val="18"/>
        </w:rPr>
        <w:t>coordinated service system</w:t>
      </w:r>
      <w:r w:rsidR="003F311C">
        <w:rPr>
          <w:b w:val="0"/>
          <w:bCs/>
          <w:sz w:val="20"/>
          <w:szCs w:val="18"/>
        </w:rPr>
        <w:t>.</w:t>
      </w:r>
    </w:p>
    <w:p w14:paraId="7CC78854" w14:textId="77777777" w:rsidR="00ED0B77" w:rsidRDefault="00ED0B77" w:rsidP="001838C5">
      <w:pPr>
        <w:pStyle w:val="SPEC3"/>
        <w:spacing w:line="264" w:lineRule="auto"/>
        <w:rPr>
          <w:b w:val="0"/>
          <w:bCs/>
          <w:sz w:val="20"/>
          <w:szCs w:val="18"/>
        </w:rPr>
      </w:pPr>
    </w:p>
    <w:p w14:paraId="7A413CC7" w14:textId="4DAC686D" w:rsidR="00C66671" w:rsidRPr="00BF1F16" w:rsidRDefault="00331C71" w:rsidP="00ED0B77">
      <w:pPr>
        <w:pStyle w:val="SPEC1"/>
        <w:spacing w:before="120" w:after="120" w:line="264" w:lineRule="auto"/>
      </w:pPr>
      <w:bookmarkStart w:id="167" w:name="_Toc421798610"/>
      <w:bookmarkStart w:id="168" w:name="_Toc421799899"/>
      <w:bookmarkStart w:id="169" w:name="_Toc508701804"/>
      <w:bookmarkStart w:id="170" w:name="_Toc516054649"/>
      <w:r>
        <w:t>7</w:t>
      </w:r>
      <w:r w:rsidR="0024373A">
        <w:t>.</w:t>
      </w:r>
      <w:r w:rsidR="00B401AA">
        <w:t xml:space="preserve">  </w:t>
      </w:r>
      <w:r w:rsidR="00C66671" w:rsidRPr="00BF1F16">
        <w:t>Service modes</w:t>
      </w:r>
      <w:bookmarkEnd w:id="167"/>
      <w:bookmarkEnd w:id="168"/>
      <w:bookmarkEnd w:id="169"/>
      <w:bookmarkEnd w:id="170"/>
    </w:p>
    <w:p w14:paraId="0F016F37" w14:textId="1595C786" w:rsidR="00EB04DC" w:rsidRDefault="00AE2AD7" w:rsidP="001838C5">
      <w:pPr>
        <w:pStyle w:val="SPEC1"/>
        <w:spacing w:line="264" w:lineRule="auto"/>
        <w:rPr>
          <w:b w:val="0"/>
          <w:bCs/>
          <w:sz w:val="20"/>
        </w:rPr>
      </w:pPr>
      <w:r w:rsidRPr="00EB04DC">
        <w:rPr>
          <w:b w:val="0"/>
          <w:bCs/>
          <w:sz w:val="20"/>
        </w:rPr>
        <w:t>Service modes are the type of physical setting in which a service is provided to a Service User.  Youth Support Services may be provided in various service modes (centre-based, accommodation, virtual and mobile) to ensure that services are delivered in the most appropriate manner to meet the needs of Service Users.</w:t>
      </w:r>
      <w:bookmarkStart w:id="171" w:name="_Toc419807449"/>
      <w:bookmarkStart w:id="172" w:name="_Toc421798611"/>
      <w:bookmarkStart w:id="173" w:name="_Toc421799900"/>
      <w:bookmarkStart w:id="174" w:name="_Toc508701805"/>
      <w:bookmarkStart w:id="175" w:name="_Toc516054650"/>
    </w:p>
    <w:p w14:paraId="2E141B83" w14:textId="77777777" w:rsidR="00ED0B77" w:rsidRDefault="00ED0B77" w:rsidP="001838C5">
      <w:pPr>
        <w:pStyle w:val="SPEC1"/>
        <w:spacing w:line="264" w:lineRule="auto"/>
        <w:rPr>
          <w:b w:val="0"/>
          <w:bCs/>
          <w:sz w:val="20"/>
        </w:rPr>
      </w:pPr>
    </w:p>
    <w:p w14:paraId="0A3B7C85" w14:textId="284A24AE" w:rsidR="00DB2395" w:rsidRPr="00BF1F16" w:rsidRDefault="00331C71" w:rsidP="00ED0B77">
      <w:pPr>
        <w:pStyle w:val="SPEC1"/>
        <w:spacing w:before="120" w:after="120" w:line="264" w:lineRule="auto"/>
      </w:pPr>
      <w:r>
        <w:t>8</w:t>
      </w:r>
      <w:r w:rsidR="0024373A">
        <w:t>.</w:t>
      </w:r>
      <w:r w:rsidR="00B401AA">
        <w:t xml:space="preserve">  </w:t>
      </w:r>
      <w:r w:rsidR="00DB2395" w:rsidRPr="00BF1F16">
        <w:t>Deliverables and performance measures</w:t>
      </w:r>
      <w:bookmarkEnd w:id="171"/>
      <w:bookmarkEnd w:id="172"/>
      <w:bookmarkEnd w:id="173"/>
      <w:bookmarkEnd w:id="174"/>
      <w:bookmarkEnd w:id="175"/>
      <w:r w:rsidR="00DB2395" w:rsidRPr="00BF1F16">
        <w:t xml:space="preserve"> </w:t>
      </w:r>
    </w:p>
    <w:p w14:paraId="43F88FC2" w14:textId="2EF38FB7" w:rsidR="00DB2395" w:rsidRDefault="00DB2395" w:rsidP="001838C5">
      <w:pPr>
        <w:spacing w:line="264" w:lineRule="auto"/>
      </w:pPr>
      <w:r w:rsidRPr="00F22BA2">
        <w:t xml:space="preserve">The following deliverables and performance measures are funded under the </w:t>
      </w:r>
      <w:r w:rsidR="00FD3BCD" w:rsidRPr="00F22BA2">
        <w:t xml:space="preserve">Young People </w:t>
      </w:r>
      <w:r w:rsidR="00A85454">
        <w:t>F</w:t>
      </w:r>
      <w:r w:rsidRPr="00F22BA2">
        <w:t xml:space="preserve">unding </w:t>
      </w:r>
      <w:r w:rsidR="00A85454">
        <w:t>A</w:t>
      </w:r>
      <w:r w:rsidRPr="00F22BA2">
        <w:t xml:space="preserve">rea. The service agreement will identify the relevant outputs and measures for each service outlet, the quantum to be delivered and the range of measures to be collected and reported. </w:t>
      </w:r>
    </w:p>
    <w:p w14:paraId="330089BB" w14:textId="77777777" w:rsidR="00ED0B77" w:rsidRPr="00F22BA2" w:rsidRDefault="00ED0B77" w:rsidP="001838C5">
      <w:pPr>
        <w:spacing w:line="264" w:lineRule="auto"/>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977"/>
        <w:gridCol w:w="3271"/>
      </w:tblGrid>
      <w:tr w:rsidR="0083213E" w:rsidRPr="003A7F4F" w14:paraId="27F180F5" w14:textId="77777777" w:rsidTr="006E33D6">
        <w:tc>
          <w:tcPr>
            <w:tcW w:w="3397" w:type="dxa"/>
            <w:shd w:val="clear" w:color="auto" w:fill="D9D9D9"/>
            <w:vAlign w:val="center"/>
          </w:tcPr>
          <w:p w14:paraId="1CE1342D" w14:textId="77777777" w:rsidR="0083213E" w:rsidRPr="003A7F4F" w:rsidRDefault="0083213E" w:rsidP="00ED0B77">
            <w:pPr>
              <w:spacing w:before="40" w:after="40" w:line="264" w:lineRule="auto"/>
              <w:rPr>
                <w:b/>
              </w:rPr>
            </w:pPr>
            <w:bookmarkStart w:id="176" w:name="_Hlk103932584"/>
            <w:r w:rsidRPr="003A7F4F">
              <w:rPr>
                <w:b/>
              </w:rPr>
              <w:t>Service Users</w:t>
            </w:r>
          </w:p>
        </w:tc>
        <w:tc>
          <w:tcPr>
            <w:tcW w:w="2977" w:type="dxa"/>
            <w:shd w:val="clear" w:color="auto" w:fill="D9D9D9"/>
            <w:vAlign w:val="center"/>
          </w:tcPr>
          <w:p w14:paraId="069B675C" w14:textId="77777777" w:rsidR="0083213E" w:rsidRPr="003A7F4F" w:rsidRDefault="0083213E" w:rsidP="00ED0B77">
            <w:pPr>
              <w:spacing w:before="40" w:after="40" w:line="264" w:lineRule="auto"/>
              <w:rPr>
                <w:b/>
              </w:rPr>
            </w:pPr>
            <w:r w:rsidRPr="003A7F4F">
              <w:rPr>
                <w:b/>
              </w:rPr>
              <w:t xml:space="preserve">Service </w:t>
            </w:r>
            <w:r>
              <w:rPr>
                <w:b/>
              </w:rPr>
              <w:t>T</w:t>
            </w:r>
            <w:r w:rsidRPr="003A7F4F">
              <w:rPr>
                <w:b/>
              </w:rPr>
              <w:t>ypes</w:t>
            </w:r>
            <w:r>
              <w:rPr>
                <w:b/>
              </w:rPr>
              <w:t xml:space="preserve"> </w:t>
            </w:r>
          </w:p>
        </w:tc>
        <w:tc>
          <w:tcPr>
            <w:tcW w:w="3271" w:type="dxa"/>
            <w:shd w:val="clear" w:color="auto" w:fill="D9D9D9"/>
            <w:vAlign w:val="center"/>
          </w:tcPr>
          <w:p w14:paraId="12D8F311" w14:textId="1E5F3E5B" w:rsidR="0083213E" w:rsidRPr="003A7F4F" w:rsidRDefault="0083213E" w:rsidP="00ED0B77">
            <w:pPr>
              <w:spacing w:before="40" w:after="40" w:line="264" w:lineRule="auto"/>
              <w:rPr>
                <w:b/>
              </w:rPr>
            </w:pPr>
            <w:r w:rsidRPr="00331C71">
              <w:rPr>
                <w:b/>
              </w:rPr>
              <w:t>Output</w:t>
            </w:r>
            <w:r>
              <w:rPr>
                <w:b/>
              </w:rPr>
              <w:t>s</w:t>
            </w:r>
          </w:p>
        </w:tc>
      </w:tr>
      <w:tr w:rsidR="0083213E" w:rsidRPr="00F22BA2" w14:paraId="42535DF1" w14:textId="77777777" w:rsidTr="006E33D6">
        <w:trPr>
          <w:trHeight w:val="651"/>
        </w:trPr>
        <w:tc>
          <w:tcPr>
            <w:tcW w:w="3397" w:type="dxa"/>
            <w:vMerge w:val="restart"/>
            <w:shd w:val="clear" w:color="auto" w:fill="FFFFFF"/>
            <w:vAlign w:val="center"/>
          </w:tcPr>
          <w:p w14:paraId="76ED102A" w14:textId="13D4DB5F" w:rsidR="0083213E" w:rsidRPr="00CB125F" w:rsidRDefault="0083213E" w:rsidP="00ED0B77">
            <w:pPr>
              <w:spacing w:before="40" w:after="40" w:line="264" w:lineRule="auto"/>
            </w:pPr>
            <w:bookmarkStart w:id="177" w:name="_Hlk115438436"/>
            <w:r w:rsidRPr="00CB125F">
              <w:t xml:space="preserve">Young people aged </w:t>
            </w:r>
            <w:r w:rsidR="009B70E9" w:rsidRPr="00CB125F">
              <w:t>12</w:t>
            </w:r>
            <w:r w:rsidRPr="00CB125F">
              <w:t xml:space="preserve">–21 years who are at risk of disconnection </w:t>
            </w:r>
            <w:r w:rsidRPr="00CB125F">
              <w:rPr>
                <w:b/>
              </w:rPr>
              <w:t>(U2107)</w:t>
            </w:r>
            <w:bookmarkEnd w:id="177"/>
          </w:p>
        </w:tc>
        <w:tc>
          <w:tcPr>
            <w:tcW w:w="2977" w:type="dxa"/>
            <w:shd w:val="clear" w:color="auto" w:fill="FFFFFF"/>
            <w:vAlign w:val="center"/>
          </w:tcPr>
          <w:p w14:paraId="7F92214D" w14:textId="77777777" w:rsidR="0083213E" w:rsidRPr="00F22BA2" w:rsidRDefault="0083213E" w:rsidP="00ED0B77">
            <w:pPr>
              <w:spacing w:before="40" w:after="40" w:line="264" w:lineRule="auto"/>
            </w:pPr>
            <w:r w:rsidRPr="00F22BA2">
              <w:t xml:space="preserve">Access – Information, </w:t>
            </w:r>
            <w:proofErr w:type="gramStart"/>
            <w:r w:rsidRPr="00F22BA2">
              <w:t>advice</w:t>
            </w:r>
            <w:proofErr w:type="gramEnd"/>
            <w:r w:rsidRPr="00F22BA2">
              <w:t xml:space="preserve"> and referral (T103)</w:t>
            </w:r>
          </w:p>
        </w:tc>
        <w:tc>
          <w:tcPr>
            <w:tcW w:w="3271" w:type="dxa"/>
            <w:shd w:val="clear" w:color="auto" w:fill="FFFFFF"/>
            <w:vAlign w:val="center"/>
          </w:tcPr>
          <w:p w14:paraId="24148587" w14:textId="77777777" w:rsidR="0083213E" w:rsidRPr="00F22BA2" w:rsidRDefault="0083213E" w:rsidP="00ED0B77">
            <w:pPr>
              <w:spacing w:before="40" w:after="40" w:line="264" w:lineRule="auto"/>
            </w:pPr>
            <w:r>
              <w:t>A01.1.06 Information, Advice, individual advocacy, engagement and/or referral</w:t>
            </w:r>
          </w:p>
        </w:tc>
      </w:tr>
      <w:tr w:rsidR="0083213E" w:rsidRPr="00F22BA2" w14:paraId="730F3D17" w14:textId="77777777" w:rsidTr="006E33D6">
        <w:trPr>
          <w:trHeight w:val="615"/>
        </w:trPr>
        <w:tc>
          <w:tcPr>
            <w:tcW w:w="3397" w:type="dxa"/>
            <w:vMerge/>
            <w:shd w:val="clear" w:color="auto" w:fill="FFFFFF"/>
            <w:vAlign w:val="center"/>
          </w:tcPr>
          <w:p w14:paraId="1347AE7C" w14:textId="77777777" w:rsidR="0083213E" w:rsidRPr="00CB125F" w:rsidRDefault="0083213E" w:rsidP="00ED0B77">
            <w:pPr>
              <w:spacing w:before="40" w:after="40" w:line="264" w:lineRule="auto"/>
              <w:jc w:val="both"/>
            </w:pPr>
          </w:p>
        </w:tc>
        <w:tc>
          <w:tcPr>
            <w:tcW w:w="2977" w:type="dxa"/>
            <w:shd w:val="clear" w:color="auto" w:fill="FFFFFF"/>
            <w:vAlign w:val="center"/>
          </w:tcPr>
          <w:p w14:paraId="3FFD8CE9" w14:textId="77777777" w:rsidR="0083213E" w:rsidRPr="00F22BA2" w:rsidRDefault="0083213E" w:rsidP="00ED0B77">
            <w:pPr>
              <w:spacing w:before="40" w:after="40" w:line="264" w:lineRule="auto"/>
            </w:pPr>
            <w:r w:rsidRPr="00F22BA2">
              <w:t>Support – Support and case management (T314)</w:t>
            </w:r>
          </w:p>
        </w:tc>
        <w:tc>
          <w:tcPr>
            <w:tcW w:w="3271" w:type="dxa"/>
            <w:shd w:val="clear" w:color="auto" w:fill="FFFFFF"/>
            <w:vAlign w:val="center"/>
          </w:tcPr>
          <w:p w14:paraId="7D139384" w14:textId="77777777" w:rsidR="0083213E" w:rsidRPr="00F22BA2" w:rsidRDefault="0083213E" w:rsidP="00ED0B77">
            <w:pPr>
              <w:spacing w:before="40" w:after="40" w:line="264" w:lineRule="auto"/>
            </w:pPr>
            <w:r>
              <w:t>A0.1.02 Case management</w:t>
            </w:r>
          </w:p>
        </w:tc>
      </w:tr>
      <w:tr w:rsidR="0083213E" w:rsidRPr="00F22BA2" w14:paraId="27221B15" w14:textId="77777777" w:rsidTr="006E33D6">
        <w:trPr>
          <w:trHeight w:val="579"/>
        </w:trPr>
        <w:tc>
          <w:tcPr>
            <w:tcW w:w="3397" w:type="dxa"/>
            <w:vMerge/>
            <w:shd w:val="clear" w:color="auto" w:fill="auto"/>
            <w:vAlign w:val="center"/>
          </w:tcPr>
          <w:p w14:paraId="2AA78B3A" w14:textId="77777777" w:rsidR="0083213E" w:rsidRPr="00CB125F" w:rsidRDefault="0083213E" w:rsidP="00ED0B77">
            <w:pPr>
              <w:spacing w:before="40" w:after="40" w:line="264" w:lineRule="auto"/>
            </w:pPr>
          </w:p>
        </w:tc>
        <w:tc>
          <w:tcPr>
            <w:tcW w:w="2977" w:type="dxa"/>
            <w:shd w:val="clear" w:color="auto" w:fill="auto"/>
            <w:vAlign w:val="center"/>
          </w:tcPr>
          <w:p w14:paraId="7894EAE3" w14:textId="77777777" w:rsidR="0083213E" w:rsidRPr="00F22BA2" w:rsidRDefault="0083213E" w:rsidP="00ED0B77">
            <w:pPr>
              <w:spacing w:before="40" w:after="40" w:line="264" w:lineRule="auto"/>
            </w:pPr>
            <w:r w:rsidRPr="00B54A1A">
              <w:t>Support services – Community support (T317)</w:t>
            </w:r>
          </w:p>
        </w:tc>
        <w:tc>
          <w:tcPr>
            <w:tcW w:w="3271" w:type="dxa"/>
            <w:vAlign w:val="center"/>
          </w:tcPr>
          <w:p w14:paraId="0403F6DC" w14:textId="77777777" w:rsidR="0083213E" w:rsidRPr="00B54A1A" w:rsidRDefault="0083213E" w:rsidP="00ED0B77">
            <w:pPr>
              <w:spacing w:before="40" w:after="40" w:line="264" w:lineRule="auto"/>
            </w:pPr>
            <w:r>
              <w:t xml:space="preserve">A07.2.02 Community / community </w:t>
            </w:r>
            <w:proofErr w:type="gramStart"/>
            <w:r>
              <w:t>centre based</w:t>
            </w:r>
            <w:proofErr w:type="gramEnd"/>
            <w:r>
              <w:t xml:space="preserve"> development, coordination and support</w:t>
            </w:r>
          </w:p>
        </w:tc>
      </w:tr>
      <w:tr w:rsidR="0083213E" w:rsidRPr="00F22BA2" w14:paraId="50EC900E" w14:textId="77777777" w:rsidTr="006E33D6">
        <w:trPr>
          <w:trHeight w:val="567"/>
        </w:trPr>
        <w:tc>
          <w:tcPr>
            <w:tcW w:w="3397" w:type="dxa"/>
            <w:shd w:val="clear" w:color="auto" w:fill="auto"/>
            <w:vAlign w:val="center"/>
          </w:tcPr>
          <w:p w14:paraId="6275C134" w14:textId="08BE3FBA" w:rsidR="0083213E" w:rsidRPr="00CB125F" w:rsidRDefault="0083213E" w:rsidP="00ED0B77">
            <w:pPr>
              <w:spacing w:before="40" w:after="40" w:line="264" w:lineRule="auto"/>
            </w:pPr>
            <w:r w:rsidRPr="00CB125F">
              <w:lastRenderedPageBreak/>
              <w:t>Young people aged 12–2</w:t>
            </w:r>
            <w:r w:rsidR="00CB125F" w:rsidRPr="00CB125F">
              <w:t>1</w:t>
            </w:r>
            <w:r w:rsidRPr="00CB125F">
              <w:t xml:space="preserve"> years who are at risk of homelessness, or who are homeless </w:t>
            </w:r>
            <w:r w:rsidRPr="00CB125F">
              <w:rPr>
                <w:b/>
              </w:rPr>
              <w:t>(U2347)</w:t>
            </w:r>
          </w:p>
        </w:tc>
        <w:tc>
          <w:tcPr>
            <w:tcW w:w="2977" w:type="dxa"/>
            <w:shd w:val="clear" w:color="auto" w:fill="auto"/>
            <w:vAlign w:val="center"/>
          </w:tcPr>
          <w:p w14:paraId="5A81DA28" w14:textId="77777777" w:rsidR="0083213E" w:rsidRPr="00F22BA2" w:rsidRDefault="0083213E" w:rsidP="00ED0B77">
            <w:pPr>
              <w:spacing w:before="40" w:after="40" w:line="264" w:lineRule="auto"/>
            </w:pPr>
            <w:r w:rsidRPr="00F22BA2">
              <w:t xml:space="preserve">Support – Support and </w:t>
            </w:r>
            <w:r>
              <w:t>c</w:t>
            </w:r>
            <w:r w:rsidRPr="00F22BA2">
              <w:t>ase management (T314)</w:t>
            </w:r>
          </w:p>
        </w:tc>
        <w:tc>
          <w:tcPr>
            <w:tcW w:w="3271" w:type="dxa"/>
            <w:vAlign w:val="center"/>
          </w:tcPr>
          <w:p w14:paraId="429B0A72" w14:textId="77777777" w:rsidR="0083213E" w:rsidRPr="00F22BA2" w:rsidRDefault="0083213E" w:rsidP="00ED0B77">
            <w:pPr>
              <w:spacing w:before="40" w:after="40" w:line="264" w:lineRule="auto"/>
            </w:pPr>
            <w:r w:rsidRPr="00331C71">
              <w:t>A0.1.02 Case management</w:t>
            </w:r>
          </w:p>
        </w:tc>
      </w:tr>
      <w:bookmarkEnd w:id="176"/>
    </w:tbl>
    <w:p w14:paraId="09A04A41" w14:textId="77777777" w:rsidR="00CF09DA" w:rsidRDefault="00CF09DA" w:rsidP="00901D6C">
      <w:pPr>
        <w:spacing w:before="60" w:after="60" w:line="264" w:lineRule="auto"/>
        <w:rPr>
          <w:rFonts w:eastAsia="Calibri"/>
          <w:b/>
          <w:lang w:eastAsia="en-US"/>
        </w:rPr>
      </w:pPr>
    </w:p>
    <w:p w14:paraId="679CBB6D" w14:textId="654D5FC0" w:rsidR="00901D6C" w:rsidRDefault="00901D6C" w:rsidP="00901D6C">
      <w:pPr>
        <w:spacing w:before="60" w:after="60" w:line="264" w:lineRule="auto"/>
        <w:rPr>
          <w:rFonts w:eastAsia="Calibri"/>
          <w:b/>
          <w:lang w:eastAsia="en-US"/>
        </w:rPr>
      </w:pPr>
      <w:r w:rsidRPr="007E005B">
        <w:rPr>
          <w:rFonts w:eastAsia="Calibri"/>
          <w:b/>
          <w:lang w:eastAsia="en-US"/>
        </w:rPr>
        <w:t>The following information relates to information found in items 6.2 and 7.1 in a service agreement or 6.2 and 9.1 in a short form service agreement</w:t>
      </w:r>
      <w:r>
        <w:rPr>
          <w:rFonts w:eastAsia="Calibri"/>
          <w:b/>
          <w:lang w:eastAsia="en-US"/>
        </w:rPr>
        <w:t>.</w:t>
      </w:r>
      <w:r w:rsidRPr="007E005B">
        <w:rPr>
          <w:rFonts w:eastAsia="Calibri"/>
          <w:b/>
          <w:lang w:eastAsia="en-US"/>
        </w:rPr>
        <w:t xml:space="preserve"> </w:t>
      </w:r>
    </w:p>
    <w:tbl>
      <w:tblPr>
        <w:tblStyle w:val="TableGrid"/>
        <w:tblW w:w="9634" w:type="dxa"/>
        <w:tblLook w:val="04A0" w:firstRow="1" w:lastRow="0" w:firstColumn="1" w:lastColumn="0" w:noHBand="0" w:noVBand="1"/>
      </w:tblPr>
      <w:tblGrid>
        <w:gridCol w:w="988"/>
        <w:gridCol w:w="992"/>
        <w:gridCol w:w="850"/>
        <w:gridCol w:w="1895"/>
        <w:gridCol w:w="1224"/>
        <w:gridCol w:w="1134"/>
        <w:gridCol w:w="2551"/>
      </w:tblGrid>
      <w:tr w:rsidR="00EF751B" w:rsidRPr="00EF751B" w14:paraId="216F1FA9" w14:textId="77777777" w:rsidTr="00EF751B">
        <w:tc>
          <w:tcPr>
            <w:tcW w:w="1980" w:type="dxa"/>
            <w:gridSpan w:val="2"/>
            <w:vAlign w:val="center"/>
          </w:tcPr>
          <w:p w14:paraId="3D8D9F89" w14:textId="235E45EB" w:rsidR="00EF751B" w:rsidRPr="00EF751B" w:rsidRDefault="00EF751B" w:rsidP="00901D6C">
            <w:pPr>
              <w:spacing w:before="60" w:after="60" w:line="264" w:lineRule="auto"/>
              <w:rPr>
                <w:rFonts w:eastAsia="Calibri" w:cs="Arial"/>
                <w:bCs/>
                <w:lang w:eastAsia="en-US"/>
              </w:rPr>
            </w:pPr>
            <w:r w:rsidRPr="00EF751B">
              <w:rPr>
                <w:rFonts w:eastAsia="Calibri" w:cs="Arial"/>
                <w:bCs/>
                <w:lang w:eastAsia="en-US"/>
              </w:rPr>
              <w:t>Relates to item 6.2 &amp; 7.1 or 9.1 of the agreement:</w:t>
            </w:r>
          </w:p>
        </w:tc>
        <w:tc>
          <w:tcPr>
            <w:tcW w:w="3969" w:type="dxa"/>
            <w:gridSpan w:val="3"/>
            <w:shd w:val="clear" w:color="auto" w:fill="FFFFFF"/>
            <w:vAlign w:val="center"/>
          </w:tcPr>
          <w:p w14:paraId="6F3F1AD5" w14:textId="5E48D59F" w:rsidR="00EF751B" w:rsidRPr="00EF751B" w:rsidRDefault="00EF751B" w:rsidP="00901D6C">
            <w:pPr>
              <w:spacing w:before="60" w:after="60" w:line="264" w:lineRule="auto"/>
              <w:rPr>
                <w:rFonts w:eastAsia="Calibri" w:cs="Arial"/>
                <w:bCs/>
                <w:lang w:eastAsia="en-US"/>
              </w:rPr>
            </w:pPr>
            <w:r w:rsidRPr="00EF751B">
              <w:rPr>
                <w:rFonts w:eastAsia="Calibri" w:cs="Arial"/>
                <w:bCs/>
                <w:lang w:eastAsia="en-US"/>
              </w:rPr>
              <w:t>Relates to item 6.2 of the agreement:</w:t>
            </w:r>
          </w:p>
        </w:tc>
        <w:tc>
          <w:tcPr>
            <w:tcW w:w="3685" w:type="dxa"/>
            <w:gridSpan w:val="2"/>
            <w:vAlign w:val="center"/>
          </w:tcPr>
          <w:p w14:paraId="76CC94A3" w14:textId="5FE3EF9C" w:rsidR="00EF751B" w:rsidRPr="00EF751B" w:rsidRDefault="00EF751B" w:rsidP="00901D6C">
            <w:pPr>
              <w:spacing w:before="60" w:after="60" w:line="264" w:lineRule="auto"/>
              <w:rPr>
                <w:rFonts w:eastAsia="Calibri" w:cs="Arial"/>
                <w:bCs/>
                <w:lang w:eastAsia="en-US"/>
              </w:rPr>
            </w:pPr>
            <w:r w:rsidRPr="00EF751B">
              <w:rPr>
                <w:rFonts w:eastAsia="Calibri" w:cs="Arial"/>
                <w:bCs/>
                <w:lang w:eastAsia="en-US"/>
              </w:rPr>
              <w:t>Relates to item 7.1 or 9.1 of the agreement:</w:t>
            </w:r>
          </w:p>
        </w:tc>
      </w:tr>
      <w:tr w:rsidR="00EF751B" w:rsidRPr="00EF751B" w14:paraId="39788997" w14:textId="77777777" w:rsidTr="00EF751B">
        <w:tc>
          <w:tcPr>
            <w:tcW w:w="988" w:type="dxa"/>
            <w:shd w:val="clear" w:color="auto" w:fill="D9D9D9"/>
            <w:vAlign w:val="center"/>
          </w:tcPr>
          <w:p w14:paraId="3F1E6658" w14:textId="1A5B6000" w:rsidR="00EF751B" w:rsidRPr="00EF751B" w:rsidRDefault="00EF751B" w:rsidP="00901D6C">
            <w:pPr>
              <w:spacing w:before="60" w:after="60" w:line="264" w:lineRule="auto"/>
              <w:rPr>
                <w:rFonts w:eastAsia="Calibri" w:cs="Arial"/>
                <w:b/>
                <w:lang w:eastAsia="en-US"/>
              </w:rPr>
            </w:pPr>
            <w:r w:rsidRPr="00EF751B">
              <w:rPr>
                <w:rFonts w:eastAsia="Calibri" w:cs="Arial"/>
                <w:b/>
                <w:lang w:eastAsia="en-US"/>
              </w:rPr>
              <w:t>Service User code</w:t>
            </w:r>
          </w:p>
        </w:tc>
        <w:tc>
          <w:tcPr>
            <w:tcW w:w="992" w:type="dxa"/>
            <w:shd w:val="clear" w:color="auto" w:fill="D9D9D9"/>
            <w:vAlign w:val="center"/>
          </w:tcPr>
          <w:p w14:paraId="0C49108B" w14:textId="3E7E9F64" w:rsidR="00EF751B" w:rsidRPr="00EF751B" w:rsidRDefault="00EF751B" w:rsidP="00901D6C">
            <w:pPr>
              <w:spacing w:before="60" w:after="60" w:line="264" w:lineRule="auto"/>
              <w:rPr>
                <w:rFonts w:eastAsia="Calibri" w:cs="Arial"/>
                <w:b/>
                <w:lang w:eastAsia="en-US"/>
              </w:rPr>
            </w:pPr>
            <w:r w:rsidRPr="00EF751B">
              <w:rPr>
                <w:rFonts w:eastAsia="Calibri" w:cs="Arial"/>
                <w:b/>
                <w:lang w:eastAsia="en-US"/>
              </w:rPr>
              <w:t>Service Type code</w:t>
            </w:r>
          </w:p>
        </w:tc>
        <w:tc>
          <w:tcPr>
            <w:tcW w:w="2745" w:type="dxa"/>
            <w:gridSpan w:val="2"/>
            <w:shd w:val="clear" w:color="auto" w:fill="D9D9D9"/>
            <w:vAlign w:val="center"/>
          </w:tcPr>
          <w:p w14:paraId="6A0C5E6A" w14:textId="1AB58C6F" w:rsidR="00EF751B" w:rsidRPr="00EF751B" w:rsidRDefault="00EF751B" w:rsidP="00901D6C">
            <w:pPr>
              <w:spacing w:before="60" w:after="60" w:line="264" w:lineRule="auto"/>
              <w:rPr>
                <w:rFonts w:eastAsia="Calibri" w:cs="Arial"/>
                <w:b/>
                <w:lang w:eastAsia="en-US"/>
              </w:rPr>
            </w:pPr>
            <w:r w:rsidRPr="00EF751B">
              <w:rPr>
                <w:rFonts w:eastAsia="Calibri" w:cs="Arial"/>
                <w:b/>
                <w:lang w:eastAsia="en-US"/>
              </w:rPr>
              <w:t xml:space="preserve">Output        </w:t>
            </w:r>
          </w:p>
        </w:tc>
        <w:tc>
          <w:tcPr>
            <w:tcW w:w="1224" w:type="dxa"/>
            <w:shd w:val="clear" w:color="auto" w:fill="D9D9D9"/>
            <w:vAlign w:val="center"/>
          </w:tcPr>
          <w:p w14:paraId="778EF201" w14:textId="41D92E47" w:rsidR="00EF751B" w:rsidRPr="00EF751B" w:rsidRDefault="00EF751B" w:rsidP="00901D6C">
            <w:pPr>
              <w:spacing w:before="60" w:after="60" w:line="264" w:lineRule="auto"/>
              <w:rPr>
                <w:rFonts w:eastAsia="Calibri" w:cs="Arial"/>
                <w:b/>
                <w:lang w:eastAsia="en-US"/>
              </w:rPr>
            </w:pPr>
            <w:r w:rsidRPr="00EF751B">
              <w:rPr>
                <w:rFonts w:eastAsia="Calibri" w:cs="Arial"/>
                <w:b/>
                <w:lang w:eastAsia="en-US"/>
              </w:rPr>
              <w:t>Quantity per annum</w:t>
            </w:r>
          </w:p>
        </w:tc>
        <w:tc>
          <w:tcPr>
            <w:tcW w:w="3685" w:type="dxa"/>
            <w:gridSpan w:val="2"/>
            <w:shd w:val="clear" w:color="auto" w:fill="D9D9D9" w:themeFill="background1" w:themeFillShade="D9"/>
            <w:vAlign w:val="center"/>
          </w:tcPr>
          <w:p w14:paraId="57036CFA" w14:textId="6CC71299" w:rsidR="00EF751B" w:rsidRPr="00EF751B" w:rsidRDefault="00EF751B" w:rsidP="00901D6C">
            <w:pPr>
              <w:spacing w:before="60" w:after="60" w:line="264" w:lineRule="auto"/>
              <w:rPr>
                <w:rFonts w:eastAsia="Calibri" w:cs="Arial"/>
                <w:b/>
                <w:lang w:eastAsia="en-US"/>
              </w:rPr>
            </w:pPr>
            <w:r w:rsidRPr="00EF751B">
              <w:rPr>
                <w:rFonts w:eastAsia="Calibri" w:cs="Arial"/>
                <w:b/>
                <w:lang w:eastAsia="en-US"/>
              </w:rPr>
              <w:t>Output measures</w:t>
            </w:r>
          </w:p>
        </w:tc>
      </w:tr>
      <w:tr w:rsidR="00901D6C" w:rsidRPr="00EF751B" w14:paraId="00C60035" w14:textId="77777777" w:rsidTr="00EF751B">
        <w:tc>
          <w:tcPr>
            <w:tcW w:w="988" w:type="dxa"/>
            <w:shd w:val="clear" w:color="auto" w:fill="auto"/>
            <w:vAlign w:val="center"/>
          </w:tcPr>
          <w:p w14:paraId="6043265E" w14:textId="5E7FC146" w:rsidR="00901D6C" w:rsidRPr="00EF751B" w:rsidRDefault="00901D6C" w:rsidP="00EF751B">
            <w:pPr>
              <w:spacing w:before="60" w:after="60" w:line="264" w:lineRule="auto"/>
              <w:jc w:val="center"/>
              <w:rPr>
                <w:rFonts w:eastAsia="Calibri" w:cs="Arial"/>
                <w:lang w:eastAsia="en-US"/>
              </w:rPr>
            </w:pPr>
            <w:r w:rsidRPr="00EF751B">
              <w:rPr>
                <w:rFonts w:eastAsia="Calibri" w:cs="Arial"/>
                <w:lang w:eastAsia="en-US"/>
              </w:rPr>
              <w:t>U2107</w:t>
            </w:r>
          </w:p>
        </w:tc>
        <w:tc>
          <w:tcPr>
            <w:tcW w:w="992" w:type="dxa"/>
            <w:shd w:val="clear" w:color="auto" w:fill="auto"/>
            <w:vAlign w:val="center"/>
          </w:tcPr>
          <w:p w14:paraId="0B23CD0D" w14:textId="66269203" w:rsidR="00901D6C" w:rsidRPr="00EF751B" w:rsidRDefault="00901D6C" w:rsidP="00EF751B">
            <w:pPr>
              <w:spacing w:before="60" w:after="60" w:line="264" w:lineRule="auto"/>
              <w:jc w:val="center"/>
              <w:rPr>
                <w:rFonts w:eastAsia="Calibri" w:cs="Arial"/>
                <w:lang w:eastAsia="en-US"/>
              </w:rPr>
            </w:pPr>
            <w:r w:rsidRPr="00EF751B">
              <w:rPr>
                <w:rFonts w:eastAsia="Calibri" w:cs="Arial"/>
                <w:lang w:eastAsia="en-US"/>
              </w:rPr>
              <w:t>T103</w:t>
            </w:r>
          </w:p>
        </w:tc>
        <w:tc>
          <w:tcPr>
            <w:tcW w:w="2745" w:type="dxa"/>
            <w:gridSpan w:val="2"/>
            <w:shd w:val="clear" w:color="auto" w:fill="auto"/>
            <w:vAlign w:val="center"/>
          </w:tcPr>
          <w:p w14:paraId="777E2A96" w14:textId="70BC7965" w:rsidR="00901D6C" w:rsidRPr="00EF751B" w:rsidRDefault="00901D6C" w:rsidP="00901D6C">
            <w:pPr>
              <w:spacing w:before="60" w:after="60" w:line="264" w:lineRule="auto"/>
              <w:rPr>
                <w:rFonts w:eastAsia="Calibri" w:cs="Arial"/>
                <w:lang w:eastAsia="en-US"/>
              </w:rPr>
            </w:pPr>
            <w:r w:rsidRPr="00EF751B">
              <w:rPr>
                <w:rFonts w:eastAsia="Calibri" w:cs="Arial"/>
              </w:rPr>
              <w:t>A01.1.06 – Information, advice, individual advocacy, engagement and/or referral</w:t>
            </w:r>
          </w:p>
        </w:tc>
        <w:tc>
          <w:tcPr>
            <w:tcW w:w="1224" w:type="dxa"/>
            <w:shd w:val="clear" w:color="auto" w:fill="auto"/>
            <w:vAlign w:val="center"/>
          </w:tcPr>
          <w:p w14:paraId="3E34A58B" w14:textId="0989FEA6" w:rsidR="00901D6C" w:rsidRPr="00EF751B" w:rsidRDefault="00901D6C" w:rsidP="00901D6C">
            <w:pPr>
              <w:spacing w:before="60" w:after="60" w:line="264" w:lineRule="auto"/>
              <w:rPr>
                <w:rFonts w:eastAsia="Calibri" w:cs="Arial"/>
                <w:lang w:eastAsia="en-US"/>
              </w:rPr>
            </w:pPr>
            <w:r w:rsidRPr="00EF751B">
              <w:rPr>
                <w:rFonts w:eastAsia="Calibri" w:cs="Arial"/>
                <w:lang w:eastAsia="en-US"/>
              </w:rPr>
              <w:t>Insert number of hours</w:t>
            </w:r>
          </w:p>
        </w:tc>
        <w:tc>
          <w:tcPr>
            <w:tcW w:w="1134" w:type="dxa"/>
            <w:shd w:val="clear" w:color="auto" w:fill="auto"/>
            <w:vAlign w:val="center"/>
          </w:tcPr>
          <w:p w14:paraId="04BF9274" w14:textId="0DFAC999" w:rsidR="00901D6C" w:rsidRPr="00EF751B" w:rsidRDefault="00901D6C" w:rsidP="00EF751B">
            <w:pPr>
              <w:spacing w:before="60" w:after="60" w:line="264" w:lineRule="auto"/>
              <w:jc w:val="center"/>
              <w:rPr>
                <w:rFonts w:eastAsia="Calibri" w:cs="Arial"/>
                <w:lang w:eastAsia="en-US"/>
              </w:rPr>
            </w:pPr>
            <w:r w:rsidRPr="00EF751B">
              <w:rPr>
                <w:rFonts w:eastAsia="Calibri" w:cs="Arial"/>
                <w:lang w:eastAsia="en-US"/>
              </w:rPr>
              <w:t>A01.1.06</w:t>
            </w:r>
          </w:p>
        </w:tc>
        <w:tc>
          <w:tcPr>
            <w:tcW w:w="2551" w:type="dxa"/>
            <w:shd w:val="clear" w:color="auto" w:fill="auto"/>
            <w:vAlign w:val="center"/>
          </w:tcPr>
          <w:p w14:paraId="44620E28" w14:textId="6914BB43" w:rsidR="00901D6C" w:rsidRPr="00EF751B" w:rsidRDefault="00901D6C" w:rsidP="00901D6C">
            <w:pPr>
              <w:spacing w:before="60" w:after="60" w:line="264" w:lineRule="auto"/>
              <w:rPr>
                <w:rFonts w:eastAsia="Calibri" w:cs="Arial"/>
                <w:lang w:eastAsia="en-US"/>
              </w:rPr>
            </w:pPr>
            <w:r w:rsidRPr="00EF751B">
              <w:rPr>
                <w:rFonts w:eastAsia="Calibri" w:cs="Arial"/>
                <w:lang w:eastAsia="en-US"/>
              </w:rPr>
              <w:t xml:space="preserve">Number of hours of service delivered </w:t>
            </w:r>
          </w:p>
        </w:tc>
      </w:tr>
      <w:tr w:rsidR="00EF751B" w:rsidRPr="00EF751B" w14:paraId="007F3B03" w14:textId="77777777" w:rsidTr="00EF751B">
        <w:trPr>
          <w:trHeight w:val="443"/>
        </w:trPr>
        <w:tc>
          <w:tcPr>
            <w:tcW w:w="988" w:type="dxa"/>
            <w:vAlign w:val="center"/>
          </w:tcPr>
          <w:p w14:paraId="4702A567" w14:textId="4B223B8A" w:rsidR="00901D6C" w:rsidRPr="00EF751B" w:rsidRDefault="00901D6C" w:rsidP="00EF751B">
            <w:pPr>
              <w:spacing w:before="60" w:after="60" w:line="264" w:lineRule="auto"/>
              <w:jc w:val="center"/>
              <w:rPr>
                <w:rFonts w:eastAsia="Calibri" w:cs="Arial"/>
                <w:lang w:eastAsia="en-US"/>
              </w:rPr>
            </w:pPr>
            <w:r w:rsidRPr="00EF751B">
              <w:rPr>
                <w:rFonts w:eastAsia="Calibri" w:cs="Arial"/>
                <w:lang w:eastAsia="en-US"/>
              </w:rPr>
              <w:t>U2107</w:t>
            </w:r>
          </w:p>
        </w:tc>
        <w:tc>
          <w:tcPr>
            <w:tcW w:w="992" w:type="dxa"/>
            <w:vMerge w:val="restart"/>
            <w:shd w:val="clear" w:color="auto" w:fill="auto"/>
            <w:vAlign w:val="center"/>
          </w:tcPr>
          <w:p w14:paraId="4B904A71" w14:textId="3D75CAB2" w:rsidR="00901D6C" w:rsidRPr="00EF751B" w:rsidRDefault="00901D6C" w:rsidP="00EF751B">
            <w:pPr>
              <w:spacing w:before="60" w:after="60" w:line="264" w:lineRule="auto"/>
              <w:jc w:val="center"/>
              <w:rPr>
                <w:rFonts w:eastAsia="Calibri" w:cs="Arial"/>
                <w:lang w:eastAsia="en-US"/>
              </w:rPr>
            </w:pPr>
            <w:r w:rsidRPr="00EF751B">
              <w:rPr>
                <w:rFonts w:eastAsia="Calibri" w:cs="Arial"/>
                <w:lang w:eastAsia="en-US"/>
              </w:rPr>
              <w:t>T314</w:t>
            </w:r>
          </w:p>
        </w:tc>
        <w:tc>
          <w:tcPr>
            <w:tcW w:w="2745" w:type="dxa"/>
            <w:gridSpan w:val="2"/>
            <w:vMerge w:val="restart"/>
            <w:shd w:val="clear" w:color="auto" w:fill="auto"/>
            <w:vAlign w:val="center"/>
          </w:tcPr>
          <w:p w14:paraId="7984B72D" w14:textId="6AEDE1C2" w:rsidR="00901D6C" w:rsidRPr="00EF751B" w:rsidRDefault="00901D6C" w:rsidP="00901D6C">
            <w:pPr>
              <w:spacing w:before="60" w:after="60" w:line="264" w:lineRule="auto"/>
              <w:rPr>
                <w:rFonts w:eastAsia="Calibri" w:cs="Arial"/>
                <w:lang w:eastAsia="en-US"/>
              </w:rPr>
            </w:pPr>
            <w:r w:rsidRPr="00EF751B">
              <w:rPr>
                <w:rFonts w:eastAsia="Calibri" w:cs="Arial"/>
              </w:rPr>
              <w:t>A01.2.02 – Case management</w:t>
            </w:r>
          </w:p>
        </w:tc>
        <w:tc>
          <w:tcPr>
            <w:tcW w:w="1224" w:type="dxa"/>
            <w:vMerge w:val="restart"/>
            <w:shd w:val="clear" w:color="auto" w:fill="auto"/>
            <w:vAlign w:val="center"/>
          </w:tcPr>
          <w:p w14:paraId="7374294A" w14:textId="42FABA2D" w:rsidR="00901D6C" w:rsidRPr="00EF751B" w:rsidRDefault="00901D6C" w:rsidP="00901D6C">
            <w:pPr>
              <w:spacing w:before="60" w:after="60" w:line="264" w:lineRule="auto"/>
              <w:rPr>
                <w:rFonts w:eastAsia="Calibri" w:cs="Arial"/>
                <w:lang w:eastAsia="en-US"/>
              </w:rPr>
            </w:pPr>
            <w:r w:rsidRPr="00EF751B">
              <w:rPr>
                <w:rFonts w:eastAsia="Calibri" w:cs="Arial"/>
                <w:lang w:eastAsia="en-US"/>
              </w:rPr>
              <w:t>Insert number of hours</w:t>
            </w:r>
          </w:p>
        </w:tc>
        <w:tc>
          <w:tcPr>
            <w:tcW w:w="1134" w:type="dxa"/>
            <w:vMerge w:val="restart"/>
            <w:shd w:val="clear" w:color="auto" w:fill="auto"/>
            <w:vAlign w:val="center"/>
          </w:tcPr>
          <w:p w14:paraId="4A60E41C" w14:textId="27C51D00" w:rsidR="00901D6C" w:rsidRPr="00EF751B" w:rsidRDefault="00901D6C" w:rsidP="00EF751B">
            <w:pPr>
              <w:spacing w:before="60" w:after="60" w:line="264" w:lineRule="auto"/>
              <w:jc w:val="center"/>
              <w:rPr>
                <w:rFonts w:eastAsia="Calibri" w:cs="Arial"/>
                <w:lang w:eastAsia="en-US"/>
              </w:rPr>
            </w:pPr>
            <w:r w:rsidRPr="00EF751B">
              <w:rPr>
                <w:rFonts w:eastAsia="Calibri" w:cs="Arial"/>
                <w:lang w:eastAsia="en-US"/>
              </w:rPr>
              <w:t>A01.2.02</w:t>
            </w:r>
          </w:p>
        </w:tc>
        <w:tc>
          <w:tcPr>
            <w:tcW w:w="2551" w:type="dxa"/>
            <w:vMerge w:val="restart"/>
            <w:shd w:val="clear" w:color="auto" w:fill="auto"/>
            <w:vAlign w:val="center"/>
          </w:tcPr>
          <w:p w14:paraId="021BD321" w14:textId="4FF65BDF" w:rsidR="00901D6C" w:rsidRPr="00EF751B" w:rsidRDefault="00901D6C" w:rsidP="00901D6C">
            <w:pPr>
              <w:spacing w:before="60" w:after="60" w:line="264" w:lineRule="auto"/>
              <w:rPr>
                <w:rFonts w:eastAsia="Calibri" w:cs="Arial"/>
                <w:lang w:eastAsia="en-US"/>
              </w:rPr>
            </w:pPr>
            <w:r w:rsidRPr="00EF751B">
              <w:rPr>
                <w:rFonts w:eastAsia="Calibri" w:cs="Arial"/>
                <w:lang w:eastAsia="en-US"/>
              </w:rPr>
              <w:t xml:space="preserve">Number of hours of service delivered </w:t>
            </w:r>
          </w:p>
        </w:tc>
      </w:tr>
      <w:tr w:rsidR="00EF751B" w:rsidRPr="00EF751B" w14:paraId="07D63236" w14:textId="77777777" w:rsidTr="00EF751B">
        <w:trPr>
          <w:trHeight w:val="442"/>
        </w:trPr>
        <w:tc>
          <w:tcPr>
            <w:tcW w:w="988" w:type="dxa"/>
            <w:vAlign w:val="center"/>
          </w:tcPr>
          <w:p w14:paraId="643F1B23" w14:textId="5F3B56CB" w:rsidR="00901D6C" w:rsidRPr="00EF751B" w:rsidRDefault="00901D6C" w:rsidP="00EF751B">
            <w:pPr>
              <w:spacing w:before="60" w:after="60" w:line="264" w:lineRule="auto"/>
              <w:jc w:val="center"/>
              <w:rPr>
                <w:rFonts w:eastAsia="Calibri" w:cs="Arial"/>
                <w:lang w:eastAsia="en-US"/>
              </w:rPr>
            </w:pPr>
            <w:r w:rsidRPr="00EF751B">
              <w:rPr>
                <w:rFonts w:eastAsia="Calibri" w:cs="Arial"/>
                <w:lang w:eastAsia="en-US"/>
              </w:rPr>
              <w:t>U2347</w:t>
            </w:r>
          </w:p>
        </w:tc>
        <w:tc>
          <w:tcPr>
            <w:tcW w:w="992" w:type="dxa"/>
            <w:vMerge/>
            <w:shd w:val="clear" w:color="auto" w:fill="auto"/>
            <w:vAlign w:val="center"/>
          </w:tcPr>
          <w:p w14:paraId="6400F8A3" w14:textId="77777777" w:rsidR="00901D6C" w:rsidRPr="00EF751B" w:rsidRDefault="00901D6C" w:rsidP="00EF751B">
            <w:pPr>
              <w:spacing w:before="60" w:after="60" w:line="264" w:lineRule="auto"/>
              <w:jc w:val="center"/>
              <w:rPr>
                <w:rFonts w:eastAsia="Calibri" w:cs="Arial"/>
                <w:lang w:eastAsia="en-US"/>
              </w:rPr>
            </w:pPr>
          </w:p>
        </w:tc>
        <w:tc>
          <w:tcPr>
            <w:tcW w:w="2745" w:type="dxa"/>
            <w:gridSpan w:val="2"/>
            <w:vMerge/>
            <w:shd w:val="clear" w:color="auto" w:fill="auto"/>
            <w:vAlign w:val="center"/>
          </w:tcPr>
          <w:p w14:paraId="144F66C6" w14:textId="77777777" w:rsidR="00901D6C" w:rsidRPr="00EF751B" w:rsidRDefault="00901D6C" w:rsidP="00901D6C">
            <w:pPr>
              <w:spacing w:before="60" w:after="60" w:line="264" w:lineRule="auto"/>
              <w:rPr>
                <w:rFonts w:eastAsia="Calibri" w:cs="Arial"/>
              </w:rPr>
            </w:pPr>
          </w:p>
        </w:tc>
        <w:tc>
          <w:tcPr>
            <w:tcW w:w="1224" w:type="dxa"/>
            <w:vMerge/>
            <w:shd w:val="clear" w:color="auto" w:fill="auto"/>
            <w:vAlign w:val="center"/>
          </w:tcPr>
          <w:p w14:paraId="45268070" w14:textId="77777777" w:rsidR="00901D6C" w:rsidRPr="00EF751B" w:rsidRDefault="00901D6C" w:rsidP="00901D6C">
            <w:pPr>
              <w:spacing w:before="60" w:after="60" w:line="264" w:lineRule="auto"/>
              <w:rPr>
                <w:rFonts w:eastAsia="Calibri" w:cs="Arial"/>
                <w:lang w:eastAsia="en-US"/>
              </w:rPr>
            </w:pPr>
          </w:p>
        </w:tc>
        <w:tc>
          <w:tcPr>
            <w:tcW w:w="1134" w:type="dxa"/>
            <w:vMerge/>
            <w:shd w:val="clear" w:color="auto" w:fill="auto"/>
            <w:vAlign w:val="center"/>
          </w:tcPr>
          <w:p w14:paraId="711A1F9A" w14:textId="77777777" w:rsidR="00901D6C" w:rsidRPr="00EF751B" w:rsidRDefault="00901D6C" w:rsidP="00EF751B">
            <w:pPr>
              <w:spacing w:before="60" w:after="60" w:line="264" w:lineRule="auto"/>
              <w:jc w:val="center"/>
              <w:rPr>
                <w:rFonts w:eastAsia="Calibri" w:cs="Arial"/>
                <w:lang w:eastAsia="en-US"/>
              </w:rPr>
            </w:pPr>
          </w:p>
        </w:tc>
        <w:tc>
          <w:tcPr>
            <w:tcW w:w="2551" w:type="dxa"/>
            <w:vMerge/>
            <w:shd w:val="clear" w:color="auto" w:fill="auto"/>
            <w:vAlign w:val="center"/>
          </w:tcPr>
          <w:p w14:paraId="123B4BC3" w14:textId="77777777" w:rsidR="00901D6C" w:rsidRPr="00EF751B" w:rsidRDefault="00901D6C" w:rsidP="00901D6C">
            <w:pPr>
              <w:spacing w:before="60" w:after="60" w:line="264" w:lineRule="auto"/>
              <w:rPr>
                <w:rFonts w:eastAsia="Calibri" w:cs="Arial"/>
                <w:lang w:eastAsia="en-US"/>
              </w:rPr>
            </w:pPr>
          </w:p>
        </w:tc>
      </w:tr>
      <w:tr w:rsidR="00901D6C" w:rsidRPr="00EF751B" w14:paraId="5B487DE8" w14:textId="77777777" w:rsidTr="00EF751B">
        <w:tc>
          <w:tcPr>
            <w:tcW w:w="988" w:type="dxa"/>
            <w:shd w:val="clear" w:color="auto" w:fill="auto"/>
            <w:vAlign w:val="center"/>
          </w:tcPr>
          <w:p w14:paraId="2C07810A" w14:textId="5288AD3A" w:rsidR="00901D6C" w:rsidRPr="00EF751B" w:rsidRDefault="00901D6C" w:rsidP="00EF751B">
            <w:pPr>
              <w:spacing w:before="60" w:after="60" w:line="264" w:lineRule="auto"/>
              <w:jc w:val="center"/>
              <w:rPr>
                <w:rFonts w:eastAsia="Calibri" w:cs="Arial"/>
                <w:lang w:eastAsia="en-US"/>
              </w:rPr>
            </w:pPr>
            <w:r w:rsidRPr="00EF751B">
              <w:rPr>
                <w:rFonts w:eastAsia="Calibri" w:cs="Arial"/>
                <w:lang w:eastAsia="en-US"/>
              </w:rPr>
              <w:t>U2107</w:t>
            </w:r>
          </w:p>
        </w:tc>
        <w:tc>
          <w:tcPr>
            <w:tcW w:w="992" w:type="dxa"/>
            <w:shd w:val="clear" w:color="auto" w:fill="auto"/>
            <w:vAlign w:val="center"/>
          </w:tcPr>
          <w:p w14:paraId="36EE27C8" w14:textId="606A657B" w:rsidR="00901D6C" w:rsidRPr="00EF751B" w:rsidRDefault="00901D6C" w:rsidP="00EF751B">
            <w:pPr>
              <w:spacing w:before="60" w:after="60" w:line="264" w:lineRule="auto"/>
              <w:jc w:val="center"/>
              <w:rPr>
                <w:rFonts w:eastAsia="Calibri" w:cs="Arial"/>
                <w:lang w:eastAsia="en-US"/>
              </w:rPr>
            </w:pPr>
            <w:r w:rsidRPr="00EF751B">
              <w:rPr>
                <w:rFonts w:eastAsia="Calibri" w:cs="Arial"/>
                <w:lang w:eastAsia="en-US"/>
              </w:rPr>
              <w:t>T317</w:t>
            </w:r>
          </w:p>
        </w:tc>
        <w:tc>
          <w:tcPr>
            <w:tcW w:w="2745" w:type="dxa"/>
            <w:gridSpan w:val="2"/>
            <w:shd w:val="clear" w:color="auto" w:fill="auto"/>
            <w:vAlign w:val="center"/>
          </w:tcPr>
          <w:p w14:paraId="6978F178" w14:textId="6CC41099" w:rsidR="00901D6C" w:rsidRPr="00EF751B" w:rsidRDefault="00901D6C" w:rsidP="00901D6C">
            <w:pPr>
              <w:spacing w:before="60" w:after="60" w:line="264" w:lineRule="auto"/>
              <w:rPr>
                <w:rFonts w:eastAsia="Calibri" w:cs="Arial"/>
                <w:lang w:eastAsia="en-US"/>
              </w:rPr>
            </w:pPr>
            <w:r w:rsidRPr="00EF751B">
              <w:rPr>
                <w:rFonts w:eastAsia="Calibri" w:cs="Arial"/>
                <w:lang w:eastAsia="en-US"/>
              </w:rPr>
              <w:t xml:space="preserve">A07.02.02 – Community / community centre-based development, </w:t>
            </w:r>
            <w:proofErr w:type="gramStart"/>
            <w:r w:rsidRPr="00EF751B">
              <w:rPr>
                <w:rFonts w:eastAsia="Calibri" w:cs="Arial"/>
                <w:lang w:eastAsia="en-US"/>
              </w:rPr>
              <w:t>coordination</w:t>
            </w:r>
            <w:proofErr w:type="gramEnd"/>
            <w:r w:rsidRPr="00EF751B">
              <w:rPr>
                <w:rFonts w:eastAsia="Calibri" w:cs="Arial"/>
                <w:lang w:eastAsia="en-US"/>
              </w:rPr>
              <w:t xml:space="preserve"> and support  </w:t>
            </w:r>
          </w:p>
        </w:tc>
        <w:tc>
          <w:tcPr>
            <w:tcW w:w="1224" w:type="dxa"/>
            <w:shd w:val="clear" w:color="auto" w:fill="auto"/>
            <w:vAlign w:val="center"/>
          </w:tcPr>
          <w:p w14:paraId="5FD4679A" w14:textId="38BDB385" w:rsidR="00901D6C" w:rsidRPr="00EF751B" w:rsidRDefault="00901D6C" w:rsidP="00901D6C">
            <w:pPr>
              <w:spacing w:before="60" w:after="60" w:line="264" w:lineRule="auto"/>
              <w:rPr>
                <w:rFonts w:eastAsia="Calibri" w:cs="Arial"/>
                <w:lang w:eastAsia="en-US"/>
              </w:rPr>
            </w:pPr>
            <w:r w:rsidRPr="00EF751B">
              <w:rPr>
                <w:rFonts w:eastAsia="Calibri" w:cs="Arial"/>
                <w:lang w:eastAsia="en-US"/>
              </w:rPr>
              <w:t>Milestones</w:t>
            </w:r>
          </w:p>
        </w:tc>
        <w:tc>
          <w:tcPr>
            <w:tcW w:w="1134" w:type="dxa"/>
            <w:shd w:val="clear" w:color="auto" w:fill="auto"/>
            <w:vAlign w:val="center"/>
          </w:tcPr>
          <w:p w14:paraId="72976512" w14:textId="609CCB8F" w:rsidR="00901D6C" w:rsidRPr="00EF751B" w:rsidRDefault="00901D6C" w:rsidP="00EF751B">
            <w:pPr>
              <w:spacing w:before="60" w:after="60" w:line="264" w:lineRule="auto"/>
              <w:jc w:val="center"/>
              <w:rPr>
                <w:rFonts w:eastAsia="Calibri" w:cs="Arial"/>
                <w:lang w:eastAsia="en-US"/>
              </w:rPr>
            </w:pPr>
            <w:r w:rsidRPr="00EF751B">
              <w:rPr>
                <w:rFonts w:eastAsia="Calibri" w:cs="Arial"/>
                <w:lang w:eastAsia="en-US"/>
              </w:rPr>
              <w:t>A07.02.2</w:t>
            </w:r>
          </w:p>
        </w:tc>
        <w:tc>
          <w:tcPr>
            <w:tcW w:w="2551" w:type="dxa"/>
            <w:shd w:val="clear" w:color="auto" w:fill="auto"/>
            <w:vAlign w:val="center"/>
          </w:tcPr>
          <w:p w14:paraId="7A3A0968" w14:textId="596C8CE9" w:rsidR="00901D6C" w:rsidRPr="00EF751B" w:rsidRDefault="00901D6C" w:rsidP="00901D6C">
            <w:pPr>
              <w:spacing w:before="40" w:after="40" w:line="264" w:lineRule="auto"/>
              <w:rPr>
                <w:rFonts w:eastAsia="Calibri" w:cs="Arial"/>
                <w:lang w:eastAsia="en-US"/>
              </w:rPr>
            </w:pPr>
            <w:r w:rsidRPr="00EF751B">
              <w:rPr>
                <w:rFonts w:eastAsia="Calibri" w:cs="Arial"/>
                <w:lang w:eastAsia="en-US"/>
              </w:rPr>
              <w:t>Upload Report/s</w:t>
            </w:r>
            <w:r w:rsidR="00EF751B">
              <w:rPr>
                <w:rFonts w:eastAsia="Calibri" w:cs="Arial"/>
                <w:lang w:eastAsia="en-US"/>
              </w:rPr>
              <w:t>:</w:t>
            </w:r>
            <w:r w:rsidRPr="00EF751B">
              <w:rPr>
                <w:rFonts w:eastAsia="Calibri" w:cs="Arial"/>
                <w:lang w:eastAsia="en-US"/>
              </w:rPr>
              <w:t xml:space="preserve"> </w:t>
            </w:r>
          </w:p>
          <w:p w14:paraId="1F87E088" w14:textId="3FA1F7C9" w:rsidR="00901D6C" w:rsidRPr="00EF751B" w:rsidRDefault="00A85454" w:rsidP="00901D6C">
            <w:pPr>
              <w:pStyle w:val="ListParagraph"/>
              <w:numPr>
                <w:ilvl w:val="0"/>
                <w:numId w:val="15"/>
              </w:numPr>
              <w:spacing w:before="40" w:after="40" w:line="264" w:lineRule="auto"/>
              <w:contextualSpacing w:val="0"/>
              <w:rPr>
                <w:rFonts w:ascii="Arial" w:hAnsi="Arial" w:cs="Arial"/>
                <w:szCs w:val="20"/>
              </w:rPr>
            </w:pPr>
            <w:r>
              <w:rPr>
                <w:rFonts w:ascii="Arial" w:hAnsi="Arial" w:cs="Arial"/>
                <w:szCs w:val="20"/>
              </w:rPr>
              <w:t>p</w:t>
            </w:r>
            <w:r w:rsidR="00901D6C" w:rsidRPr="00EF751B">
              <w:rPr>
                <w:rFonts w:ascii="Arial" w:hAnsi="Arial" w:cs="Arial"/>
                <w:szCs w:val="20"/>
              </w:rPr>
              <w:t xml:space="preserve">rograms, </w:t>
            </w:r>
            <w:r>
              <w:rPr>
                <w:rFonts w:ascii="Arial" w:hAnsi="Arial" w:cs="Arial"/>
                <w:szCs w:val="20"/>
              </w:rPr>
              <w:t>e</w:t>
            </w:r>
            <w:r w:rsidR="00901D6C" w:rsidRPr="00EF751B">
              <w:rPr>
                <w:rFonts w:ascii="Arial" w:hAnsi="Arial" w:cs="Arial"/>
                <w:szCs w:val="20"/>
              </w:rPr>
              <w:t xml:space="preserve">vents, </w:t>
            </w:r>
            <w:proofErr w:type="gramStart"/>
            <w:r>
              <w:rPr>
                <w:rFonts w:ascii="Arial" w:hAnsi="Arial" w:cs="Arial"/>
                <w:szCs w:val="20"/>
              </w:rPr>
              <w:t>a</w:t>
            </w:r>
            <w:r w:rsidR="00901D6C" w:rsidRPr="00EF751B">
              <w:rPr>
                <w:rFonts w:ascii="Arial" w:hAnsi="Arial" w:cs="Arial"/>
                <w:szCs w:val="20"/>
              </w:rPr>
              <w:t>ctivities</w:t>
            </w:r>
            <w:proofErr w:type="gramEnd"/>
            <w:r w:rsidR="00901D6C" w:rsidRPr="00EF751B">
              <w:rPr>
                <w:rFonts w:ascii="Arial" w:hAnsi="Arial" w:cs="Arial"/>
                <w:szCs w:val="20"/>
              </w:rPr>
              <w:t xml:space="preserve"> and </w:t>
            </w:r>
            <w:r>
              <w:rPr>
                <w:rFonts w:ascii="Arial" w:hAnsi="Arial" w:cs="Arial"/>
                <w:szCs w:val="20"/>
              </w:rPr>
              <w:t>p</w:t>
            </w:r>
            <w:r w:rsidR="00901D6C" w:rsidRPr="00EF751B">
              <w:rPr>
                <w:rFonts w:ascii="Arial" w:hAnsi="Arial" w:cs="Arial"/>
                <w:szCs w:val="20"/>
              </w:rPr>
              <w:t>rojects; and / or</w:t>
            </w:r>
          </w:p>
          <w:p w14:paraId="350D537C" w14:textId="0CD0160F" w:rsidR="00901D6C" w:rsidRPr="00EF751B" w:rsidRDefault="00A85454" w:rsidP="00901D6C">
            <w:pPr>
              <w:pStyle w:val="ListParagraph"/>
              <w:numPr>
                <w:ilvl w:val="0"/>
                <w:numId w:val="15"/>
              </w:numPr>
              <w:spacing w:before="60" w:after="60" w:line="264" w:lineRule="auto"/>
              <w:rPr>
                <w:rFonts w:ascii="Arial" w:hAnsi="Arial" w:cs="Arial"/>
                <w:szCs w:val="20"/>
              </w:rPr>
            </w:pPr>
            <w:r>
              <w:rPr>
                <w:rFonts w:ascii="Arial" w:hAnsi="Arial" w:cs="Arial"/>
                <w:szCs w:val="20"/>
              </w:rPr>
              <w:t>s</w:t>
            </w:r>
            <w:r w:rsidR="00901D6C" w:rsidRPr="00EF751B">
              <w:rPr>
                <w:rFonts w:ascii="Arial" w:hAnsi="Arial" w:cs="Arial"/>
                <w:szCs w:val="20"/>
              </w:rPr>
              <w:t xml:space="preserve">ystem </w:t>
            </w:r>
            <w:r>
              <w:rPr>
                <w:rFonts w:ascii="Arial" w:hAnsi="Arial" w:cs="Arial"/>
                <w:szCs w:val="20"/>
              </w:rPr>
              <w:t>c</w:t>
            </w:r>
            <w:r w:rsidR="00901D6C" w:rsidRPr="00EF751B">
              <w:rPr>
                <w:rFonts w:ascii="Arial" w:hAnsi="Arial" w:cs="Arial"/>
                <w:szCs w:val="20"/>
              </w:rPr>
              <w:t>oordination</w:t>
            </w:r>
          </w:p>
        </w:tc>
      </w:tr>
      <w:tr w:rsidR="00EF751B" w:rsidRPr="00EF751B" w14:paraId="504563F4" w14:textId="77777777" w:rsidTr="00E224C5">
        <w:tc>
          <w:tcPr>
            <w:tcW w:w="9634" w:type="dxa"/>
            <w:gridSpan w:val="7"/>
            <w:shd w:val="clear" w:color="auto" w:fill="FFFFFF"/>
            <w:vAlign w:val="center"/>
          </w:tcPr>
          <w:p w14:paraId="1C71AEA3" w14:textId="77777777" w:rsidR="00EF751B" w:rsidRPr="00EF751B" w:rsidRDefault="00EF751B" w:rsidP="00E224C5">
            <w:pPr>
              <w:spacing w:before="60" w:after="60" w:line="264" w:lineRule="auto"/>
              <w:rPr>
                <w:rFonts w:eastAsia="Calibri" w:cs="Arial"/>
                <w:lang w:eastAsia="en-US"/>
              </w:rPr>
            </w:pPr>
            <w:r w:rsidRPr="00EF751B">
              <w:rPr>
                <w:rFonts w:cs="Arial"/>
              </w:rPr>
              <w:br w:type="page"/>
            </w:r>
            <w:r w:rsidRPr="00EF751B">
              <w:rPr>
                <w:rFonts w:eastAsia="Calibri" w:cs="Arial"/>
                <w:lang w:eastAsia="en-US"/>
              </w:rPr>
              <w:t>Relates to item 7.1 or 9.1 of the agreement:</w:t>
            </w:r>
          </w:p>
        </w:tc>
      </w:tr>
      <w:tr w:rsidR="00EF751B" w:rsidRPr="00EF751B" w14:paraId="5C0B80A8" w14:textId="77777777" w:rsidTr="00E224C5">
        <w:tc>
          <w:tcPr>
            <w:tcW w:w="988" w:type="dxa"/>
            <w:shd w:val="clear" w:color="auto" w:fill="D9D9D9"/>
            <w:vAlign w:val="center"/>
          </w:tcPr>
          <w:p w14:paraId="11186A96" w14:textId="77777777" w:rsidR="00EF751B" w:rsidRPr="00EF751B" w:rsidRDefault="00EF751B" w:rsidP="00E224C5">
            <w:pPr>
              <w:spacing w:before="60" w:after="60" w:line="264" w:lineRule="auto"/>
              <w:rPr>
                <w:rFonts w:eastAsia="Calibri" w:cs="Arial"/>
                <w:b/>
                <w:lang w:eastAsia="en-US"/>
              </w:rPr>
            </w:pPr>
            <w:r w:rsidRPr="00EF751B">
              <w:rPr>
                <w:rFonts w:eastAsia="Calibri" w:cs="Arial"/>
                <w:b/>
                <w:lang w:eastAsia="en-US"/>
              </w:rPr>
              <w:t>Service User code</w:t>
            </w:r>
          </w:p>
        </w:tc>
        <w:tc>
          <w:tcPr>
            <w:tcW w:w="992" w:type="dxa"/>
            <w:shd w:val="clear" w:color="auto" w:fill="D9D9D9"/>
            <w:vAlign w:val="center"/>
          </w:tcPr>
          <w:p w14:paraId="70BDBDAD" w14:textId="77777777" w:rsidR="00EF751B" w:rsidRPr="00EF751B" w:rsidRDefault="00EF751B" w:rsidP="00E224C5">
            <w:pPr>
              <w:spacing w:before="60" w:after="60" w:line="264" w:lineRule="auto"/>
              <w:rPr>
                <w:rFonts w:eastAsia="Calibri" w:cs="Arial"/>
                <w:b/>
                <w:lang w:eastAsia="en-US"/>
              </w:rPr>
            </w:pPr>
            <w:r w:rsidRPr="00EF751B">
              <w:rPr>
                <w:rFonts w:eastAsia="Calibri" w:cs="Arial"/>
                <w:b/>
                <w:lang w:eastAsia="en-US"/>
              </w:rPr>
              <w:t>Service Type code</w:t>
            </w:r>
          </w:p>
        </w:tc>
        <w:tc>
          <w:tcPr>
            <w:tcW w:w="7654" w:type="dxa"/>
            <w:gridSpan w:val="5"/>
            <w:shd w:val="clear" w:color="auto" w:fill="D9D9D9" w:themeFill="background1" w:themeFillShade="D9"/>
            <w:vAlign w:val="center"/>
          </w:tcPr>
          <w:p w14:paraId="3A22971A" w14:textId="77777777" w:rsidR="00EF751B" w:rsidRPr="00EF751B" w:rsidRDefault="00EF751B" w:rsidP="00E224C5">
            <w:pPr>
              <w:spacing w:before="60" w:after="60" w:line="264" w:lineRule="auto"/>
              <w:rPr>
                <w:rFonts w:eastAsia="Calibri" w:cs="Arial"/>
                <w:b/>
                <w:lang w:eastAsia="en-US"/>
              </w:rPr>
            </w:pPr>
            <w:r w:rsidRPr="00EF751B">
              <w:rPr>
                <w:rFonts w:eastAsia="Calibri" w:cs="Arial"/>
                <w:b/>
                <w:lang w:eastAsia="en-US"/>
              </w:rPr>
              <w:t>Other measure</w:t>
            </w:r>
          </w:p>
        </w:tc>
      </w:tr>
      <w:tr w:rsidR="00EF751B" w:rsidRPr="00EF751B" w14:paraId="47680495" w14:textId="77777777" w:rsidTr="00EF751B">
        <w:trPr>
          <w:trHeight w:val="443"/>
        </w:trPr>
        <w:tc>
          <w:tcPr>
            <w:tcW w:w="988" w:type="dxa"/>
            <w:vAlign w:val="center"/>
          </w:tcPr>
          <w:p w14:paraId="4053A06C" w14:textId="77777777" w:rsidR="00EF751B" w:rsidRPr="00EF751B" w:rsidRDefault="00EF751B" w:rsidP="00E224C5">
            <w:pPr>
              <w:spacing w:before="60" w:after="60" w:line="264" w:lineRule="auto"/>
              <w:jc w:val="center"/>
              <w:rPr>
                <w:rFonts w:eastAsia="Calibri" w:cs="Arial"/>
                <w:bCs/>
                <w:lang w:eastAsia="en-US"/>
              </w:rPr>
            </w:pPr>
            <w:r w:rsidRPr="00EF751B">
              <w:rPr>
                <w:rFonts w:eastAsia="Calibri" w:cs="Arial"/>
                <w:bCs/>
                <w:lang w:eastAsia="en-US"/>
              </w:rPr>
              <w:t>U2107</w:t>
            </w:r>
          </w:p>
        </w:tc>
        <w:tc>
          <w:tcPr>
            <w:tcW w:w="992" w:type="dxa"/>
            <w:vMerge w:val="restart"/>
            <w:shd w:val="clear" w:color="auto" w:fill="auto"/>
            <w:vAlign w:val="center"/>
          </w:tcPr>
          <w:p w14:paraId="633E1E95" w14:textId="77777777" w:rsidR="00EF751B" w:rsidRPr="00EF751B" w:rsidRDefault="00EF751B" w:rsidP="00E224C5">
            <w:pPr>
              <w:spacing w:before="60" w:after="60" w:line="264" w:lineRule="auto"/>
              <w:jc w:val="center"/>
              <w:rPr>
                <w:rFonts w:eastAsia="Calibri" w:cs="Arial"/>
                <w:bCs/>
                <w:lang w:eastAsia="en-US"/>
              </w:rPr>
            </w:pPr>
            <w:r w:rsidRPr="00EF751B">
              <w:rPr>
                <w:rFonts w:eastAsia="Calibri" w:cs="Arial"/>
                <w:bCs/>
                <w:lang w:eastAsia="en-US"/>
              </w:rPr>
              <w:t>T314</w:t>
            </w:r>
          </w:p>
        </w:tc>
        <w:tc>
          <w:tcPr>
            <w:tcW w:w="850" w:type="dxa"/>
            <w:vMerge w:val="restart"/>
            <w:shd w:val="clear" w:color="auto" w:fill="auto"/>
            <w:vAlign w:val="center"/>
          </w:tcPr>
          <w:p w14:paraId="612821AE" w14:textId="77777777" w:rsidR="00EF751B" w:rsidRPr="00EF751B" w:rsidRDefault="00EF751B" w:rsidP="00EF751B">
            <w:pPr>
              <w:spacing w:before="60" w:after="60" w:line="264" w:lineRule="auto"/>
              <w:jc w:val="center"/>
              <w:rPr>
                <w:rFonts w:eastAsia="Calibri" w:cs="Arial"/>
                <w:bCs/>
                <w:lang w:eastAsia="en-US"/>
              </w:rPr>
            </w:pPr>
            <w:r w:rsidRPr="00EF751B">
              <w:rPr>
                <w:rFonts w:eastAsia="Calibri" w:cs="Arial"/>
                <w:bCs/>
                <w:lang w:eastAsia="en-US"/>
              </w:rPr>
              <w:t>IS63</w:t>
            </w:r>
          </w:p>
        </w:tc>
        <w:tc>
          <w:tcPr>
            <w:tcW w:w="6804" w:type="dxa"/>
            <w:gridSpan w:val="4"/>
            <w:vMerge w:val="restart"/>
            <w:vAlign w:val="center"/>
          </w:tcPr>
          <w:p w14:paraId="5BA0EB19" w14:textId="77777777" w:rsidR="00EF751B" w:rsidRPr="00EF751B" w:rsidRDefault="00EF751B" w:rsidP="00E224C5">
            <w:pPr>
              <w:spacing w:before="60" w:after="60" w:line="264" w:lineRule="auto"/>
              <w:rPr>
                <w:rFonts w:eastAsia="Calibri" w:cs="Arial"/>
                <w:bCs/>
                <w:lang w:eastAsia="en-US"/>
              </w:rPr>
            </w:pPr>
            <w:r w:rsidRPr="00EF751B">
              <w:rPr>
                <w:rFonts w:eastAsia="Calibri" w:cs="Arial"/>
                <w:bCs/>
                <w:lang w:eastAsia="en-US"/>
              </w:rPr>
              <w:t>Case studies / upload a document</w:t>
            </w:r>
          </w:p>
        </w:tc>
      </w:tr>
      <w:tr w:rsidR="00EF751B" w:rsidRPr="00EF751B" w14:paraId="6924C975" w14:textId="77777777" w:rsidTr="00EF751B">
        <w:trPr>
          <w:trHeight w:val="442"/>
        </w:trPr>
        <w:tc>
          <w:tcPr>
            <w:tcW w:w="988" w:type="dxa"/>
            <w:vAlign w:val="center"/>
          </w:tcPr>
          <w:p w14:paraId="7C84B48C" w14:textId="77777777" w:rsidR="00EF751B" w:rsidRPr="00EF751B" w:rsidRDefault="00EF751B" w:rsidP="00E224C5">
            <w:pPr>
              <w:spacing w:before="60" w:after="60" w:line="264" w:lineRule="auto"/>
              <w:jc w:val="center"/>
              <w:rPr>
                <w:rFonts w:eastAsia="Calibri" w:cs="Arial"/>
                <w:bCs/>
                <w:lang w:eastAsia="en-US"/>
              </w:rPr>
            </w:pPr>
            <w:r w:rsidRPr="00EF751B">
              <w:rPr>
                <w:rFonts w:eastAsia="Calibri" w:cs="Arial"/>
                <w:bCs/>
                <w:lang w:eastAsia="en-US"/>
              </w:rPr>
              <w:t>U2347</w:t>
            </w:r>
          </w:p>
        </w:tc>
        <w:tc>
          <w:tcPr>
            <w:tcW w:w="992" w:type="dxa"/>
            <w:vMerge/>
            <w:shd w:val="clear" w:color="auto" w:fill="auto"/>
            <w:vAlign w:val="center"/>
          </w:tcPr>
          <w:p w14:paraId="0A0F58B2" w14:textId="77777777" w:rsidR="00EF751B" w:rsidRPr="00EF751B" w:rsidRDefault="00EF751B" w:rsidP="00E224C5">
            <w:pPr>
              <w:spacing w:before="60" w:after="60" w:line="264" w:lineRule="auto"/>
              <w:jc w:val="center"/>
              <w:rPr>
                <w:rFonts w:eastAsia="Calibri" w:cs="Arial"/>
                <w:bCs/>
                <w:lang w:eastAsia="en-US"/>
              </w:rPr>
            </w:pPr>
          </w:p>
        </w:tc>
        <w:tc>
          <w:tcPr>
            <w:tcW w:w="850" w:type="dxa"/>
            <w:vMerge/>
            <w:shd w:val="clear" w:color="auto" w:fill="auto"/>
            <w:vAlign w:val="center"/>
          </w:tcPr>
          <w:p w14:paraId="09CA65A1" w14:textId="77777777" w:rsidR="00EF751B" w:rsidRPr="00EF751B" w:rsidRDefault="00EF751B" w:rsidP="00EF751B">
            <w:pPr>
              <w:spacing w:before="60" w:after="60" w:line="264" w:lineRule="auto"/>
              <w:jc w:val="center"/>
              <w:rPr>
                <w:rFonts w:eastAsia="Calibri" w:cs="Arial"/>
                <w:bCs/>
                <w:lang w:eastAsia="en-US"/>
              </w:rPr>
            </w:pPr>
          </w:p>
        </w:tc>
        <w:tc>
          <w:tcPr>
            <w:tcW w:w="6804" w:type="dxa"/>
            <w:gridSpan w:val="4"/>
            <w:vMerge/>
            <w:vAlign w:val="center"/>
          </w:tcPr>
          <w:p w14:paraId="34A99779" w14:textId="77777777" w:rsidR="00EF751B" w:rsidRPr="00EF751B" w:rsidRDefault="00EF751B" w:rsidP="00E224C5">
            <w:pPr>
              <w:spacing w:before="60" w:after="60" w:line="264" w:lineRule="auto"/>
              <w:rPr>
                <w:rFonts w:eastAsia="Calibri" w:cs="Arial"/>
                <w:bCs/>
                <w:lang w:eastAsia="en-US"/>
              </w:rPr>
            </w:pPr>
          </w:p>
        </w:tc>
      </w:tr>
      <w:tr w:rsidR="00EF751B" w:rsidRPr="00EF751B" w14:paraId="35C21A98" w14:textId="77777777" w:rsidTr="00EF751B">
        <w:trPr>
          <w:trHeight w:val="406"/>
        </w:trPr>
        <w:tc>
          <w:tcPr>
            <w:tcW w:w="988" w:type="dxa"/>
            <w:vAlign w:val="center"/>
          </w:tcPr>
          <w:p w14:paraId="435178CD" w14:textId="77777777" w:rsidR="00EF751B" w:rsidRPr="00EF751B" w:rsidRDefault="00EF751B" w:rsidP="00E224C5">
            <w:pPr>
              <w:spacing w:before="60" w:after="60" w:line="264" w:lineRule="auto"/>
              <w:jc w:val="center"/>
              <w:rPr>
                <w:rFonts w:eastAsia="Calibri" w:cs="Arial"/>
                <w:bCs/>
                <w:lang w:eastAsia="en-US"/>
              </w:rPr>
            </w:pPr>
            <w:r w:rsidRPr="00EF751B">
              <w:rPr>
                <w:rFonts w:eastAsia="Calibri" w:cs="Arial"/>
                <w:bCs/>
                <w:lang w:eastAsia="en-US"/>
              </w:rPr>
              <w:t>U2107</w:t>
            </w:r>
          </w:p>
        </w:tc>
        <w:tc>
          <w:tcPr>
            <w:tcW w:w="992" w:type="dxa"/>
            <w:shd w:val="clear" w:color="auto" w:fill="auto"/>
            <w:vAlign w:val="center"/>
          </w:tcPr>
          <w:p w14:paraId="27942E82" w14:textId="77777777" w:rsidR="00EF751B" w:rsidRPr="00794D0F" w:rsidRDefault="00EF751B" w:rsidP="00E224C5">
            <w:pPr>
              <w:spacing w:before="60" w:after="60" w:line="264" w:lineRule="auto"/>
              <w:jc w:val="center"/>
              <w:rPr>
                <w:rFonts w:eastAsia="Calibri" w:cs="Arial"/>
                <w:bCs/>
                <w:lang w:eastAsia="en-US"/>
              </w:rPr>
            </w:pPr>
            <w:r w:rsidRPr="00794D0F">
              <w:rPr>
                <w:rFonts w:eastAsia="Calibri" w:cs="Arial"/>
                <w:bCs/>
                <w:lang w:eastAsia="en-US"/>
              </w:rPr>
              <w:t>T103 or T314</w:t>
            </w:r>
          </w:p>
        </w:tc>
        <w:tc>
          <w:tcPr>
            <w:tcW w:w="850" w:type="dxa"/>
            <w:vMerge w:val="restart"/>
            <w:vAlign w:val="center"/>
          </w:tcPr>
          <w:p w14:paraId="7AC9097D" w14:textId="77777777" w:rsidR="00EF751B" w:rsidRPr="00794D0F" w:rsidRDefault="00EF751B" w:rsidP="00EF751B">
            <w:pPr>
              <w:spacing w:before="60" w:after="60" w:line="264" w:lineRule="auto"/>
              <w:jc w:val="center"/>
              <w:rPr>
                <w:rFonts w:eastAsia="Calibri" w:cs="Arial"/>
                <w:bCs/>
                <w:lang w:eastAsia="en-US"/>
              </w:rPr>
            </w:pPr>
            <w:r w:rsidRPr="00794D0F">
              <w:rPr>
                <w:rFonts w:eastAsia="Calibri" w:cs="Arial"/>
                <w:bCs/>
                <w:lang w:eastAsia="en-US"/>
              </w:rPr>
              <w:t>IS71</w:t>
            </w:r>
          </w:p>
        </w:tc>
        <w:tc>
          <w:tcPr>
            <w:tcW w:w="6804" w:type="dxa"/>
            <w:gridSpan w:val="4"/>
            <w:vMerge w:val="restart"/>
            <w:vAlign w:val="center"/>
          </w:tcPr>
          <w:p w14:paraId="0D7DFF91" w14:textId="77777777" w:rsidR="00EF751B" w:rsidRPr="00794D0F" w:rsidRDefault="00EF751B" w:rsidP="00E224C5">
            <w:pPr>
              <w:spacing w:before="60" w:after="60" w:line="264" w:lineRule="auto"/>
              <w:rPr>
                <w:rFonts w:eastAsia="Calibri" w:cs="Arial"/>
                <w:bCs/>
                <w:lang w:eastAsia="en-US"/>
              </w:rPr>
            </w:pPr>
            <w:r w:rsidRPr="00794D0F">
              <w:rPr>
                <w:rFonts w:eastAsia="Calibri" w:cs="Arial"/>
                <w:bCs/>
                <w:lang w:eastAsia="en-US"/>
              </w:rPr>
              <w:t>Upload a Contract Report exported from the Case Management System</w:t>
            </w:r>
          </w:p>
        </w:tc>
      </w:tr>
      <w:tr w:rsidR="00EF751B" w:rsidRPr="00EF751B" w14:paraId="46BBD236" w14:textId="77777777" w:rsidTr="00EF751B">
        <w:trPr>
          <w:trHeight w:val="486"/>
        </w:trPr>
        <w:tc>
          <w:tcPr>
            <w:tcW w:w="988" w:type="dxa"/>
            <w:vAlign w:val="center"/>
          </w:tcPr>
          <w:p w14:paraId="7283068B" w14:textId="77777777" w:rsidR="00EF751B" w:rsidRPr="00EF751B" w:rsidRDefault="00EF751B" w:rsidP="00E224C5">
            <w:pPr>
              <w:spacing w:before="60" w:after="60" w:line="264" w:lineRule="auto"/>
              <w:jc w:val="center"/>
              <w:rPr>
                <w:rFonts w:eastAsia="Calibri" w:cs="Arial"/>
                <w:bCs/>
                <w:lang w:eastAsia="en-US"/>
              </w:rPr>
            </w:pPr>
            <w:r w:rsidRPr="00EF751B">
              <w:rPr>
                <w:rFonts w:eastAsia="Calibri" w:cs="Arial"/>
                <w:bCs/>
                <w:lang w:eastAsia="en-US"/>
              </w:rPr>
              <w:t>U2347</w:t>
            </w:r>
          </w:p>
        </w:tc>
        <w:tc>
          <w:tcPr>
            <w:tcW w:w="992" w:type="dxa"/>
            <w:shd w:val="clear" w:color="auto" w:fill="auto"/>
            <w:vAlign w:val="center"/>
          </w:tcPr>
          <w:p w14:paraId="279EEDB8" w14:textId="77777777" w:rsidR="00EF751B" w:rsidRPr="00EF751B" w:rsidRDefault="00EF751B" w:rsidP="00E224C5">
            <w:pPr>
              <w:spacing w:before="60" w:after="60" w:line="264" w:lineRule="auto"/>
              <w:jc w:val="center"/>
              <w:rPr>
                <w:rFonts w:eastAsia="Calibri" w:cs="Arial"/>
                <w:bCs/>
                <w:lang w:eastAsia="en-US"/>
              </w:rPr>
            </w:pPr>
            <w:r w:rsidRPr="00EF751B">
              <w:rPr>
                <w:rFonts w:eastAsia="Calibri" w:cs="Arial"/>
                <w:bCs/>
                <w:lang w:eastAsia="en-US"/>
              </w:rPr>
              <w:t>T314</w:t>
            </w:r>
          </w:p>
        </w:tc>
        <w:tc>
          <w:tcPr>
            <w:tcW w:w="850" w:type="dxa"/>
            <w:vMerge/>
            <w:vAlign w:val="center"/>
          </w:tcPr>
          <w:p w14:paraId="171282FD" w14:textId="77777777" w:rsidR="00EF751B" w:rsidRPr="00EF751B" w:rsidRDefault="00EF751B" w:rsidP="00E224C5">
            <w:pPr>
              <w:spacing w:before="60" w:after="60" w:line="264" w:lineRule="auto"/>
              <w:rPr>
                <w:rFonts w:eastAsia="Calibri" w:cs="Arial"/>
                <w:bCs/>
                <w:color w:val="FF0000"/>
                <w:lang w:eastAsia="en-US"/>
              </w:rPr>
            </w:pPr>
          </w:p>
        </w:tc>
        <w:tc>
          <w:tcPr>
            <w:tcW w:w="6804" w:type="dxa"/>
            <w:gridSpan w:val="4"/>
            <w:vMerge/>
            <w:vAlign w:val="center"/>
          </w:tcPr>
          <w:p w14:paraId="3C37E0E7" w14:textId="77777777" w:rsidR="00EF751B" w:rsidRPr="00EF751B" w:rsidRDefault="00EF751B" w:rsidP="00E224C5">
            <w:pPr>
              <w:spacing w:before="60" w:after="60" w:line="264" w:lineRule="auto"/>
              <w:rPr>
                <w:rFonts w:eastAsia="Calibri" w:cs="Arial"/>
                <w:bCs/>
                <w:lang w:eastAsia="en-US"/>
              </w:rPr>
            </w:pPr>
          </w:p>
        </w:tc>
      </w:tr>
    </w:tbl>
    <w:p w14:paraId="1322B34F" w14:textId="77777777" w:rsidR="00A85454" w:rsidRDefault="00A85454" w:rsidP="00A85454">
      <w:pPr>
        <w:spacing w:line="264" w:lineRule="auto"/>
        <w:rPr>
          <w:rFonts w:ascii="Arial Bold" w:hAnsi="Arial Bold"/>
          <w:b/>
        </w:rPr>
      </w:pPr>
    </w:p>
    <w:p w14:paraId="71153030" w14:textId="0196D980" w:rsidR="00A85454" w:rsidRDefault="00A85454" w:rsidP="00A85454">
      <w:pPr>
        <w:spacing w:line="264" w:lineRule="auto"/>
      </w:pPr>
      <w:r w:rsidRPr="00F22BA2">
        <w:rPr>
          <w:rFonts w:ascii="Arial Bold" w:hAnsi="Arial Bold"/>
          <w:b/>
        </w:rPr>
        <w:t>Counting rules descriptors and reporting examples</w:t>
      </w:r>
      <w:r w:rsidRPr="00F22BA2">
        <w:rPr>
          <w:b/>
        </w:rPr>
        <w:t>:</w:t>
      </w:r>
      <w:r w:rsidRPr="00F22BA2">
        <w:t xml:space="preserve"> </w:t>
      </w:r>
      <w:r>
        <w:t xml:space="preserve"> </w:t>
      </w:r>
      <w:r w:rsidRPr="00F22BA2">
        <w:t>For counting rules</w:t>
      </w:r>
      <w:r>
        <w:t xml:space="preserve"> and</w:t>
      </w:r>
      <w:r w:rsidRPr="00F22BA2">
        <w:t xml:space="preserve"> descriptors</w:t>
      </w:r>
      <w:r>
        <w:t xml:space="preserve">, </w:t>
      </w:r>
      <w:r w:rsidRPr="00F22BA2">
        <w:t>please refer to the</w:t>
      </w:r>
      <w:r>
        <w:t xml:space="preserve"> </w:t>
      </w:r>
      <w:r w:rsidRPr="006E25D3">
        <w:t>Outputs</w:t>
      </w:r>
      <w:r>
        <w:t xml:space="preserve"> Catalogue located at </w:t>
      </w:r>
      <w:hyperlink r:id="rId22" w:history="1">
        <w:r w:rsidRPr="006E25D3">
          <w:rPr>
            <w:rStyle w:val="Hyperlink"/>
          </w:rPr>
          <w:t>https://www.cyjma.qld.gov.au/about-us/our-department/funding-grants-investment/output-funding-reporting</w:t>
        </w:r>
      </w:hyperlink>
      <w:r>
        <w:t xml:space="preserve">.  Examples are provided in Section 11 of this specification. </w:t>
      </w:r>
    </w:p>
    <w:p w14:paraId="54E69547" w14:textId="77777777" w:rsidR="00A85454" w:rsidRPr="006E25D3" w:rsidRDefault="00A85454" w:rsidP="00A85454">
      <w:pPr>
        <w:spacing w:line="264" w:lineRule="auto"/>
      </w:pPr>
    </w:p>
    <w:p w14:paraId="2CF997BD" w14:textId="77777777" w:rsidR="00A85454" w:rsidRDefault="00A85454" w:rsidP="00A85454">
      <w:pPr>
        <w:spacing w:line="264" w:lineRule="auto"/>
        <w:rPr>
          <w:rFonts w:eastAsia="Calibri"/>
          <w:lang w:eastAsia="en-US"/>
        </w:rPr>
      </w:pPr>
      <w:r w:rsidRPr="00F22BA2">
        <w:rPr>
          <w:b/>
        </w:rPr>
        <w:t>Outcome measurement:</w:t>
      </w:r>
      <w:r w:rsidRPr="00F22BA2">
        <w:t xml:space="preserve"> </w:t>
      </w:r>
      <w:r>
        <w:t xml:space="preserve"> </w:t>
      </w:r>
      <w:r w:rsidRPr="00F22BA2">
        <w:t>A</w:t>
      </w:r>
      <w:r w:rsidRPr="00F22BA2">
        <w:rPr>
          <w:rFonts w:eastAsia="Calibri"/>
          <w:lang w:eastAsia="en-US"/>
        </w:rPr>
        <w:t xml:space="preserve">ll quantitative reporting on outcome measures can be supplemented with </w:t>
      </w:r>
      <w:r w:rsidRPr="00F22BA2">
        <w:rPr>
          <w:rFonts w:eastAsia="Calibri"/>
          <w:b/>
          <w:bCs/>
          <w:lang w:eastAsia="en-US"/>
        </w:rPr>
        <w:t>optional</w:t>
      </w:r>
      <w:r w:rsidRPr="00F22BA2">
        <w:rPr>
          <w:rFonts w:eastAsia="Calibri"/>
          <w:lang w:eastAsia="en-US"/>
        </w:rPr>
        <w:t xml:space="preserve"> qualitative evidence.</w:t>
      </w:r>
      <w:r>
        <w:rPr>
          <w:rFonts w:eastAsia="Calibri"/>
          <w:lang w:eastAsia="en-US"/>
        </w:rPr>
        <w:t xml:space="preserve"> </w:t>
      </w:r>
      <w:r w:rsidRPr="00F22BA2">
        <w:rPr>
          <w:rFonts w:eastAsia="Calibri"/>
          <w:lang w:eastAsia="en-US"/>
        </w:rPr>
        <w:t xml:space="preserve"> Qualitative reports can be uploaded to </w:t>
      </w:r>
      <w:r>
        <w:rPr>
          <w:rFonts w:eastAsia="Calibri"/>
          <w:lang w:eastAsia="en-US"/>
        </w:rPr>
        <w:t>P2i</w:t>
      </w:r>
      <w:r w:rsidRPr="00F22BA2">
        <w:rPr>
          <w:rFonts w:eastAsia="Calibri"/>
          <w:lang w:eastAsia="en-US"/>
        </w:rPr>
        <w:t xml:space="preserve"> using IS70. </w:t>
      </w:r>
      <w:r>
        <w:rPr>
          <w:rFonts w:eastAsia="Calibri"/>
          <w:lang w:eastAsia="en-US"/>
        </w:rPr>
        <w:t xml:space="preserve"> </w:t>
      </w:r>
      <w:r w:rsidRPr="00F22BA2">
        <w:rPr>
          <w:rFonts w:eastAsia="Calibri"/>
          <w:lang w:eastAsia="en-US"/>
        </w:rPr>
        <w:t xml:space="preserve">As qualitative reporting is optional the IS70 code will not appear in agreements but </w:t>
      </w:r>
      <w:r>
        <w:rPr>
          <w:rFonts w:eastAsia="Calibri"/>
          <w:lang w:eastAsia="en-US"/>
        </w:rPr>
        <w:t>are able to be uploaded</w:t>
      </w:r>
      <w:r w:rsidRPr="00F22BA2">
        <w:rPr>
          <w:rFonts w:eastAsia="Calibri"/>
          <w:lang w:eastAsia="en-US"/>
        </w:rPr>
        <w:t xml:space="preserve"> in </w:t>
      </w:r>
      <w:r>
        <w:rPr>
          <w:rFonts w:eastAsia="Calibri"/>
          <w:lang w:eastAsia="en-US"/>
        </w:rPr>
        <w:t>P2i</w:t>
      </w:r>
      <w:r w:rsidRPr="00F22BA2">
        <w:rPr>
          <w:rFonts w:eastAsia="Calibri"/>
          <w:lang w:eastAsia="en-US"/>
        </w:rPr>
        <w:t>.</w:t>
      </w:r>
    </w:p>
    <w:p w14:paraId="6E976467" w14:textId="40F3B48F" w:rsidR="00901D6C" w:rsidRDefault="00901D6C" w:rsidP="00901D6C">
      <w:pPr>
        <w:spacing w:before="60" w:after="60" w:line="264" w:lineRule="auto"/>
        <w:rPr>
          <w:rFonts w:eastAsia="Calibri"/>
          <w:b/>
          <w:lang w:eastAsia="en-US"/>
        </w:rPr>
      </w:pPr>
    </w:p>
    <w:p w14:paraId="75551261" w14:textId="4A6C78AD" w:rsidR="00C03292" w:rsidRPr="00BF1F16" w:rsidRDefault="009B70E9" w:rsidP="00ED0B77">
      <w:pPr>
        <w:pStyle w:val="SPEC1"/>
        <w:spacing w:before="120" w:after="120" w:line="264" w:lineRule="auto"/>
      </w:pPr>
      <w:bookmarkStart w:id="178" w:name="_Toc421798613"/>
      <w:bookmarkStart w:id="179" w:name="_Toc421799902"/>
      <w:bookmarkStart w:id="180" w:name="_Toc508701810"/>
      <w:bookmarkStart w:id="181" w:name="_Toc516054656"/>
      <w:r>
        <w:t>9</w:t>
      </w:r>
      <w:r w:rsidR="0024373A">
        <w:t>.</w:t>
      </w:r>
      <w:r w:rsidR="00B401AA">
        <w:t xml:space="preserve"> </w:t>
      </w:r>
      <w:r w:rsidR="00C03292" w:rsidRPr="00BF1F16">
        <w:t>Other funding</w:t>
      </w:r>
      <w:r w:rsidR="00B40DCC">
        <w:t>,</w:t>
      </w:r>
      <w:r w:rsidR="00C03292" w:rsidRPr="00BF1F16">
        <w:t xml:space="preserve"> supporting documents</w:t>
      </w:r>
      <w:bookmarkEnd w:id="178"/>
      <w:bookmarkEnd w:id="179"/>
      <w:bookmarkEnd w:id="180"/>
      <w:bookmarkEnd w:id="181"/>
      <w:r w:rsidR="00B40DCC">
        <w:t xml:space="preserve"> and contact information</w:t>
      </w:r>
    </w:p>
    <w:p w14:paraId="64985E3E" w14:textId="6F6523B5" w:rsidR="004865DF" w:rsidRDefault="0031675C" w:rsidP="00ED0B77">
      <w:pPr>
        <w:spacing w:line="264" w:lineRule="auto"/>
      </w:pPr>
      <w:r>
        <w:t>I</w:t>
      </w:r>
      <w:r w:rsidR="00C55B5C" w:rsidRPr="00F22BA2">
        <w:t xml:space="preserve">nformation regarding current funding opportunities </w:t>
      </w:r>
      <w:r>
        <w:t xml:space="preserve">is published </w:t>
      </w:r>
      <w:r w:rsidR="00056780">
        <w:t>on the</w:t>
      </w:r>
      <w:r w:rsidR="00056780" w:rsidRPr="00056780">
        <w:rPr>
          <w:rFonts w:cs="Arial"/>
        </w:rPr>
        <w:t xml:space="preserve"> </w:t>
      </w:r>
      <w:r w:rsidR="00056780" w:rsidRPr="00056780">
        <w:t xml:space="preserve">Queensland </w:t>
      </w:r>
      <w:r w:rsidR="00056780">
        <w:t>G</w:t>
      </w:r>
      <w:r w:rsidR="00056780" w:rsidRPr="00056780">
        <w:t>overnment portal</w:t>
      </w:r>
      <w:r w:rsidR="004865DF">
        <w:t>:</w:t>
      </w:r>
      <w:r w:rsidR="004865DF" w:rsidRPr="004865DF">
        <w:t xml:space="preserve"> </w:t>
      </w:r>
      <w:hyperlink r:id="rId23" w:history="1">
        <w:r w:rsidR="00553918" w:rsidRPr="00D8304F">
          <w:rPr>
            <w:rStyle w:val="Hyperlink"/>
          </w:rPr>
          <w:t>https://www.qld.gov.au/community/community-organisations-volunteering/funding-grants</w:t>
        </w:r>
      </w:hyperlink>
      <w:r w:rsidR="00AB1E7A">
        <w:t>.</w:t>
      </w:r>
      <w:r w:rsidR="00145CE9">
        <w:t xml:space="preserve"> </w:t>
      </w:r>
      <w:r w:rsidR="00AB1E7A">
        <w:t xml:space="preserve"> I</w:t>
      </w:r>
      <w:r w:rsidR="004865DF">
        <w:t xml:space="preserve">n </w:t>
      </w:r>
      <w:r w:rsidR="00701B65">
        <w:t>addition,</w:t>
      </w:r>
      <w:r w:rsidR="004865DF">
        <w:t xml:space="preserve"> </w:t>
      </w:r>
      <w:r w:rsidR="004865DF" w:rsidRPr="00473CDC">
        <w:t xml:space="preserve">Suppliers are encouraged to register with </w:t>
      </w:r>
      <w:proofErr w:type="spellStart"/>
      <w:r w:rsidR="004865DF" w:rsidRPr="00473CDC">
        <w:t>QTender</w:t>
      </w:r>
      <w:r w:rsidR="005617F2">
        <w:t>s</w:t>
      </w:r>
      <w:proofErr w:type="spellEnd"/>
      <w:r w:rsidR="004865DF" w:rsidRPr="00473CDC">
        <w:t xml:space="preserve">: </w:t>
      </w:r>
      <w:hyperlink r:id="rId24" w:history="1">
        <w:r w:rsidR="004865DF" w:rsidRPr="00201734">
          <w:rPr>
            <w:rStyle w:val="Hyperlink"/>
          </w:rPr>
          <w:t>https://www.hpw.qld.gov.au/qtenders/</w:t>
        </w:r>
      </w:hyperlink>
      <w:r w:rsidR="00AB1E7A" w:rsidRPr="00AB1E7A">
        <w:t>.</w:t>
      </w:r>
      <w:r w:rsidR="004865DF" w:rsidRPr="00AB1E7A">
        <w:t xml:space="preserve"> </w:t>
      </w:r>
    </w:p>
    <w:p w14:paraId="20E60B87" w14:textId="77777777" w:rsidR="00ED0B77" w:rsidRPr="00AB1E7A" w:rsidRDefault="00ED0B77" w:rsidP="00ED0B77">
      <w:pPr>
        <w:spacing w:line="264" w:lineRule="auto"/>
        <w:rPr>
          <w:rStyle w:val="Hyperlink"/>
          <w:color w:val="auto"/>
          <w:u w:val="none"/>
        </w:rPr>
      </w:pPr>
    </w:p>
    <w:p w14:paraId="5BE68582" w14:textId="3E14F746" w:rsidR="00BC59E8" w:rsidRPr="0016696A" w:rsidRDefault="00CF0169" w:rsidP="00ED0B77">
      <w:pPr>
        <w:spacing w:line="264" w:lineRule="auto"/>
        <w:rPr>
          <w:rFonts w:cs="Arial"/>
        </w:rPr>
      </w:pPr>
      <w:r w:rsidRPr="0016696A">
        <w:rPr>
          <w:rFonts w:cs="Arial"/>
        </w:rPr>
        <w:lastRenderedPageBreak/>
        <w:t>Supporting documents and resources, including those listed below, are also available on the department</w:t>
      </w:r>
      <w:r w:rsidR="005A4F5B" w:rsidRPr="0016696A">
        <w:rPr>
          <w:rFonts w:cs="Arial"/>
        </w:rPr>
        <w:t>’</w:t>
      </w:r>
      <w:r w:rsidRPr="0016696A">
        <w:rPr>
          <w:rFonts w:cs="Arial"/>
        </w:rPr>
        <w:t xml:space="preserve">s </w:t>
      </w:r>
      <w:r w:rsidR="002D362B" w:rsidRPr="0016696A">
        <w:rPr>
          <w:rFonts w:cs="Arial"/>
        </w:rPr>
        <w:t xml:space="preserve">website </w:t>
      </w:r>
      <w:r w:rsidR="009E545D">
        <w:rPr>
          <w:rFonts w:cs="Arial"/>
        </w:rPr>
        <w:t>and other</w:t>
      </w:r>
      <w:r w:rsidR="009E545D" w:rsidRPr="0016696A">
        <w:rPr>
          <w:rFonts w:cs="Arial"/>
        </w:rPr>
        <w:t xml:space="preserve"> </w:t>
      </w:r>
      <w:r w:rsidR="005A4F5B" w:rsidRPr="0016696A">
        <w:rPr>
          <w:rFonts w:cs="Arial"/>
        </w:rPr>
        <w:t xml:space="preserve">Queensland </w:t>
      </w:r>
      <w:r w:rsidR="009E545D">
        <w:rPr>
          <w:rFonts w:cs="Arial"/>
        </w:rPr>
        <w:t>G</w:t>
      </w:r>
      <w:r w:rsidR="009E545D" w:rsidRPr="0016696A">
        <w:rPr>
          <w:rFonts w:cs="Arial"/>
        </w:rPr>
        <w:t xml:space="preserve">overnment </w:t>
      </w:r>
      <w:r w:rsidR="009E545D">
        <w:rPr>
          <w:rFonts w:cs="Arial"/>
        </w:rPr>
        <w:t>websites</w:t>
      </w:r>
      <w:r w:rsidRPr="0016696A">
        <w:rPr>
          <w:rFonts w:cs="Arial"/>
        </w:rPr>
        <w:t>:</w:t>
      </w:r>
    </w:p>
    <w:p w14:paraId="6933695F" w14:textId="5B24582A" w:rsidR="00265ED4" w:rsidRDefault="00D14FF4" w:rsidP="0042530D">
      <w:pPr>
        <w:pStyle w:val="ListParagraph"/>
        <w:numPr>
          <w:ilvl w:val="0"/>
          <w:numId w:val="10"/>
        </w:numPr>
        <w:spacing w:before="60" w:after="0" w:line="264" w:lineRule="auto"/>
        <w:contextualSpacing w:val="0"/>
        <w:rPr>
          <w:rFonts w:ascii="Arial" w:hAnsi="Arial" w:cs="Arial"/>
        </w:rPr>
      </w:pPr>
      <w:hyperlink r:id="rId25" w:history="1">
        <w:r w:rsidR="00435369" w:rsidRPr="0016696A">
          <w:rPr>
            <w:rFonts w:ascii="Arial" w:hAnsi="Arial" w:cs="Arial"/>
          </w:rPr>
          <w:t xml:space="preserve">Investment </w:t>
        </w:r>
        <w:r w:rsidR="00265ED4" w:rsidRPr="0016696A">
          <w:rPr>
            <w:rFonts w:ascii="Arial" w:hAnsi="Arial" w:cs="Arial"/>
          </w:rPr>
          <w:t>Specifications</w:t>
        </w:r>
      </w:hyperlink>
      <w:r w:rsidR="00047804" w:rsidRPr="0016696A">
        <w:rPr>
          <w:rFonts w:ascii="Arial" w:hAnsi="Arial" w:cs="Arial"/>
        </w:rPr>
        <w:t xml:space="preserve"> –</w:t>
      </w:r>
      <w:r w:rsidR="009E545D">
        <w:rPr>
          <w:rFonts w:ascii="Arial" w:hAnsi="Arial" w:cs="Arial"/>
        </w:rPr>
        <w:t xml:space="preserve"> </w:t>
      </w:r>
      <w:hyperlink r:id="rId26" w:history="1">
        <w:r w:rsidR="009E545D" w:rsidRPr="00D8304F">
          <w:rPr>
            <w:rStyle w:val="Hyperlink"/>
            <w:rFonts w:ascii="Arial" w:hAnsi="Arial" w:cs="Arial"/>
          </w:rPr>
          <w:t>https://www.cyjma.qld.gov.au/about-us/our-department/funding-grants-investment/investment-specifications</w:t>
        </w:r>
      </w:hyperlink>
    </w:p>
    <w:p w14:paraId="70A2648B" w14:textId="577F5D2C" w:rsidR="00825BDA" w:rsidRDefault="00047804" w:rsidP="0042530D">
      <w:pPr>
        <w:pStyle w:val="ListParagraph"/>
        <w:numPr>
          <w:ilvl w:val="0"/>
          <w:numId w:val="10"/>
        </w:numPr>
        <w:spacing w:before="60" w:after="0" w:line="264" w:lineRule="auto"/>
        <w:contextualSpacing w:val="0"/>
        <w:rPr>
          <w:rFonts w:ascii="Arial" w:hAnsi="Arial" w:cs="Arial"/>
        </w:rPr>
      </w:pPr>
      <w:r w:rsidRPr="0016696A">
        <w:rPr>
          <w:rFonts w:ascii="Arial" w:hAnsi="Arial" w:cs="Arial"/>
        </w:rPr>
        <w:t xml:space="preserve">Outputs </w:t>
      </w:r>
      <w:hyperlink r:id="rId27" w:history="1">
        <w:r w:rsidR="00825BDA" w:rsidRPr="0016696A">
          <w:rPr>
            <w:rFonts w:ascii="Arial" w:hAnsi="Arial" w:cs="Arial"/>
          </w:rPr>
          <w:t>Catalogue</w:t>
        </w:r>
      </w:hyperlink>
      <w:r w:rsidRPr="0016696A">
        <w:rPr>
          <w:rFonts w:ascii="Arial" w:hAnsi="Arial" w:cs="Arial"/>
        </w:rPr>
        <w:t xml:space="preserve"> </w:t>
      </w:r>
      <w:bookmarkStart w:id="182" w:name="_Hlk103351539"/>
      <w:r w:rsidRPr="0016696A">
        <w:rPr>
          <w:rFonts w:ascii="Arial" w:hAnsi="Arial" w:cs="Arial"/>
        </w:rPr>
        <w:t xml:space="preserve">– </w:t>
      </w:r>
      <w:bookmarkEnd w:id="182"/>
      <w:r w:rsidR="009E545D">
        <w:rPr>
          <w:rFonts w:ascii="Arial" w:hAnsi="Arial" w:cs="Arial"/>
        </w:rPr>
        <w:fldChar w:fldCharType="begin"/>
      </w:r>
      <w:r w:rsidR="009E545D">
        <w:rPr>
          <w:rFonts w:ascii="Arial" w:hAnsi="Arial" w:cs="Arial"/>
        </w:rPr>
        <w:instrText xml:space="preserve"> HYPERLINK "</w:instrText>
      </w:r>
      <w:r w:rsidR="009E545D" w:rsidRPr="009E545D">
        <w:rPr>
          <w:rFonts w:ascii="Arial" w:hAnsi="Arial" w:cs="Arial"/>
        </w:rPr>
        <w:instrText>https://www.cyjma.qld.gov.au/about-us/our-department/funding-grants-investment/output-funding-reporting</w:instrText>
      </w:r>
      <w:r w:rsidR="009E545D">
        <w:rPr>
          <w:rFonts w:ascii="Arial" w:hAnsi="Arial" w:cs="Arial"/>
        </w:rPr>
        <w:instrText xml:space="preserve">" </w:instrText>
      </w:r>
      <w:r w:rsidR="009E545D">
        <w:rPr>
          <w:rFonts w:ascii="Arial" w:hAnsi="Arial" w:cs="Arial"/>
        </w:rPr>
        <w:fldChar w:fldCharType="separate"/>
      </w:r>
      <w:r w:rsidR="009E545D" w:rsidRPr="00D8304F">
        <w:rPr>
          <w:rStyle w:val="Hyperlink"/>
          <w:rFonts w:ascii="Arial" w:hAnsi="Arial" w:cs="Arial"/>
        </w:rPr>
        <w:t>https://www.cyjma.qld.gov.au/about-us/our-department/funding-grants-investment/output-funding-reporting</w:t>
      </w:r>
      <w:r w:rsidR="009E545D">
        <w:rPr>
          <w:rFonts w:ascii="Arial" w:hAnsi="Arial" w:cs="Arial"/>
        </w:rPr>
        <w:fldChar w:fldCharType="end"/>
      </w:r>
    </w:p>
    <w:p w14:paraId="20F815E5" w14:textId="69188F76" w:rsidR="005872D8" w:rsidRDefault="00D14FF4" w:rsidP="0042530D">
      <w:pPr>
        <w:pStyle w:val="ListParagraph"/>
        <w:numPr>
          <w:ilvl w:val="0"/>
          <w:numId w:val="10"/>
        </w:numPr>
        <w:spacing w:before="60" w:after="0" w:line="264" w:lineRule="auto"/>
        <w:contextualSpacing w:val="0"/>
        <w:rPr>
          <w:rFonts w:ascii="Arial" w:hAnsi="Arial" w:cs="Arial"/>
        </w:rPr>
      </w:pPr>
      <w:hyperlink r:id="rId28" w:history="1">
        <w:r w:rsidR="00265ED4" w:rsidRPr="0016696A">
          <w:rPr>
            <w:rFonts w:ascii="Arial" w:hAnsi="Arial" w:cs="Arial"/>
          </w:rPr>
          <w:t>Human Services Quality Framework</w:t>
        </w:r>
      </w:hyperlink>
      <w:r w:rsidR="00265ED4" w:rsidRPr="0016696A">
        <w:rPr>
          <w:rFonts w:ascii="Arial" w:hAnsi="Arial" w:cs="Arial"/>
        </w:rPr>
        <w:t xml:space="preserve"> (HSQF) </w:t>
      </w:r>
      <w:r w:rsidR="00047804" w:rsidRPr="0016696A">
        <w:rPr>
          <w:rFonts w:ascii="Arial" w:hAnsi="Arial" w:cs="Arial"/>
        </w:rPr>
        <w:t xml:space="preserve">– </w:t>
      </w:r>
      <w:hyperlink r:id="rId29" w:history="1">
        <w:r w:rsidR="009E545D" w:rsidRPr="00D8304F">
          <w:rPr>
            <w:rStyle w:val="Hyperlink"/>
            <w:rFonts w:ascii="Arial" w:hAnsi="Arial" w:cs="Arial"/>
          </w:rPr>
          <w:t>https://www.dsdsatsip.qld.gov.au/our-work/human-services-quality-framework</w:t>
        </w:r>
      </w:hyperlink>
    </w:p>
    <w:p w14:paraId="46BFC2D1" w14:textId="776E3150" w:rsidR="004D1003" w:rsidRPr="004D1003" w:rsidRDefault="004D1003" w:rsidP="0042530D">
      <w:pPr>
        <w:pStyle w:val="ListParagraph"/>
        <w:numPr>
          <w:ilvl w:val="0"/>
          <w:numId w:val="10"/>
        </w:numPr>
        <w:spacing w:before="60" w:after="0" w:line="264" w:lineRule="auto"/>
        <w:contextualSpacing w:val="0"/>
        <w:rPr>
          <w:rFonts w:ascii="Arial" w:hAnsi="Arial" w:cs="Arial"/>
        </w:rPr>
      </w:pPr>
      <w:bookmarkStart w:id="183" w:name="_Hlk103951237"/>
      <w:r w:rsidRPr="004D1003">
        <w:rPr>
          <w:rFonts w:ascii="Arial" w:hAnsi="Arial" w:cs="Arial"/>
        </w:rPr>
        <w:t xml:space="preserve">Queensland Youth Strategy – </w:t>
      </w:r>
      <w:hyperlink r:id="rId30" w:history="1">
        <w:r w:rsidRPr="004D1003">
          <w:rPr>
            <w:rStyle w:val="Hyperlink"/>
            <w:rFonts w:ascii="Arial" w:hAnsi="Arial" w:cs="Arial"/>
          </w:rPr>
          <w:t>https://www.des.qld.gov.au/youth/how-qld-govt-is-helping-youth/queensland-youth-strategy</w:t>
        </w:r>
      </w:hyperlink>
    </w:p>
    <w:bookmarkEnd w:id="183"/>
    <w:p w14:paraId="4F8A855A" w14:textId="413E2B94" w:rsidR="003D3245" w:rsidRDefault="003D3245" w:rsidP="0042530D">
      <w:pPr>
        <w:pStyle w:val="ListParagraph"/>
        <w:numPr>
          <w:ilvl w:val="0"/>
          <w:numId w:val="10"/>
        </w:numPr>
        <w:spacing w:before="60" w:after="0" w:line="264" w:lineRule="auto"/>
        <w:contextualSpacing w:val="0"/>
        <w:rPr>
          <w:rFonts w:ascii="Arial" w:hAnsi="Arial" w:cs="Arial"/>
        </w:rPr>
      </w:pPr>
      <w:r w:rsidRPr="004D1003">
        <w:rPr>
          <w:rFonts w:ascii="Arial" w:hAnsi="Arial" w:cs="Arial"/>
        </w:rPr>
        <w:t>Youth Justice</w:t>
      </w:r>
      <w:r w:rsidRPr="009E545D">
        <w:rPr>
          <w:rFonts w:ascii="Arial" w:hAnsi="Arial" w:cs="Arial"/>
        </w:rPr>
        <w:t xml:space="preserve"> Strategy 2019-23</w:t>
      </w:r>
      <w:r w:rsidR="009E545D">
        <w:rPr>
          <w:rFonts w:ascii="Arial" w:hAnsi="Arial" w:cs="Arial"/>
        </w:rPr>
        <w:t xml:space="preserve"> – </w:t>
      </w:r>
      <w:hyperlink r:id="rId31" w:history="1">
        <w:r w:rsidR="009E545D" w:rsidRPr="00D8304F">
          <w:rPr>
            <w:rStyle w:val="Hyperlink"/>
            <w:rFonts w:ascii="Arial" w:hAnsi="Arial" w:cs="Arial"/>
          </w:rPr>
          <w:t>https://www.cyjma.qld.gov.au/youth-justice/reform/youth-justice-strategy</w:t>
        </w:r>
      </w:hyperlink>
    </w:p>
    <w:p w14:paraId="2C3BD5DD" w14:textId="38888242" w:rsidR="00333F9C" w:rsidRDefault="00333F9C" w:rsidP="0042530D">
      <w:pPr>
        <w:pStyle w:val="ListParagraph"/>
        <w:numPr>
          <w:ilvl w:val="0"/>
          <w:numId w:val="10"/>
        </w:numPr>
        <w:spacing w:before="60" w:after="0" w:line="264" w:lineRule="auto"/>
        <w:contextualSpacing w:val="0"/>
        <w:rPr>
          <w:rFonts w:ascii="Arial" w:hAnsi="Arial" w:cs="Arial"/>
        </w:rPr>
      </w:pPr>
      <w:r w:rsidRPr="0016696A">
        <w:rPr>
          <w:rFonts w:ascii="Arial" w:hAnsi="Arial" w:cs="Arial"/>
        </w:rPr>
        <w:t xml:space="preserve">Youth Support </w:t>
      </w:r>
      <w:hyperlink r:id="rId32" w:history="1">
        <w:r w:rsidR="00265ED4" w:rsidRPr="0016696A">
          <w:rPr>
            <w:rFonts w:ascii="Arial" w:hAnsi="Arial" w:cs="Arial"/>
          </w:rPr>
          <w:t>Practice Guide</w:t>
        </w:r>
      </w:hyperlink>
      <w:r w:rsidR="00047804" w:rsidRPr="0016696A">
        <w:rPr>
          <w:rFonts w:ascii="Arial" w:hAnsi="Arial" w:cs="Arial"/>
        </w:rPr>
        <w:t xml:space="preserve"> – </w:t>
      </w:r>
      <w:bookmarkStart w:id="184" w:name="_Hlk120633885"/>
      <w:r w:rsidR="009E2E80">
        <w:fldChar w:fldCharType="begin"/>
      </w:r>
      <w:r w:rsidR="009E2E80">
        <w:instrText xml:space="preserve"> HYPERLINK "https://www.cyjma.qld.gov.au/resources/dcsyw/youth/youth-support-services/youth-support-practice-guide.pdf" </w:instrText>
      </w:r>
      <w:r w:rsidR="009E2E80">
        <w:fldChar w:fldCharType="separate"/>
      </w:r>
      <w:r w:rsidR="009E545D" w:rsidRPr="00D8304F">
        <w:rPr>
          <w:rStyle w:val="Hyperlink"/>
          <w:rFonts w:ascii="Arial" w:hAnsi="Arial" w:cs="Arial"/>
        </w:rPr>
        <w:t>https://www.cyjma.qld.gov.au/resources/dcsyw/youth/youth-support-services/youth-support-practice-guide.pdf</w:t>
      </w:r>
      <w:r w:rsidR="009E2E80">
        <w:rPr>
          <w:rStyle w:val="Hyperlink"/>
          <w:rFonts w:ascii="Arial" w:hAnsi="Arial" w:cs="Arial"/>
        </w:rPr>
        <w:fldChar w:fldCharType="end"/>
      </w:r>
      <w:bookmarkEnd w:id="184"/>
    </w:p>
    <w:p w14:paraId="63353283" w14:textId="5CF56115" w:rsidR="009E545D" w:rsidRDefault="009E545D" w:rsidP="0042530D">
      <w:pPr>
        <w:pStyle w:val="ListParagraph"/>
        <w:numPr>
          <w:ilvl w:val="0"/>
          <w:numId w:val="10"/>
        </w:numPr>
        <w:spacing w:before="60" w:after="0" w:line="264" w:lineRule="auto"/>
        <w:contextualSpacing w:val="0"/>
        <w:rPr>
          <w:rFonts w:ascii="Arial" w:hAnsi="Arial" w:cs="Arial"/>
        </w:rPr>
      </w:pPr>
      <w:r>
        <w:rPr>
          <w:rFonts w:ascii="Arial" w:hAnsi="Arial" w:cs="Arial"/>
        </w:rPr>
        <w:t xml:space="preserve">Youth Wellbeing Assessment Tool (CAT) Guide – </w:t>
      </w:r>
      <w:hyperlink r:id="rId33" w:history="1">
        <w:r w:rsidRPr="00D8304F">
          <w:rPr>
            <w:rStyle w:val="Hyperlink"/>
            <w:rFonts w:ascii="Arial" w:hAnsi="Arial" w:cs="Arial"/>
          </w:rPr>
          <w:t>https://www.cyjma.qld.gov.au/resources/dcsyw/youth/youth-support-services/youth-wellbeing-assessment-cat-guide.pdf</w:t>
        </w:r>
      </w:hyperlink>
    </w:p>
    <w:p w14:paraId="29DA3FD9" w14:textId="7802FA98" w:rsidR="009E545D" w:rsidRPr="009E545D" w:rsidRDefault="009E545D" w:rsidP="0042530D">
      <w:pPr>
        <w:pStyle w:val="ListParagraph"/>
        <w:numPr>
          <w:ilvl w:val="0"/>
          <w:numId w:val="10"/>
        </w:numPr>
        <w:spacing w:before="60" w:after="0" w:line="264" w:lineRule="auto"/>
        <w:ind w:left="714" w:hanging="357"/>
        <w:contextualSpacing w:val="0"/>
        <w:rPr>
          <w:rFonts w:ascii="Arial" w:hAnsi="Arial" w:cs="Arial"/>
        </w:rPr>
      </w:pPr>
      <w:r w:rsidRPr="009E545D">
        <w:rPr>
          <w:rFonts w:ascii="Arial" w:hAnsi="Arial" w:cs="Arial"/>
        </w:rPr>
        <w:t xml:space="preserve">Guidelines for Service Delivery: Youth Housing and Reintegration Service </w:t>
      </w:r>
      <w:r w:rsidR="004D1003">
        <w:rPr>
          <w:rFonts w:ascii="Arial" w:hAnsi="Arial" w:cs="Arial"/>
        </w:rPr>
        <w:t xml:space="preserve">(YHARS) </w:t>
      </w:r>
      <w:r w:rsidRPr="009E545D">
        <w:rPr>
          <w:rFonts w:ascii="Arial" w:hAnsi="Arial" w:cs="Arial"/>
        </w:rPr>
        <w:t xml:space="preserve">and After Care Service – </w:t>
      </w:r>
      <w:hyperlink r:id="rId34" w:history="1">
        <w:r w:rsidRPr="009E545D">
          <w:rPr>
            <w:rStyle w:val="Hyperlink"/>
            <w:rFonts w:ascii="Arial" w:hAnsi="Arial" w:cs="Arial"/>
          </w:rPr>
          <w:t>https://www.cyjma.qld.gov.au/resources/dcsyw/youth/youth-housing-reintegration/youth-housing-reintegration-service-guidelines.pdf</w:t>
        </w:r>
      </w:hyperlink>
    </w:p>
    <w:p w14:paraId="463CE12E" w14:textId="50577BE0" w:rsidR="009E545D" w:rsidRDefault="00333F9C" w:rsidP="0042530D">
      <w:pPr>
        <w:pStyle w:val="ListParagraph"/>
        <w:numPr>
          <w:ilvl w:val="0"/>
          <w:numId w:val="10"/>
        </w:numPr>
        <w:spacing w:before="60" w:after="0" w:line="264" w:lineRule="auto"/>
        <w:contextualSpacing w:val="0"/>
        <w:rPr>
          <w:rFonts w:ascii="Arial" w:hAnsi="Arial" w:cs="Arial"/>
        </w:rPr>
      </w:pPr>
      <w:r w:rsidRPr="0016696A">
        <w:rPr>
          <w:rFonts w:ascii="Arial" w:hAnsi="Arial" w:cs="Arial"/>
        </w:rPr>
        <w:t>YSCIS User Manual</w:t>
      </w:r>
      <w:r w:rsidR="009E545D">
        <w:rPr>
          <w:rFonts w:ascii="Arial" w:hAnsi="Arial" w:cs="Arial"/>
        </w:rPr>
        <w:t xml:space="preserve"> for Youth Support Services</w:t>
      </w:r>
      <w:r w:rsidR="00265ED4" w:rsidRPr="0016696A">
        <w:rPr>
          <w:rFonts w:ascii="Arial" w:hAnsi="Arial" w:cs="Arial"/>
        </w:rPr>
        <w:t xml:space="preserve"> </w:t>
      </w:r>
      <w:r w:rsidR="00047804" w:rsidRPr="0016696A">
        <w:rPr>
          <w:rFonts w:ascii="Arial" w:hAnsi="Arial" w:cs="Arial"/>
        </w:rPr>
        <w:t xml:space="preserve">– </w:t>
      </w:r>
      <w:hyperlink r:id="rId35" w:history="1">
        <w:r w:rsidR="009E545D" w:rsidRPr="00D8304F">
          <w:rPr>
            <w:rStyle w:val="Hyperlink"/>
            <w:rFonts w:ascii="Arial" w:hAnsi="Arial" w:cs="Arial"/>
          </w:rPr>
          <w:t>https://www.cyjma.qld.gov.au/resources/dcsyw/youth/youth-support-services/yscis-user-manual.pdf</w:t>
        </w:r>
      </w:hyperlink>
    </w:p>
    <w:p w14:paraId="4738145F" w14:textId="7C19855C" w:rsidR="009E545D" w:rsidRPr="002D2330" w:rsidRDefault="009E545D" w:rsidP="0042530D">
      <w:pPr>
        <w:pStyle w:val="ListParagraph"/>
        <w:numPr>
          <w:ilvl w:val="0"/>
          <w:numId w:val="10"/>
        </w:numPr>
        <w:spacing w:before="60" w:after="0" w:line="264" w:lineRule="auto"/>
        <w:contextualSpacing w:val="0"/>
        <w:rPr>
          <w:rStyle w:val="Hyperlink"/>
          <w:rFonts w:ascii="Arial" w:hAnsi="Arial" w:cs="Arial"/>
          <w:color w:val="auto"/>
          <w:u w:val="none"/>
        </w:rPr>
      </w:pPr>
      <w:r>
        <w:rPr>
          <w:rFonts w:ascii="Arial" w:hAnsi="Arial" w:cs="Arial"/>
        </w:rPr>
        <w:t xml:space="preserve">YSCIS Training Videos – </w:t>
      </w:r>
      <w:hyperlink r:id="rId36" w:history="1">
        <w:r w:rsidRPr="00D8304F">
          <w:rPr>
            <w:rStyle w:val="Hyperlink"/>
            <w:rFonts w:ascii="Arial" w:hAnsi="Arial" w:cs="Arial"/>
          </w:rPr>
          <w:t>https://www.cyjma.qld.gov.au/about-us/our-department/partners/youth</w:t>
        </w:r>
      </w:hyperlink>
    </w:p>
    <w:p w14:paraId="3C565464" w14:textId="77777777" w:rsidR="00ED0B77" w:rsidRDefault="00ED0B77" w:rsidP="00ED0B77">
      <w:pPr>
        <w:spacing w:line="264" w:lineRule="auto"/>
        <w:rPr>
          <w:rFonts w:cs="Arial"/>
        </w:rPr>
      </w:pPr>
    </w:p>
    <w:p w14:paraId="7A1E07F7" w14:textId="1F3B5D61" w:rsidR="002D2330" w:rsidRDefault="009B70E9" w:rsidP="00ED0B77">
      <w:pPr>
        <w:spacing w:line="264" w:lineRule="auto"/>
        <w:rPr>
          <w:rFonts w:cs="Arial"/>
        </w:rPr>
      </w:pPr>
      <w:r w:rsidRPr="009B70E9">
        <w:rPr>
          <w:rFonts w:cs="Arial"/>
        </w:rPr>
        <w:t>For further information regarding th</w:t>
      </w:r>
      <w:r w:rsidR="00145CE9">
        <w:rPr>
          <w:rFonts w:cs="Arial"/>
        </w:rPr>
        <w:t>is</w:t>
      </w:r>
      <w:r w:rsidRPr="009B70E9">
        <w:rPr>
          <w:rFonts w:cs="Arial"/>
        </w:rPr>
        <w:t xml:space="preserve"> </w:t>
      </w:r>
      <w:r w:rsidR="00145CE9">
        <w:rPr>
          <w:rFonts w:cs="Arial"/>
        </w:rPr>
        <w:t>s</w:t>
      </w:r>
      <w:r w:rsidRPr="009B70E9">
        <w:rPr>
          <w:rFonts w:cs="Arial"/>
        </w:rPr>
        <w:t>pecification, please contact your Contract Manager.</w:t>
      </w:r>
    </w:p>
    <w:p w14:paraId="5B617094" w14:textId="77777777" w:rsidR="00ED0B77" w:rsidRDefault="00ED0B77" w:rsidP="00ED0B77">
      <w:pPr>
        <w:spacing w:line="264" w:lineRule="auto"/>
        <w:rPr>
          <w:rFonts w:cs="Arial"/>
        </w:rPr>
      </w:pPr>
    </w:p>
    <w:p w14:paraId="3D2878E9" w14:textId="77777777" w:rsidR="00145CE9" w:rsidRDefault="00145CE9">
      <w:pPr>
        <w:rPr>
          <w:b/>
          <w:bCs/>
          <w:sz w:val="32"/>
          <w:szCs w:val="32"/>
        </w:rPr>
      </w:pPr>
      <w:r>
        <w:rPr>
          <w:b/>
          <w:bCs/>
          <w:sz w:val="32"/>
          <w:szCs w:val="32"/>
        </w:rPr>
        <w:br w:type="page"/>
      </w:r>
    </w:p>
    <w:p w14:paraId="5A219B56" w14:textId="437A129A" w:rsidR="00AE2AD7" w:rsidRPr="00AE2AD7" w:rsidRDefault="00AE2AD7" w:rsidP="00ED0B77">
      <w:pPr>
        <w:spacing w:before="120" w:after="120" w:line="264" w:lineRule="auto"/>
        <w:rPr>
          <w:b/>
          <w:bCs/>
          <w:sz w:val="32"/>
          <w:szCs w:val="32"/>
        </w:rPr>
      </w:pPr>
      <w:r w:rsidRPr="00AE2AD7">
        <w:rPr>
          <w:b/>
          <w:bCs/>
          <w:sz w:val="32"/>
          <w:szCs w:val="32"/>
        </w:rPr>
        <w:lastRenderedPageBreak/>
        <w:t>1</w:t>
      </w:r>
      <w:r w:rsidR="009B70E9">
        <w:rPr>
          <w:b/>
          <w:bCs/>
          <w:sz w:val="32"/>
          <w:szCs w:val="32"/>
        </w:rPr>
        <w:t>0</w:t>
      </w:r>
      <w:r w:rsidRPr="00AE2AD7">
        <w:rPr>
          <w:b/>
          <w:bCs/>
          <w:sz w:val="32"/>
          <w:szCs w:val="32"/>
        </w:rPr>
        <w:t xml:space="preserve">.  Report </w:t>
      </w:r>
      <w:r w:rsidR="003D17AB">
        <w:rPr>
          <w:b/>
          <w:bCs/>
          <w:sz w:val="32"/>
          <w:szCs w:val="32"/>
        </w:rPr>
        <w:t>t</w:t>
      </w:r>
      <w:r w:rsidRPr="00AE2AD7">
        <w:rPr>
          <w:b/>
          <w:bCs/>
          <w:sz w:val="32"/>
          <w:szCs w:val="32"/>
        </w:rPr>
        <w:t>emplates</w:t>
      </w:r>
    </w:p>
    <w:p w14:paraId="002F1D73" w14:textId="1067EB29" w:rsidR="00AE2AD7" w:rsidRDefault="00AE2AD7" w:rsidP="00ED0B77">
      <w:pPr>
        <w:spacing w:line="264" w:lineRule="auto"/>
      </w:pPr>
      <w:r>
        <w:t>T</w:t>
      </w:r>
      <w:r w:rsidR="00695F35">
        <w:t>he following t</w:t>
      </w:r>
      <w:r w:rsidR="00DA45CE">
        <w:t>emplate</w:t>
      </w:r>
      <w:r>
        <w:t>s are provided</w:t>
      </w:r>
      <w:r w:rsidR="0016696A">
        <w:t xml:space="preserve"> </w:t>
      </w:r>
      <w:r w:rsidR="00695F35">
        <w:t>for Suppliers to use to report information as required under their Funding Schedule.</w:t>
      </w:r>
    </w:p>
    <w:p w14:paraId="2AF4C41C" w14:textId="108FCF31" w:rsidR="000879FF" w:rsidRDefault="000879FF" w:rsidP="00ED0B77">
      <w:pPr>
        <w:spacing w:before="120" w:after="120" w:line="264" w:lineRule="auto"/>
        <w:rPr>
          <w:b/>
          <w:bCs/>
          <w:sz w:val="22"/>
          <w:szCs w:val="22"/>
        </w:rPr>
      </w:pPr>
      <w:r>
        <w:rPr>
          <w:b/>
          <w:bCs/>
          <w:sz w:val="22"/>
          <w:szCs w:val="22"/>
        </w:rPr>
        <w:t>1</w:t>
      </w:r>
      <w:r w:rsidR="009B70E9">
        <w:rPr>
          <w:b/>
          <w:bCs/>
          <w:sz w:val="22"/>
          <w:szCs w:val="22"/>
        </w:rPr>
        <w:t>0</w:t>
      </w:r>
      <w:r>
        <w:rPr>
          <w:b/>
          <w:bCs/>
          <w:sz w:val="22"/>
          <w:szCs w:val="22"/>
        </w:rPr>
        <w:t xml:space="preserve">.1 </w:t>
      </w:r>
      <w:r w:rsidRPr="000879FF">
        <w:rPr>
          <w:b/>
          <w:bCs/>
          <w:sz w:val="22"/>
          <w:szCs w:val="22"/>
        </w:rPr>
        <w:t xml:space="preserve">Support </w:t>
      </w:r>
      <w:r w:rsidR="008B351C">
        <w:rPr>
          <w:b/>
          <w:bCs/>
          <w:sz w:val="22"/>
          <w:szCs w:val="22"/>
        </w:rPr>
        <w:t>and c</w:t>
      </w:r>
      <w:r w:rsidRPr="000879FF">
        <w:rPr>
          <w:b/>
          <w:bCs/>
          <w:sz w:val="22"/>
          <w:szCs w:val="22"/>
        </w:rPr>
        <w:t xml:space="preserve">ase </w:t>
      </w:r>
      <w:r w:rsidR="008B351C">
        <w:rPr>
          <w:b/>
          <w:bCs/>
          <w:sz w:val="22"/>
          <w:szCs w:val="22"/>
        </w:rPr>
        <w:t>m</w:t>
      </w:r>
      <w:r w:rsidRPr="000879FF">
        <w:rPr>
          <w:b/>
          <w:bCs/>
          <w:sz w:val="22"/>
          <w:szCs w:val="22"/>
        </w:rPr>
        <w:t>anagement (T314)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879FF" w:rsidRPr="003563BF" w14:paraId="47E94225" w14:textId="77777777" w:rsidTr="000879FF">
        <w:trPr>
          <w:trHeight w:val="515"/>
        </w:trPr>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89FCF3" w14:textId="025AEBA2" w:rsidR="000879FF" w:rsidRPr="000879FF" w:rsidRDefault="000879FF" w:rsidP="00ED0B77">
            <w:pPr>
              <w:spacing w:before="40" w:after="40"/>
              <w:rPr>
                <w:rFonts w:eastAsia="Calibri"/>
                <w:b/>
                <w:bCs/>
                <w:sz w:val="24"/>
                <w:szCs w:val="24"/>
                <w:lang w:eastAsia="en-US"/>
              </w:rPr>
            </w:pPr>
            <w:r>
              <w:rPr>
                <w:rFonts w:eastAsia="Calibri"/>
                <w:b/>
                <w:bCs/>
                <w:sz w:val="24"/>
                <w:szCs w:val="24"/>
                <w:lang w:eastAsia="en-US"/>
              </w:rPr>
              <w:t xml:space="preserve">De-identified </w:t>
            </w:r>
            <w:r w:rsidRPr="000879FF">
              <w:rPr>
                <w:rFonts w:eastAsia="Calibri"/>
                <w:b/>
                <w:bCs/>
                <w:sz w:val="24"/>
                <w:szCs w:val="24"/>
                <w:lang w:eastAsia="en-US"/>
              </w:rPr>
              <w:t xml:space="preserve">Case Study </w:t>
            </w:r>
          </w:p>
          <w:p w14:paraId="22F263BE" w14:textId="43739213" w:rsidR="000879FF" w:rsidRPr="000879FF" w:rsidRDefault="000879FF" w:rsidP="00ED0B77">
            <w:pPr>
              <w:spacing w:before="40" w:after="40"/>
              <w:rPr>
                <w:rFonts w:eastAsia="Calibri"/>
                <w:lang w:eastAsia="en-US"/>
              </w:rPr>
            </w:pPr>
            <w:r w:rsidRPr="000879FF">
              <w:rPr>
                <w:rFonts w:eastAsia="Calibri"/>
                <w:bCs/>
                <w:lang w:eastAsia="en-US"/>
              </w:rPr>
              <w:t>(Young People Investment Specification item 6.3.1)</w:t>
            </w:r>
          </w:p>
        </w:tc>
      </w:tr>
      <w:tr w:rsidR="000879FF" w:rsidRPr="003563BF" w14:paraId="4DF3F2F2" w14:textId="77777777" w:rsidTr="000879FF">
        <w:trPr>
          <w:trHeight w:val="515"/>
        </w:trPr>
        <w:tc>
          <w:tcPr>
            <w:tcW w:w="9350" w:type="dxa"/>
            <w:tcBorders>
              <w:top w:val="single" w:sz="4" w:space="0" w:color="auto"/>
              <w:left w:val="single" w:sz="4" w:space="0" w:color="auto"/>
              <w:bottom w:val="single" w:sz="4" w:space="0" w:color="auto"/>
              <w:right w:val="single" w:sz="4" w:space="0" w:color="auto"/>
            </w:tcBorders>
            <w:shd w:val="clear" w:color="auto" w:fill="auto"/>
            <w:vAlign w:val="center"/>
          </w:tcPr>
          <w:p w14:paraId="5BB87907" w14:textId="77777777" w:rsidR="000879FF" w:rsidRDefault="000879FF" w:rsidP="00ED0B77">
            <w:pPr>
              <w:spacing w:before="40" w:after="40"/>
              <w:rPr>
                <w:b/>
              </w:rPr>
            </w:pPr>
            <w:r w:rsidRPr="003563BF">
              <w:rPr>
                <w:b/>
              </w:rPr>
              <w:t xml:space="preserve">Service name: </w:t>
            </w:r>
            <w:bookmarkStart w:id="185" w:name="_Hlk64279900"/>
            <w:r w:rsidRPr="003563BF">
              <w:rPr>
                <w:shd w:val="clear" w:color="auto" w:fill="C0C0C0"/>
              </w:rPr>
              <w:t>Insert</w:t>
            </w:r>
            <w:bookmarkEnd w:id="185"/>
            <w:r w:rsidRPr="003563BF">
              <w:rPr>
                <w:b/>
              </w:rPr>
              <w:t xml:space="preserve"> </w:t>
            </w:r>
          </w:p>
          <w:p w14:paraId="53500A7E" w14:textId="4F07DBD5" w:rsidR="000879FF" w:rsidRPr="003563BF" w:rsidRDefault="000879FF" w:rsidP="00ED0B77">
            <w:pPr>
              <w:spacing w:before="40" w:after="40"/>
              <w:rPr>
                <w:b/>
                <w:snapToGrid w:val="0"/>
              </w:rPr>
            </w:pPr>
            <w:r>
              <w:rPr>
                <w:b/>
              </w:rPr>
              <w:t>S</w:t>
            </w:r>
            <w:r w:rsidRPr="003563BF">
              <w:rPr>
                <w:b/>
                <w:snapToGrid w:val="0"/>
              </w:rPr>
              <w:t xml:space="preserve">ervice Number: </w:t>
            </w:r>
            <w:r w:rsidRPr="003563BF">
              <w:rPr>
                <w:shd w:val="clear" w:color="auto" w:fill="C0C0C0"/>
              </w:rPr>
              <w:t>Insert</w:t>
            </w:r>
          </w:p>
          <w:p w14:paraId="5DD19FFF" w14:textId="40AF6F85" w:rsidR="000879FF" w:rsidRPr="003563BF" w:rsidRDefault="000879FF" w:rsidP="00ED0B77">
            <w:pPr>
              <w:spacing w:before="40" w:after="40"/>
              <w:rPr>
                <w:rFonts w:eastAsia="Calibri"/>
                <w:b/>
                <w:lang w:eastAsia="en-US"/>
              </w:rPr>
            </w:pPr>
            <w:r w:rsidRPr="003563BF">
              <w:rPr>
                <w:b/>
                <w:bCs/>
              </w:rPr>
              <w:t>Quarter from:</w:t>
            </w:r>
            <w:r w:rsidRPr="003563BF">
              <w:t xml:space="preserve"> </w:t>
            </w:r>
            <w:r w:rsidRPr="003563BF">
              <w:rPr>
                <w:shd w:val="clear" w:color="auto" w:fill="C0C0C0"/>
              </w:rPr>
              <w:t>insert start date</w:t>
            </w:r>
            <w:r w:rsidRPr="003563BF">
              <w:t xml:space="preserve"> to </w:t>
            </w:r>
            <w:r w:rsidRPr="003563BF">
              <w:rPr>
                <w:shd w:val="clear" w:color="auto" w:fill="C0C0C0"/>
              </w:rPr>
              <w:t>insert end date</w:t>
            </w:r>
            <w:r w:rsidRPr="003563BF">
              <w:rPr>
                <w:sz w:val="28"/>
                <w:szCs w:val="28"/>
              </w:rPr>
              <w:t xml:space="preserve"> </w:t>
            </w:r>
            <w:r w:rsidRPr="003563BF">
              <w:rPr>
                <w:sz w:val="32"/>
                <w:szCs w:val="32"/>
              </w:rPr>
              <w:t xml:space="preserve">   </w:t>
            </w:r>
          </w:p>
        </w:tc>
      </w:tr>
      <w:tr w:rsidR="003563BF" w:rsidRPr="003563BF" w14:paraId="03B61A2E" w14:textId="77777777" w:rsidTr="000879FF">
        <w:trPr>
          <w:trHeight w:val="515"/>
        </w:trPr>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3AE028" w14:textId="77777777" w:rsidR="003563BF" w:rsidRPr="003563BF" w:rsidRDefault="003563BF" w:rsidP="00ED0B77">
            <w:pPr>
              <w:spacing w:before="40" w:after="40"/>
              <w:rPr>
                <w:rFonts w:eastAsia="Calibri"/>
                <w:b/>
                <w:lang w:eastAsia="en-US"/>
              </w:rPr>
            </w:pPr>
            <w:r w:rsidRPr="003563BF">
              <w:rPr>
                <w:rFonts w:eastAsia="Calibri"/>
                <w:b/>
                <w:lang w:eastAsia="en-US"/>
              </w:rPr>
              <w:t xml:space="preserve">Was </w:t>
            </w:r>
            <w:r w:rsidRPr="003563BF">
              <w:rPr>
                <w:rFonts w:eastAsia="Calibri"/>
                <w:b/>
                <w:shd w:val="clear" w:color="auto" w:fill="D0CECE" w:themeFill="background2" w:themeFillShade="E6"/>
                <w:lang w:eastAsia="en-US"/>
              </w:rPr>
              <w:t>the young person a referral (self, external or internal) or identified through outreach services?</w:t>
            </w:r>
          </w:p>
        </w:tc>
      </w:tr>
      <w:tr w:rsidR="003563BF" w:rsidRPr="003563BF" w14:paraId="7DF14BE3" w14:textId="77777777" w:rsidTr="000879FF">
        <w:tc>
          <w:tcPr>
            <w:tcW w:w="9350" w:type="dxa"/>
            <w:tcBorders>
              <w:top w:val="single" w:sz="4" w:space="0" w:color="auto"/>
              <w:left w:val="single" w:sz="4" w:space="0" w:color="auto"/>
              <w:bottom w:val="single" w:sz="4" w:space="0" w:color="auto"/>
              <w:right w:val="single" w:sz="4" w:space="0" w:color="auto"/>
            </w:tcBorders>
          </w:tcPr>
          <w:p w14:paraId="7C16FA4C" w14:textId="77777777" w:rsidR="003563BF" w:rsidRPr="003563BF" w:rsidRDefault="003563BF" w:rsidP="00ED0B77">
            <w:pPr>
              <w:tabs>
                <w:tab w:val="left" w:pos="720"/>
              </w:tabs>
              <w:spacing w:before="40" w:after="40"/>
              <w:rPr>
                <w:b/>
              </w:rPr>
            </w:pPr>
          </w:p>
          <w:p w14:paraId="188D4087" w14:textId="77777777" w:rsidR="003563BF" w:rsidRPr="003563BF" w:rsidRDefault="003563BF" w:rsidP="00ED0B77">
            <w:pPr>
              <w:tabs>
                <w:tab w:val="left" w:pos="720"/>
              </w:tabs>
              <w:spacing w:before="40" w:after="40"/>
              <w:rPr>
                <w:b/>
              </w:rPr>
            </w:pPr>
          </w:p>
        </w:tc>
      </w:tr>
      <w:tr w:rsidR="003563BF" w:rsidRPr="003563BF" w14:paraId="71976996" w14:textId="77777777" w:rsidTr="000879FF">
        <w:trPr>
          <w:trHeight w:val="515"/>
        </w:trPr>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CF9434B" w14:textId="77777777" w:rsidR="003563BF" w:rsidRPr="003563BF" w:rsidRDefault="003563BF" w:rsidP="00ED0B77">
            <w:pPr>
              <w:spacing w:before="40" w:after="40"/>
              <w:rPr>
                <w:rFonts w:eastAsia="Calibri"/>
                <w:b/>
                <w:lang w:eastAsia="en-US"/>
              </w:rPr>
            </w:pPr>
            <w:r w:rsidRPr="003563BF">
              <w:rPr>
                <w:rFonts w:eastAsia="Calibri"/>
                <w:b/>
                <w:lang w:eastAsia="en-US"/>
              </w:rPr>
              <w:t>Needs of the young person at assessment:</w:t>
            </w:r>
          </w:p>
        </w:tc>
      </w:tr>
      <w:tr w:rsidR="003563BF" w:rsidRPr="003563BF" w14:paraId="5A68859B" w14:textId="77777777" w:rsidTr="000879FF">
        <w:tc>
          <w:tcPr>
            <w:tcW w:w="9350" w:type="dxa"/>
            <w:tcBorders>
              <w:top w:val="single" w:sz="4" w:space="0" w:color="auto"/>
              <w:left w:val="single" w:sz="4" w:space="0" w:color="auto"/>
              <w:bottom w:val="single" w:sz="4" w:space="0" w:color="auto"/>
              <w:right w:val="single" w:sz="4" w:space="0" w:color="auto"/>
            </w:tcBorders>
          </w:tcPr>
          <w:p w14:paraId="58BA9B6C" w14:textId="77777777" w:rsidR="003563BF" w:rsidRPr="003563BF" w:rsidRDefault="003563BF" w:rsidP="00ED0B77">
            <w:pPr>
              <w:tabs>
                <w:tab w:val="left" w:pos="720"/>
              </w:tabs>
              <w:spacing w:before="40" w:after="40"/>
            </w:pPr>
          </w:p>
          <w:p w14:paraId="09E968DC" w14:textId="77777777" w:rsidR="003563BF" w:rsidRPr="003563BF" w:rsidRDefault="003563BF" w:rsidP="00ED0B77">
            <w:pPr>
              <w:tabs>
                <w:tab w:val="left" w:pos="720"/>
              </w:tabs>
              <w:spacing w:before="40" w:after="40"/>
              <w:rPr>
                <w:b/>
              </w:rPr>
            </w:pPr>
          </w:p>
        </w:tc>
      </w:tr>
      <w:tr w:rsidR="003563BF" w:rsidRPr="003563BF" w14:paraId="533334B3" w14:textId="77777777" w:rsidTr="000879FF">
        <w:trPr>
          <w:trHeight w:val="515"/>
        </w:trPr>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DA624C" w14:textId="3DD341A9" w:rsidR="003563BF" w:rsidRPr="003563BF" w:rsidRDefault="003563BF" w:rsidP="00ED0B77">
            <w:pPr>
              <w:spacing w:before="40" w:after="40"/>
              <w:rPr>
                <w:rFonts w:eastAsia="Calibri"/>
                <w:b/>
                <w:lang w:eastAsia="en-US"/>
              </w:rPr>
            </w:pPr>
            <w:r w:rsidRPr="003563BF">
              <w:rPr>
                <w:rFonts w:eastAsia="Calibri"/>
                <w:b/>
                <w:lang w:eastAsia="en-US"/>
              </w:rPr>
              <w:t>Describe how the service developed a response to meet the needs of the Service User, e</w:t>
            </w:r>
            <w:r w:rsidR="00BC1E79">
              <w:rPr>
                <w:rFonts w:eastAsia="Calibri"/>
                <w:b/>
                <w:lang w:eastAsia="en-US"/>
              </w:rPr>
              <w:t>.</w:t>
            </w:r>
            <w:r w:rsidRPr="003563BF">
              <w:rPr>
                <w:rFonts w:eastAsia="Calibri"/>
                <w:b/>
                <w:lang w:eastAsia="en-US"/>
              </w:rPr>
              <w:t>g</w:t>
            </w:r>
            <w:r w:rsidR="00132B3F">
              <w:rPr>
                <w:rFonts w:eastAsia="Calibri"/>
                <w:b/>
                <w:lang w:eastAsia="en-US"/>
              </w:rPr>
              <w:t>.</w:t>
            </w:r>
            <w:r w:rsidRPr="003563BF">
              <w:rPr>
                <w:rFonts w:eastAsia="Calibri"/>
                <w:b/>
                <w:lang w:eastAsia="en-US"/>
              </w:rPr>
              <w:t>:</w:t>
            </w:r>
          </w:p>
          <w:p w14:paraId="32F9F964" w14:textId="77777777" w:rsidR="003563BF" w:rsidRPr="003563BF" w:rsidRDefault="003563BF" w:rsidP="0042530D">
            <w:pPr>
              <w:numPr>
                <w:ilvl w:val="0"/>
                <w:numId w:val="4"/>
              </w:numPr>
              <w:spacing w:before="40" w:after="40"/>
              <w:rPr>
                <w:rFonts w:eastAsia="Calibri"/>
                <w:lang w:eastAsia="en-US"/>
              </w:rPr>
            </w:pPr>
            <w:r w:rsidRPr="003563BF">
              <w:rPr>
                <w:rFonts w:eastAsia="Calibri"/>
                <w:lang w:eastAsia="en-US"/>
              </w:rPr>
              <w:t>case plan/goals established</w:t>
            </w:r>
          </w:p>
          <w:p w14:paraId="3AE14DDD" w14:textId="77777777" w:rsidR="003563BF" w:rsidRPr="003563BF" w:rsidRDefault="003563BF" w:rsidP="0042530D">
            <w:pPr>
              <w:numPr>
                <w:ilvl w:val="0"/>
                <w:numId w:val="4"/>
              </w:numPr>
              <w:spacing w:before="40" w:after="40"/>
              <w:rPr>
                <w:rFonts w:eastAsia="Calibri"/>
                <w:lang w:eastAsia="en-US"/>
              </w:rPr>
            </w:pPr>
            <w:r w:rsidRPr="003563BF">
              <w:rPr>
                <w:rFonts w:eastAsia="Calibri"/>
                <w:lang w:eastAsia="en-US"/>
              </w:rPr>
              <w:t>referral to specialist services</w:t>
            </w:r>
          </w:p>
          <w:p w14:paraId="7074FDA2" w14:textId="77777777" w:rsidR="003563BF" w:rsidRPr="003563BF" w:rsidRDefault="003563BF" w:rsidP="0042530D">
            <w:pPr>
              <w:numPr>
                <w:ilvl w:val="0"/>
                <w:numId w:val="4"/>
              </w:numPr>
              <w:spacing w:before="40" w:after="40"/>
              <w:rPr>
                <w:rFonts w:eastAsia="Calibri"/>
                <w:lang w:eastAsia="en-US"/>
              </w:rPr>
            </w:pPr>
            <w:r w:rsidRPr="003563BF">
              <w:rPr>
                <w:rFonts w:eastAsia="Calibri"/>
                <w:lang w:eastAsia="en-US"/>
              </w:rPr>
              <w:t>brokerage to assist in meeting goals</w:t>
            </w:r>
          </w:p>
        </w:tc>
      </w:tr>
      <w:tr w:rsidR="003563BF" w:rsidRPr="003563BF" w14:paraId="7203F255" w14:textId="77777777" w:rsidTr="000879FF">
        <w:tc>
          <w:tcPr>
            <w:tcW w:w="9350" w:type="dxa"/>
            <w:tcBorders>
              <w:top w:val="single" w:sz="4" w:space="0" w:color="auto"/>
              <w:left w:val="single" w:sz="4" w:space="0" w:color="auto"/>
              <w:bottom w:val="single" w:sz="4" w:space="0" w:color="auto"/>
              <w:right w:val="single" w:sz="4" w:space="0" w:color="auto"/>
            </w:tcBorders>
          </w:tcPr>
          <w:p w14:paraId="6E7992D0" w14:textId="77777777" w:rsidR="003563BF" w:rsidRPr="003563BF" w:rsidRDefault="003563BF" w:rsidP="00ED0B77">
            <w:pPr>
              <w:tabs>
                <w:tab w:val="left" w:pos="720"/>
              </w:tabs>
              <w:spacing w:before="40" w:after="40"/>
            </w:pPr>
          </w:p>
          <w:p w14:paraId="490222F5" w14:textId="77777777" w:rsidR="003563BF" w:rsidRPr="003563BF" w:rsidRDefault="003563BF" w:rsidP="00ED0B77">
            <w:pPr>
              <w:tabs>
                <w:tab w:val="left" w:pos="720"/>
              </w:tabs>
              <w:spacing w:before="40" w:after="40"/>
              <w:rPr>
                <w:b/>
              </w:rPr>
            </w:pPr>
          </w:p>
        </w:tc>
      </w:tr>
      <w:tr w:rsidR="003563BF" w:rsidRPr="003563BF" w14:paraId="50A72B3F" w14:textId="77777777" w:rsidTr="000879FF">
        <w:trPr>
          <w:trHeight w:val="515"/>
        </w:trPr>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74A536" w14:textId="17B680B1" w:rsidR="003563BF" w:rsidRPr="003563BF" w:rsidRDefault="003563BF" w:rsidP="00ED0B77">
            <w:pPr>
              <w:spacing w:before="40" w:after="40"/>
              <w:rPr>
                <w:rFonts w:eastAsia="Calibri"/>
                <w:b/>
                <w:lang w:eastAsia="en-US"/>
              </w:rPr>
            </w:pPr>
            <w:r w:rsidRPr="003563BF">
              <w:rPr>
                <w:rFonts w:eastAsia="Calibri"/>
                <w:b/>
                <w:lang w:eastAsia="en-US"/>
              </w:rPr>
              <w:t xml:space="preserve">Provide 2–3 sentences describing the outcome/s for the Service User:  </w:t>
            </w:r>
          </w:p>
          <w:p w14:paraId="40993586" w14:textId="4F73D041" w:rsidR="003563BF" w:rsidRPr="003563BF" w:rsidRDefault="003563BF" w:rsidP="0042530D">
            <w:pPr>
              <w:numPr>
                <w:ilvl w:val="0"/>
                <w:numId w:val="5"/>
              </w:numPr>
              <w:spacing w:before="40" w:after="40"/>
              <w:rPr>
                <w:rFonts w:eastAsia="Calibri"/>
                <w:lang w:eastAsia="en-US"/>
              </w:rPr>
            </w:pPr>
          </w:p>
        </w:tc>
      </w:tr>
      <w:tr w:rsidR="003563BF" w:rsidRPr="003563BF" w14:paraId="313235A4" w14:textId="77777777" w:rsidTr="000879FF">
        <w:tc>
          <w:tcPr>
            <w:tcW w:w="9350" w:type="dxa"/>
            <w:tcBorders>
              <w:top w:val="single" w:sz="4" w:space="0" w:color="auto"/>
              <w:left w:val="single" w:sz="4" w:space="0" w:color="auto"/>
              <w:bottom w:val="single" w:sz="4" w:space="0" w:color="auto"/>
              <w:right w:val="single" w:sz="4" w:space="0" w:color="auto"/>
            </w:tcBorders>
          </w:tcPr>
          <w:p w14:paraId="3832FA5C" w14:textId="77777777" w:rsidR="003563BF" w:rsidRPr="003563BF" w:rsidRDefault="003563BF" w:rsidP="00ED0B77">
            <w:pPr>
              <w:tabs>
                <w:tab w:val="left" w:pos="720"/>
              </w:tabs>
              <w:spacing w:before="40" w:after="40"/>
            </w:pPr>
          </w:p>
          <w:p w14:paraId="16BB7989" w14:textId="77777777" w:rsidR="003563BF" w:rsidRPr="003563BF" w:rsidRDefault="003563BF" w:rsidP="00ED0B77">
            <w:pPr>
              <w:tabs>
                <w:tab w:val="left" w:pos="720"/>
              </w:tabs>
              <w:spacing w:before="40" w:after="40"/>
              <w:rPr>
                <w:b/>
              </w:rPr>
            </w:pPr>
          </w:p>
        </w:tc>
      </w:tr>
      <w:tr w:rsidR="003563BF" w:rsidRPr="003563BF" w14:paraId="41A9B977" w14:textId="77777777" w:rsidTr="000879FF">
        <w:trPr>
          <w:trHeight w:val="515"/>
        </w:trPr>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E40A93F" w14:textId="77777777" w:rsidR="003563BF" w:rsidRPr="003563BF" w:rsidRDefault="003563BF" w:rsidP="00ED0B77">
            <w:pPr>
              <w:spacing w:before="40" w:after="40"/>
              <w:rPr>
                <w:rFonts w:ascii="Calibri" w:eastAsia="Calibri" w:hAnsi="Calibri"/>
                <w:b/>
                <w:lang w:eastAsia="en-US"/>
              </w:rPr>
            </w:pPr>
            <w:r w:rsidRPr="003563BF">
              <w:rPr>
                <w:rFonts w:eastAsia="Calibri"/>
                <w:b/>
                <w:lang w:eastAsia="en-US"/>
              </w:rPr>
              <w:t>How long was the young person involved with the organisation/service?</w:t>
            </w:r>
            <w:r w:rsidRPr="003563BF">
              <w:rPr>
                <w:rFonts w:ascii="Calibri" w:eastAsia="Calibri" w:hAnsi="Calibri"/>
                <w:b/>
                <w:lang w:eastAsia="en-US"/>
              </w:rPr>
              <w:tab/>
            </w:r>
          </w:p>
        </w:tc>
      </w:tr>
      <w:tr w:rsidR="003563BF" w:rsidRPr="003563BF" w14:paraId="591C1E7B" w14:textId="77777777" w:rsidTr="000879FF">
        <w:tc>
          <w:tcPr>
            <w:tcW w:w="9350" w:type="dxa"/>
            <w:tcBorders>
              <w:top w:val="single" w:sz="4" w:space="0" w:color="auto"/>
              <w:left w:val="single" w:sz="4" w:space="0" w:color="auto"/>
              <w:bottom w:val="single" w:sz="4" w:space="0" w:color="auto"/>
              <w:right w:val="single" w:sz="4" w:space="0" w:color="auto"/>
            </w:tcBorders>
          </w:tcPr>
          <w:p w14:paraId="273CF382" w14:textId="77777777" w:rsidR="003563BF" w:rsidRPr="003563BF" w:rsidRDefault="003563BF" w:rsidP="00ED0B77">
            <w:pPr>
              <w:tabs>
                <w:tab w:val="left" w:pos="720"/>
              </w:tabs>
              <w:spacing w:before="40" w:after="40"/>
            </w:pPr>
          </w:p>
          <w:p w14:paraId="68567D91" w14:textId="77777777" w:rsidR="003563BF" w:rsidRPr="003563BF" w:rsidRDefault="003563BF" w:rsidP="00ED0B77">
            <w:pPr>
              <w:tabs>
                <w:tab w:val="left" w:pos="720"/>
              </w:tabs>
              <w:spacing w:before="40" w:after="40"/>
              <w:rPr>
                <w:b/>
              </w:rPr>
            </w:pPr>
          </w:p>
        </w:tc>
      </w:tr>
    </w:tbl>
    <w:p w14:paraId="0AF08087" w14:textId="4DA178A9" w:rsidR="00CA5B2E" w:rsidRDefault="00CA5B2E" w:rsidP="0001770D">
      <w:pPr>
        <w:sectPr w:rsidR="00CA5B2E" w:rsidSect="00CA5B2E">
          <w:headerReference w:type="even" r:id="rId37"/>
          <w:headerReference w:type="default" r:id="rId38"/>
          <w:footerReference w:type="even" r:id="rId39"/>
          <w:headerReference w:type="first" r:id="rId40"/>
          <w:footerReference w:type="first" r:id="rId41"/>
          <w:pgSz w:w="11906" w:h="16838"/>
          <w:pgMar w:top="964" w:right="1287" w:bottom="1077" w:left="1259" w:header="709" w:footer="425" w:gutter="0"/>
          <w:cols w:space="709"/>
          <w:titlePg/>
          <w:docGrid w:linePitch="360"/>
        </w:sectPr>
      </w:pPr>
      <w:r>
        <w:br w:type="page"/>
      </w:r>
    </w:p>
    <w:p w14:paraId="4FA79EF8" w14:textId="1D96723B" w:rsidR="0001770D" w:rsidRDefault="0001770D" w:rsidP="0001770D"/>
    <w:p w14:paraId="2C58A9BA" w14:textId="2116C6C9" w:rsidR="000879FF" w:rsidRPr="000879FF" w:rsidRDefault="000879FF" w:rsidP="00501854">
      <w:pPr>
        <w:spacing w:before="120" w:after="120" w:line="264" w:lineRule="auto"/>
        <w:rPr>
          <w:b/>
          <w:bCs/>
          <w:sz w:val="22"/>
          <w:szCs w:val="22"/>
        </w:rPr>
      </w:pPr>
      <w:r w:rsidRPr="000879FF">
        <w:rPr>
          <w:b/>
          <w:bCs/>
          <w:sz w:val="22"/>
          <w:szCs w:val="22"/>
        </w:rPr>
        <w:t>1</w:t>
      </w:r>
      <w:r w:rsidR="009B70E9">
        <w:rPr>
          <w:b/>
          <w:bCs/>
          <w:sz w:val="22"/>
          <w:szCs w:val="22"/>
        </w:rPr>
        <w:t>0</w:t>
      </w:r>
      <w:r w:rsidRPr="000879FF">
        <w:rPr>
          <w:b/>
          <w:bCs/>
          <w:sz w:val="22"/>
          <w:szCs w:val="22"/>
        </w:rPr>
        <w:t xml:space="preserve">.2 Community </w:t>
      </w:r>
      <w:r w:rsidR="008B351C">
        <w:rPr>
          <w:b/>
          <w:bCs/>
          <w:sz w:val="22"/>
          <w:szCs w:val="22"/>
        </w:rPr>
        <w:t>s</w:t>
      </w:r>
      <w:r w:rsidRPr="000879FF">
        <w:rPr>
          <w:b/>
          <w:bCs/>
          <w:sz w:val="22"/>
          <w:szCs w:val="22"/>
        </w:rPr>
        <w:t>upport (T317)</w:t>
      </w:r>
    </w:p>
    <w:p w14:paraId="3BA86139" w14:textId="125BE61D" w:rsidR="005A70E5" w:rsidRDefault="000879FF" w:rsidP="00501854">
      <w:pPr>
        <w:spacing w:before="60" w:after="60" w:line="264" w:lineRule="auto"/>
        <w:rPr>
          <w:b/>
          <w:bCs/>
        </w:rPr>
      </w:pPr>
      <w:r w:rsidRPr="000879FF">
        <w:rPr>
          <w:b/>
          <w:bCs/>
        </w:rPr>
        <w:t>1</w:t>
      </w:r>
      <w:r w:rsidR="009B70E9">
        <w:rPr>
          <w:b/>
          <w:bCs/>
        </w:rPr>
        <w:t>0</w:t>
      </w:r>
      <w:r w:rsidRPr="000879FF">
        <w:rPr>
          <w:b/>
          <w:bCs/>
        </w:rPr>
        <w:t xml:space="preserve">.2.1 </w:t>
      </w:r>
      <w:r w:rsidR="005A70E5" w:rsidRPr="005A70E5">
        <w:rPr>
          <w:b/>
          <w:bCs/>
        </w:rPr>
        <w:t xml:space="preserve">Milestone Report – Programs, Events, Activities and Projects </w:t>
      </w:r>
    </w:p>
    <w:tbl>
      <w:tblPr>
        <w:tblW w:w="4887" w:type="pct"/>
        <w:tblInd w:w="2" w:type="dxa"/>
        <w:tblLayout w:type="fixed"/>
        <w:tblCellMar>
          <w:top w:w="55" w:type="dxa"/>
          <w:left w:w="55" w:type="dxa"/>
          <w:bottom w:w="55" w:type="dxa"/>
          <w:right w:w="55" w:type="dxa"/>
        </w:tblCellMar>
        <w:tblLook w:val="04A0" w:firstRow="1" w:lastRow="0" w:firstColumn="1" w:lastColumn="0" w:noHBand="0" w:noVBand="1"/>
      </w:tblPr>
      <w:tblGrid>
        <w:gridCol w:w="988"/>
        <w:gridCol w:w="1558"/>
        <w:gridCol w:w="2978"/>
        <w:gridCol w:w="850"/>
        <w:gridCol w:w="850"/>
        <w:gridCol w:w="850"/>
        <w:gridCol w:w="1417"/>
        <w:gridCol w:w="4964"/>
      </w:tblGrid>
      <w:tr w:rsidR="000879FF" w14:paraId="264244D1" w14:textId="77777777" w:rsidTr="00501854">
        <w:trPr>
          <w:trHeight w:val="500"/>
          <w:tblHeader/>
        </w:trPr>
        <w:tc>
          <w:tcPr>
            <w:tcW w:w="5000" w:type="pct"/>
            <w:gridSpan w:val="8"/>
            <w:tcBorders>
              <w:top w:val="single" w:sz="2" w:space="0" w:color="000000"/>
              <w:left w:val="single" w:sz="2" w:space="0" w:color="000000"/>
              <w:bottom w:val="single" w:sz="2" w:space="0" w:color="000000"/>
              <w:right w:val="single" w:sz="4" w:space="0" w:color="auto"/>
            </w:tcBorders>
            <w:shd w:val="clear" w:color="auto" w:fill="D0CECE" w:themeFill="background2" w:themeFillShade="E6"/>
            <w:vAlign w:val="center"/>
          </w:tcPr>
          <w:p w14:paraId="1F207F80" w14:textId="77777777" w:rsidR="000879FF" w:rsidRPr="000879FF" w:rsidRDefault="000879FF" w:rsidP="00501854">
            <w:pPr>
              <w:tabs>
                <w:tab w:val="left" w:pos="720"/>
              </w:tabs>
              <w:spacing w:before="40" w:after="40" w:line="264" w:lineRule="auto"/>
              <w:rPr>
                <w:b/>
                <w:sz w:val="24"/>
                <w:szCs w:val="24"/>
              </w:rPr>
            </w:pPr>
            <w:r w:rsidRPr="000879FF">
              <w:rPr>
                <w:b/>
                <w:sz w:val="24"/>
                <w:szCs w:val="24"/>
              </w:rPr>
              <w:t>Milestone Report – Programs, Events, Activities and Projects</w:t>
            </w:r>
          </w:p>
          <w:p w14:paraId="373924B7" w14:textId="653A7006" w:rsidR="000879FF" w:rsidRPr="000879FF" w:rsidRDefault="000879FF" w:rsidP="00501854">
            <w:pPr>
              <w:tabs>
                <w:tab w:val="left" w:pos="720"/>
              </w:tabs>
              <w:spacing w:before="40" w:after="40" w:line="264" w:lineRule="auto"/>
              <w:rPr>
                <w:bCs/>
              </w:rPr>
            </w:pPr>
            <w:r w:rsidRPr="000879FF">
              <w:rPr>
                <w:bCs/>
              </w:rPr>
              <w:t>(Young People Investment Specification item 6.3.1)</w:t>
            </w:r>
          </w:p>
        </w:tc>
      </w:tr>
      <w:tr w:rsidR="000879FF" w14:paraId="319FA334" w14:textId="77777777" w:rsidTr="00501854">
        <w:trPr>
          <w:trHeight w:val="877"/>
          <w:tblHeader/>
        </w:trPr>
        <w:tc>
          <w:tcPr>
            <w:tcW w:w="5000" w:type="pct"/>
            <w:gridSpan w:val="8"/>
            <w:tcBorders>
              <w:top w:val="single" w:sz="2" w:space="0" w:color="000000"/>
              <w:left w:val="single" w:sz="2" w:space="0" w:color="000000"/>
              <w:bottom w:val="single" w:sz="2" w:space="0" w:color="000000"/>
              <w:right w:val="single" w:sz="4" w:space="0" w:color="auto"/>
            </w:tcBorders>
            <w:shd w:val="clear" w:color="auto" w:fill="auto"/>
            <w:vAlign w:val="center"/>
          </w:tcPr>
          <w:p w14:paraId="084C6DEC" w14:textId="77777777" w:rsidR="000879FF" w:rsidRDefault="000879FF" w:rsidP="00501854">
            <w:pPr>
              <w:spacing w:before="40" w:after="40" w:line="264" w:lineRule="auto"/>
              <w:rPr>
                <w:b/>
              </w:rPr>
            </w:pPr>
            <w:r w:rsidRPr="003563BF">
              <w:rPr>
                <w:b/>
              </w:rPr>
              <w:t xml:space="preserve">Service name: </w:t>
            </w:r>
            <w:r w:rsidRPr="003563BF">
              <w:rPr>
                <w:shd w:val="clear" w:color="auto" w:fill="C0C0C0"/>
              </w:rPr>
              <w:t>Insert</w:t>
            </w:r>
            <w:r w:rsidRPr="003563BF">
              <w:rPr>
                <w:b/>
              </w:rPr>
              <w:t xml:space="preserve"> </w:t>
            </w:r>
          </w:p>
          <w:p w14:paraId="7721B380" w14:textId="77777777" w:rsidR="000879FF" w:rsidRPr="003563BF" w:rsidRDefault="000879FF" w:rsidP="00501854">
            <w:pPr>
              <w:spacing w:before="40" w:after="40" w:line="264" w:lineRule="auto"/>
              <w:rPr>
                <w:b/>
                <w:snapToGrid w:val="0"/>
              </w:rPr>
            </w:pPr>
            <w:r>
              <w:rPr>
                <w:b/>
              </w:rPr>
              <w:t>S</w:t>
            </w:r>
            <w:r w:rsidRPr="003563BF">
              <w:rPr>
                <w:b/>
                <w:snapToGrid w:val="0"/>
              </w:rPr>
              <w:t xml:space="preserve">ervice Number: </w:t>
            </w:r>
            <w:r w:rsidRPr="003563BF">
              <w:rPr>
                <w:shd w:val="clear" w:color="auto" w:fill="C0C0C0"/>
              </w:rPr>
              <w:t>Insert</w:t>
            </w:r>
          </w:p>
          <w:p w14:paraId="3E71DFB3" w14:textId="62F01B40" w:rsidR="000879FF" w:rsidRPr="00EB21F5" w:rsidRDefault="000879FF" w:rsidP="00501854">
            <w:pPr>
              <w:tabs>
                <w:tab w:val="left" w:pos="720"/>
              </w:tabs>
              <w:spacing w:before="40" w:after="40" w:line="264" w:lineRule="auto"/>
              <w:rPr>
                <w:b/>
              </w:rPr>
            </w:pPr>
            <w:r w:rsidRPr="003563BF">
              <w:rPr>
                <w:b/>
                <w:bCs/>
              </w:rPr>
              <w:t>Quarter from:</w:t>
            </w:r>
            <w:r w:rsidRPr="003563BF">
              <w:t xml:space="preserve"> </w:t>
            </w:r>
            <w:r w:rsidRPr="003563BF">
              <w:rPr>
                <w:shd w:val="clear" w:color="auto" w:fill="C0C0C0"/>
              </w:rPr>
              <w:t>insert start date</w:t>
            </w:r>
            <w:r w:rsidRPr="003563BF">
              <w:t xml:space="preserve"> to </w:t>
            </w:r>
            <w:r w:rsidRPr="003563BF">
              <w:rPr>
                <w:shd w:val="clear" w:color="auto" w:fill="C0C0C0"/>
              </w:rPr>
              <w:t>insert end date</w:t>
            </w:r>
            <w:r w:rsidRPr="003563BF">
              <w:rPr>
                <w:sz w:val="28"/>
                <w:szCs w:val="28"/>
              </w:rPr>
              <w:t xml:space="preserve"> </w:t>
            </w:r>
            <w:r w:rsidRPr="003563BF">
              <w:rPr>
                <w:sz w:val="32"/>
                <w:szCs w:val="32"/>
              </w:rPr>
              <w:t xml:space="preserve">   </w:t>
            </w:r>
          </w:p>
        </w:tc>
      </w:tr>
      <w:tr w:rsidR="00EB03A3" w14:paraId="7B16BB29" w14:textId="77777777" w:rsidTr="00501854">
        <w:trPr>
          <w:trHeight w:val="683"/>
          <w:tblHeader/>
        </w:trPr>
        <w:tc>
          <w:tcPr>
            <w:tcW w:w="342" w:type="pct"/>
            <w:vMerge w:val="restart"/>
            <w:tcBorders>
              <w:top w:val="single" w:sz="2" w:space="0" w:color="000000"/>
              <w:left w:val="single" w:sz="2" w:space="0" w:color="000000"/>
              <w:right w:val="nil"/>
            </w:tcBorders>
            <w:shd w:val="clear" w:color="auto" w:fill="D0CECE" w:themeFill="background2" w:themeFillShade="E6"/>
            <w:vAlign w:val="center"/>
            <w:hideMark/>
          </w:tcPr>
          <w:p w14:paraId="599A105F" w14:textId="0BA6E501" w:rsidR="00EB03A3" w:rsidRPr="00EB21F5" w:rsidRDefault="00EB03A3" w:rsidP="00501854">
            <w:pPr>
              <w:tabs>
                <w:tab w:val="left" w:pos="720"/>
              </w:tabs>
              <w:spacing w:before="40" w:after="40" w:line="264" w:lineRule="auto"/>
              <w:jc w:val="center"/>
              <w:rPr>
                <w:b/>
              </w:rPr>
            </w:pPr>
            <w:r>
              <w:rPr>
                <w:b/>
              </w:rPr>
              <w:t>Date</w:t>
            </w:r>
          </w:p>
        </w:tc>
        <w:tc>
          <w:tcPr>
            <w:tcW w:w="539" w:type="pct"/>
            <w:vMerge w:val="restart"/>
            <w:tcBorders>
              <w:top w:val="single" w:sz="2" w:space="0" w:color="000000"/>
              <w:left w:val="single" w:sz="2" w:space="0" w:color="000000"/>
              <w:right w:val="nil"/>
            </w:tcBorders>
            <w:shd w:val="clear" w:color="auto" w:fill="D0CECE" w:themeFill="background2" w:themeFillShade="E6"/>
            <w:vAlign w:val="center"/>
            <w:hideMark/>
          </w:tcPr>
          <w:p w14:paraId="067304B3" w14:textId="7746FD1A" w:rsidR="00EB03A3" w:rsidRPr="00EB21F5" w:rsidRDefault="00EB03A3" w:rsidP="00501854">
            <w:pPr>
              <w:tabs>
                <w:tab w:val="left" w:pos="720"/>
              </w:tabs>
              <w:spacing w:before="40" w:after="40" w:line="264" w:lineRule="auto"/>
              <w:jc w:val="center"/>
              <w:rPr>
                <w:b/>
              </w:rPr>
            </w:pPr>
            <w:r>
              <w:rPr>
                <w:b/>
              </w:rPr>
              <w:t>Title</w:t>
            </w:r>
          </w:p>
        </w:tc>
        <w:tc>
          <w:tcPr>
            <w:tcW w:w="1030" w:type="pct"/>
            <w:vMerge w:val="restart"/>
            <w:tcBorders>
              <w:top w:val="single" w:sz="2" w:space="0" w:color="000000"/>
              <w:left w:val="single" w:sz="2" w:space="0" w:color="000000"/>
              <w:right w:val="nil"/>
            </w:tcBorders>
            <w:shd w:val="clear" w:color="auto" w:fill="D0CECE" w:themeFill="background2" w:themeFillShade="E6"/>
            <w:vAlign w:val="center"/>
          </w:tcPr>
          <w:p w14:paraId="4EA76142" w14:textId="144219CC" w:rsidR="00EB03A3" w:rsidRPr="00EB21F5" w:rsidRDefault="00EB03A3" w:rsidP="00501854">
            <w:pPr>
              <w:tabs>
                <w:tab w:val="left" w:pos="720"/>
              </w:tabs>
              <w:spacing w:before="40" w:after="40" w:line="264" w:lineRule="auto"/>
              <w:jc w:val="center"/>
              <w:rPr>
                <w:b/>
              </w:rPr>
            </w:pPr>
            <w:r>
              <w:rPr>
                <w:b/>
              </w:rPr>
              <w:t>Purpose</w:t>
            </w:r>
          </w:p>
        </w:tc>
        <w:tc>
          <w:tcPr>
            <w:tcW w:w="882" w:type="pct"/>
            <w:gridSpan w:val="3"/>
            <w:tcBorders>
              <w:top w:val="single" w:sz="2" w:space="0" w:color="000000"/>
              <w:left w:val="single" w:sz="2" w:space="0" w:color="000000"/>
              <w:bottom w:val="single" w:sz="2" w:space="0" w:color="000000"/>
              <w:right w:val="single" w:sz="4" w:space="0" w:color="auto"/>
            </w:tcBorders>
            <w:shd w:val="clear" w:color="auto" w:fill="D0CECE" w:themeFill="background2" w:themeFillShade="E6"/>
            <w:vAlign w:val="center"/>
          </w:tcPr>
          <w:p w14:paraId="2BD9276F" w14:textId="199B725F" w:rsidR="00EB03A3" w:rsidRPr="00EB21F5" w:rsidRDefault="00EB03A3" w:rsidP="00501854">
            <w:pPr>
              <w:tabs>
                <w:tab w:val="left" w:pos="720"/>
              </w:tabs>
              <w:spacing w:before="40" w:after="40" w:line="264" w:lineRule="auto"/>
              <w:jc w:val="center"/>
              <w:rPr>
                <w:b/>
              </w:rPr>
            </w:pPr>
            <w:r>
              <w:rPr>
                <w:b/>
              </w:rPr>
              <w:t>Number of Young People</w:t>
            </w:r>
          </w:p>
        </w:tc>
        <w:tc>
          <w:tcPr>
            <w:tcW w:w="490" w:type="pct"/>
            <w:vMerge w:val="restart"/>
            <w:tcBorders>
              <w:top w:val="single" w:sz="2" w:space="0" w:color="000000"/>
              <w:left w:val="single" w:sz="2" w:space="0" w:color="000000"/>
              <w:right w:val="single" w:sz="2" w:space="0" w:color="000000"/>
            </w:tcBorders>
            <w:shd w:val="clear" w:color="auto" w:fill="D0CECE" w:themeFill="background2" w:themeFillShade="E6"/>
            <w:vAlign w:val="center"/>
          </w:tcPr>
          <w:p w14:paraId="44CAA597" w14:textId="76582183" w:rsidR="00EB03A3" w:rsidRPr="00EB21F5" w:rsidRDefault="00EB03A3" w:rsidP="00501854">
            <w:pPr>
              <w:tabs>
                <w:tab w:val="left" w:pos="720"/>
              </w:tabs>
              <w:spacing w:before="40" w:after="40" w:line="264" w:lineRule="auto"/>
              <w:jc w:val="center"/>
              <w:rPr>
                <w:b/>
              </w:rPr>
            </w:pPr>
            <w:r w:rsidRPr="009B030D">
              <w:rPr>
                <w:b/>
              </w:rPr>
              <w:t xml:space="preserve">Number of Aboriginal and </w:t>
            </w:r>
            <w:r>
              <w:rPr>
                <w:b/>
              </w:rPr>
              <w:t xml:space="preserve">/ or </w:t>
            </w:r>
            <w:r w:rsidRPr="009B030D">
              <w:rPr>
                <w:b/>
              </w:rPr>
              <w:t>Torres Strait Islander participants</w:t>
            </w:r>
          </w:p>
        </w:tc>
        <w:tc>
          <w:tcPr>
            <w:tcW w:w="1716" w:type="pct"/>
            <w:vMerge w:val="restart"/>
            <w:tcBorders>
              <w:top w:val="single" w:sz="2" w:space="0" w:color="000000"/>
              <w:left w:val="single" w:sz="2" w:space="0" w:color="000000"/>
              <w:right w:val="single" w:sz="4" w:space="0" w:color="auto"/>
            </w:tcBorders>
            <w:shd w:val="clear" w:color="auto" w:fill="D0CECE" w:themeFill="background2" w:themeFillShade="E6"/>
            <w:vAlign w:val="center"/>
          </w:tcPr>
          <w:p w14:paraId="11399D6C" w14:textId="77777777" w:rsidR="00EB03A3" w:rsidRDefault="00EB03A3" w:rsidP="00501854">
            <w:pPr>
              <w:tabs>
                <w:tab w:val="left" w:pos="720"/>
              </w:tabs>
              <w:spacing w:before="40" w:after="40" w:line="264" w:lineRule="auto"/>
              <w:jc w:val="center"/>
              <w:rPr>
                <w:b/>
              </w:rPr>
            </w:pPr>
            <w:r>
              <w:rPr>
                <w:b/>
              </w:rPr>
              <w:t>Comments</w:t>
            </w:r>
          </w:p>
          <w:p w14:paraId="74EB1F25" w14:textId="2A9EB795" w:rsidR="00EB03A3" w:rsidRPr="009B030D" w:rsidRDefault="00EB03A3" w:rsidP="00501854">
            <w:pPr>
              <w:tabs>
                <w:tab w:val="left" w:pos="720"/>
              </w:tabs>
              <w:spacing w:before="40" w:after="40" w:line="264" w:lineRule="auto"/>
              <w:jc w:val="center"/>
              <w:rPr>
                <w:bCs/>
              </w:rPr>
            </w:pPr>
            <w:r w:rsidRPr="009B030D">
              <w:rPr>
                <w:bCs/>
              </w:rPr>
              <w:t>(</w:t>
            </w:r>
            <w:r>
              <w:rPr>
                <w:bCs/>
              </w:rPr>
              <w:t>O</w:t>
            </w:r>
            <w:r w:rsidRPr="009B030D">
              <w:rPr>
                <w:bCs/>
              </w:rPr>
              <w:t xml:space="preserve">utcomes for service users, </w:t>
            </w:r>
            <w:r>
              <w:rPr>
                <w:bCs/>
              </w:rPr>
              <w:t>emerging issues, referral and / or engagement in case management support, etc.)</w:t>
            </w:r>
          </w:p>
        </w:tc>
      </w:tr>
      <w:tr w:rsidR="00EB03A3" w14:paraId="2A1FDBDA" w14:textId="77777777" w:rsidTr="00501854">
        <w:trPr>
          <w:trHeight w:val="682"/>
          <w:tblHeader/>
        </w:trPr>
        <w:tc>
          <w:tcPr>
            <w:tcW w:w="342" w:type="pct"/>
            <w:vMerge/>
            <w:tcBorders>
              <w:left w:val="single" w:sz="2" w:space="0" w:color="000000"/>
              <w:bottom w:val="single" w:sz="2" w:space="0" w:color="000000"/>
              <w:right w:val="nil"/>
            </w:tcBorders>
            <w:shd w:val="clear" w:color="auto" w:fill="D0CECE" w:themeFill="background2" w:themeFillShade="E6"/>
            <w:vAlign w:val="center"/>
          </w:tcPr>
          <w:p w14:paraId="5CC39274" w14:textId="77777777" w:rsidR="009B030D" w:rsidRDefault="009B030D" w:rsidP="00501854">
            <w:pPr>
              <w:tabs>
                <w:tab w:val="left" w:pos="720"/>
              </w:tabs>
              <w:spacing w:before="40" w:after="40" w:line="264" w:lineRule="auto"/>
              <w:jc w:val="center"/>
              <w:rPr>
                <w:b/>
              </w:rPr>
            </w:pPr>
          </w:p>
        </w:tc>
        <w:tc>
          <w:tcPr>
            <w:tcW w:w="539" w:type="pct"/>
            <w:vMerge/>
            <w:tcBorders>
              <w:left w:val="single" w:sz="2" w:space="0" w:color="000000"/>
              <w:bottom w:val="single" w:sz="2" w:space="0" w:color="000000"/>
              <w:right w:val="nil"/>
            </w:tcBorders>
            <w:shd w:val="clear" w:color="auto" w:fill="D0CECE" w:themeFill="background2" w:themeFillShade="E6"/>
            <w:vAlign w:val="center"/>
          </w:tcPr>
          <w:p w14:paraId="55D6666C" w14:textId="77777777" w:rsidR="009B030D" w:rsidRDefault="009B030D" w:rsidP="00501854">
            <w:pPr>
              <w:tabs>
                <w:tab w:val="left" w:pos="720"/>
              </w:tabs>
              <w:spacing w:before="40" w:after="40" w:line="264" w:lineRule="auto"/>
              <w:jc w:val="center"/>
              <w:rPr>
                <w:b/>
              </w:rPr>
            </w:pPr>
          </w:p>
        </w:tc>
        <w:tc>
          <w:tcPr>
            <w:tcW w:w="1030" w:type="pct"/>
            <w:vMerge/>
            <w:tcBorders>
              <w:left w:val="single" w:sz="2" w:space="0" w:color="000000"/>
              <w:bottom w:val="single" w:sz="2" w:space="0" w:color="000000"/>
              <w:right w:val="nil"/>
            </w:tcBorders>
            <w:shd w:val="clear" w:color="auto" w:fill="D0CECE" w:themeFill="background2" w:themeFillShade="E6"/>
            <w:vAlign w:val="center"/>
          </w:tcPr>
          <w:p w14:paraId="1D2427DC" w14:textId="77777777" w:rsidR="009B030D" w:rsidRDefault="009B030D" w:rsidP="00501854">
            <w:pPr>
              <w:tabs>
                <w:tab w:val="left" w:pos="720"/>
              </w:tabs>
              <w:spacing w:before="40" w:after="40" w:line="264" w:lineRule="auto"/>
              <w:jc w:val="center"/>
              <w:rPr>
                <w:b/>
              </w:rPr>
            </w:pPr>
          </w:p>
        </w:tc>
        <w:tc>
          <w:tcPr>
            <w:tcW w:w="294" w:type="pct"/>
            <w:tcBorders>
              <w:top w:val="single" w:sz="2" w:space="0" w:color="000000"/>
              <w:left w:val="single" w:sz="2" w:space="0" w:color="000000"/>
              <w:bottom w:val="single" w:sz="2" w:space="0" w:color="000000"/>
              <w:right w:val="single" w:sz="4" w:space="0" w:color="auto"/>
            </w:tcBorders>
            <w:shd w:val="clear" w:color="auto" w:fill="D0CECE" w:themeFill="background2" w:themeFillShade="E6"/>
            <w:vAlign w:val="center"/>
          </w:tcPr>
          <w:p w14:paraId="0F19E89C" w14:textId="083BA7A3" w:rsidR="009B030D" w:rsidRDefault="009B030D" w:rsidP="00501854">
            <w:pPr>
              <w:tabs>
                <w:tab w:val="left" w:pos="720"/>
              </w:tabs>
              <w:spacing w:before="40" w:after="40" w:line="264" w:lineRule="auto"/>
              <w:jc w:val="center"/>
              <w:rPr>
                <w:b/>
              </w:rPr>
            </w:pPr>
            <w:r>
              <w:rPr>
                <w:b/>
              </w:rPr>
              <w:t>8-11 years</w:t>
            </w:r>
          </w:p>
        </w:tc>
        <w:tc>
          <w:tcPr>
            <w:tcW w:w="29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FD594C" w14:textId="75A8698E" w:rsidR="009B030D" w:rsidRPr="00EB21F5" w:rsidRDefault="009B030D" w:rsidP="00501854">
            <w:pPr>
              <w:tabs>
                <w:tab w:val="left" w:pos="720"/>
              </w:tabs>
              <w:spacing w:before="40" w:after="40" w:line="264" w:lineRule="auto"/>
              <w:jc w:val="center"/>
              <w:rPr>
                <w:b/>
              </w:rPr>
            </w:pPr>
            <w:r w:rsidRPr="009B030D">
              <w:rPr>
                <w:b/>
              </w:rPr>
              <w:t>12-</w:t>
            </w:r>
            <w:r>
              <w:rPr>
                <w:b/>
              </w:rPr>
              <w:t>16</w:t>
            </w:r>
            <w:r w:rsidRPr="009B030D">
              <w:rPr>
                <w:b/>
              </w:rPr>
              <w:t xml:space="preserve"> years</w:t>
            </w:r>
          </w:p>
        </w:tc>
        <w:tc>
          <w:tcPr>
            <w:tcW w:w="29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557B464" w14:textId="4F672D2C" w:rsidR="009B030D" w:rsidRPr="00EB21F5" w:rsidRDefault="009B030D" w:rsidP="00501854">
            <w:pPr>
              <w:tabs>
                <w:tab w:val="left" w:pos="720"/>
              </w:tabs>
              <w:spacing w:before="40" w:after="40" w:line="264" w:lineRule="auto"/>
              <w:jc w:val="center"/>
              <w:rPr>
                <w:b/>
              </w:rPr>
            </w:pPr>
            <w:r w:rsidRPr="009B030D">
              <w:rPr>
                <w:b/>
              </w:rPr>
              <w:t>1</w:t>
            </w:r>
            <w:r>
              <w:rPr>
                <w:b/>
              </w:rPr>
              <w:t>7</w:t>
            </w:r>
            <w:r w:rsidRPr="009B030D">
              <w:rPr>
                <w:b/>
              </w:rPr>
              <w:t>-</w:t>
            </w:r>
            <w:r>
              <w:rPr>
                <w:b/>
              </w:rPr>
              <w:t>21</w:t>
            </w:r>
            <w:r w:rsidRPr="009B030D">
              <w:rPr>
                <w:b/>
              </w:rPr>
              <w:t xml:space="preserve"> years</w:t>
            </w:r>
          </w:p>
        </w:tc>
        <w:tc>
          <w:tcPr>
            <w:tcW w:w="490" w:type="pct"/>
            <w:vMerge/>
            <w:tcBorders>
              <w:left w:val="single" w:sz="2" w:space="0" w:color="000000"/>
              <w:bottom w:val="single" w:sz="2" w:space="0" w:color="000000"/>
              <w:right w:val="single" w:sz="2" w:space="0" w:color="000000"/>
            </w:tcBorders>
            <w:shd w:val="clear" w:color="auto" w:fill="D0CECE" w:themeFill="background2" w:themeFillShade="E6"/>
            <w:vAlign w:val="center"/>
          </w:tcPr>
          <w:p w14:paraId="70B03CDD" w14:textId="77777777" w:rsidR="009B030D" w:rsidRPr="00EB21F5" w:rsidRDefault="009B030D" w:rsidP="00501854">
            <w:pPr>
              <w:tabs>
                <w:tab w:val="left" w:pos="720"/>
              </w:tabs>
              <w:spacing w:before="40" w:after="40" w:line="264" w:lineRule="auto"/>
              <w:jc w:val="center"/>
              <w:rPr>
                <w:b/>
              </w:rPr>
            </w:pPr>
          </w:p>
        </w:tc>
        <w:tc>
          <w:tcPr>
            <w:tcW w:w="1716" w:type="pct"/>
            <w:vMerge/>
            <w:tcBorders>
              <w:left w:val="single" w:sz="2" w:space="0" w:color="000000"/>
              <w:bottom w:val="single" w:sz="2" w:space="0" w:color="000000"/>
              <w:right w:val="single" w:sz="4" w:space="0" w:color="auto"/>
            </w:tcBorders>
            <w:shd w:val="clear" w:color="auto" w:fill="D0CECE" w:themeFill="background2" w:themeFillShade="E6"/>
            <w:vAlign w:val="center"/>
          </w:tcPr>
          <w:p w14:paraId="341BD0A3" w14:textId="77777777" w:rsidR="009B030D" w:rsidRPr="00EB21F5" w:rsidRDefault="009B030D" w:rsidP="00501854">
            <w:pPr>
              <w:tabs>
                <w:tab w:val="left" w:pos="720"/>
              </w:tabs>
              <w:spacing w:before="40" w:after="40" w:line="264" w:lineRule="auto"/>
              <w:jc w:val="center"/>
              <w:rPr>
                <w:b/>
              </w:rPr>
            </w:pPr>
          </w:p>
        </w:tc>
      </w:tr>
      <w:tr w:rsidR="00EB03A3" w14:paraId="137B4878" w14:textId="77777777" w:rsidTr="00501854">
        <w:tc>
          <w:tcPr>
            <w:tcW w:w="342" w:type="pct"/>
            <w:tcBorders>
              <w:top w:val="single" w:sz="2" w:space="0" w:color="000000"/>
              <w:left w:val="single" w:sz="2" w:space="0" w:color="000000"/>
              <w:bottom w:val="single" w:sz="4" w:space="0" w:color="auto"/>
              <w:right w:val="single" w:sz="4" w:space="0" w:color="auto"/>
            </w:tcBorders>
            <w:vAlign w:val="center"/>
          </w:tcPr>
          <w:p w14:paraId="32170350" w14:textId="77777777" w:rsidR="00CA5B2E" w:rsidRDefault="00CA5B2E" w:rsidP="00501854">
            <w:pPr>
              <w:tabs>
                <w:tab w:val="left" w:pos="720"/>
              </w:tabs>
              <w:spacing w:before="40" w:after="40" w:line="264" w:lineRule="auto"/>
            </w:pPr>
          </w:p>
        </w:tc>
        <w:tc>
          <w:tcPr>
            <w:tcW w:w="539" w:type="pct"/>
            <w:tcBorders>
              <w:top w:val="single" w:sz="2" w:space="0" w:color="000000"/>
              <w:left w:val="single" w:sz="4" w:space="0" w:color="auto"/>
              <w:bottom w:val="single" w:sz="4" w:space="0" w:color="auto"/>
              <w:right w:val="single" w:sz="4" w:space="0" w:color="auto"/>
            </w:tcBorders>
            <w:vAlign w:val="center"/>
          </w:tcPr>
          <w:p w14:paraId="37E6F1CC" w14:textId="77777777" w:rsidR="00CA5B2E" w:rsidRDefault="00CA5B2E" w:rsidP="00501854">
            <w:pPr>
              <w:tabs>
                <w:tab w:val="left" w:pos="720"/>
              </w:tabs>
              <w:spacing w:before="40" w:after="40" w:line="264" w:lineRule="auto"/>
            </w:pPr>
          </w:p>
        </w:tc>
        <w:tc>
          <w:tcPr>
            <w:tcW w:w="1030" w:type="pct"/>
            <w:tcBorders>
              <w:top w:val="single" w:sz="2" w:space="0" w:color="000000"/>
              <w:left w:val="single" w:sz="4" w:space="0" w:color="auto"/>
              <w:bottom w:val="single" w:sz="4" w:space="0" w:color="auto"/>
              <w:right w:val="single" w:sz="4" w:space="0" w:color="auto"/>
            </w:tcBorders>
            <w:vAlign w:val="center"/>
          </w:tcPr>
          <w:p w14:paraId="31D701DE" w14:textId="2BE38219" w:rsidR="00CA5B2E" w:rsidRDefault="00CA5B2E" w:rsidP="00501854">
            <w:pPr>
              <w:tabs>
                <w:tab w:val="left" w:pos="720"/>
              </w:tabs>
              <w:spacing w:before="40" w:after="40" w:line="264" w:lineRule="auto"/>
            </w:pPr>
          </w:p>
        </w:tc>
        <w:tc>
          <w:tcPr>
            <w:tcW w:w="294" w:type="pct"/>
            <w:tcBorders>
              <w:top w:val="single" w:sz="2" w:space="0" w:color="000000"/>
              <w:left w:val="single" w:sz="4" w:space="0" w:color="auto"/>
              <w:bottom w:val="single" w:sz="4" w:space="0" w:color="auto"/>
              <w:right w:val="single" w:sz="4" w:space="0" w:color="auto"/>
            </w:tcBorders>
            <w:vAlign w:val="center"/>
          </w:tcPr>
          <w:p w14:paraId="206F6490" w14:textId="19F01F0A" w:rsidR="00CA5B2E" w:rsidRDefault="00CA5B2E" w:rsidP="00501854">
            <w:pPr>
              <w:tabs>
                <w:tab w:val="left" w:pos="720"/>
              </w:tabs>
              <w:spacing w:before="40" w:after="40" w:line="264" w:lineRule="auto"/>
            </w:pPr>
          </w:p>
        </w:tc>
        <w:tc>
          <w:tcPr>
            <w:tcW w:w="294" w:type="pct"/>
            <w:tcBorders>
              <w:top w:val="single" w:sz="4" w:space="0" w:color="auto"/>
              <w:left w:val="single" w:sz="4" w:space="0" w:color="auto"/>
              <w:bottom w:val="single" w:sz="4" w:space="0" w:color="auto"/>
              <w:right w:val="single" w:sz="4" w:space="0" w:color="auto"/>
            </w:tcBorders>
            <w:vAlign w:val="center"/>
          </w:tcPr>
          <w:p w14:paraId="6C71A3A7" w14:textId="1C418DF8" w:rsidR="00CA5B2E" w:rsidRDefault="00CA5B2E" w:rsidP="00501854">
            <w:pPr>
              <w:tabs>
                <w:tab w:val="left" w:pos="720"/>
              </w:tabs>
              <w:spacing w:before="40" w:after="40" w:line="264" w:lineRule="auto"/>
            </w:pPr>
          </w:p>
        </w:tc>
        <w:tc>
          <w:tcPr>
            <w:tcW w:w="294" w:type="pct"/>
            <w:tcBorders>
              <w:top w:val="single" w:sz="4" w:space="0" w:color="auto"/>
              <w:left w:val="single" w:sz="4" w:space="0" w:color="auto"/>
              <w:bottom w:val="single" w:sz="4" w:space="0" w:color="auto"/>
              <w:right w:val="single" w:sz="4" w:space="0" w:color="auto"/>
            </w:tcBorders>
            <w:vAlign w:val="center"/>
          </w:tcPr>
          <w:p w14:paraId="5EA03879" w14:textId="77777777" w:rsidR="00CA5B2E" w:rsidRDefault="00CA5B2E" w:rsidP="00501854">
            <w:pPr>
              <w:tabs>
                <w:tab w:val="left" w:pos="720"/>
              </w:tabs>
              <w:spacing w:before="40" w:after="40" w:line="264" w:lineRule="auto"/>
            </w:pPr>
          </w:p>
        </w:tc>
        <w:tc>
          <w:tcPr>
            <w:tcW w:w="490" w:type="pct"/>
            <w:tcBorders>
              <w:top w:val="single" w:sz="2" w:space="0" w:color="000000"/>
              <w:left w:val="single" w:sz="4" w:space="0" w:color="auto"/>
              <w:bottom w:val="single" w:sz="4" w:space="0" w:color="auto"/>
              <w:right w:val="single" w:sz="4" w:space="0" w:color="auto"/>
            </w:tcBorders>
            <w:vAlign w:val="center"/>
          </w:tcPr>
          <w:p w14:paraId="43A36F12" w14:textId="77777777" w:rsidR="00CA5B2E" w:rsidRDefault="00CA5B2E" w:rsidP="00501854">
            <w:pPr>
              <w:tabs>
                <w:tab w:val="left" w:pos="720"/>
              </w:tabs>
              <w:spacing w:before="40" w:after="40" w:line="264" w:lineRule="auto"/>
            </w:pPr>
          </w:p>
        </w:tc>
        <w:tc>
          <w:tcPr>
            <w:tcW w:w="1716" w:type="pct"/>
            <w:tcBorders>
              <w:top w:val="single" w:sz="2" w:space="0" w:color="000000"/>
              <w:left w:val="single" w:sz="4" w:space="0" w:color="auto"/>
              <w:bottom w:val="single" w:sz="4" w:space="0" w:color="auto"/>
              <w:right w:val="single" w:sz="4" w:space="0" w:color="auto"/>
            </w:tcBorders>
            <w:vAlign w:val="center"/>
          </w:tcPr>
          <w:p w14:paraId="6FE8DBB4" w14:textId="77777777" w:rsidR="00CA5B2E" w:rsidRDefault="00CA5B2E" w:rsidP="00501854">
            <w:pPr>
              <w:tabs>
                <w:tab w:val="left" w:pos="720"/>
              </w:tabs>
              <w:spacing w:before="40" w:after="40" w:line="264" w:lineRule="auto"/>
            </w:pPr>
          </w:p>
          <w:p w14:paraId="5341843F" w14:textId="77777777" w:rsidR="00CA5B2E" w:rsidRDefault="00CA5B2E" w:rsidP="00501854">
            <w:pPr>
              <w:tabs>
                <w:tab w:val="left" w:pos="720"/>
              </w:tabs>
              <w:spacing w:before="40" w:after="40" w:line="264" w:lineRule="auto"/>
            </w:pPr>
            <w:r>
              <w:t xml:space="preserve"> </w:t>
            </w:r>
          </w:p>
        </w:tc>
      </w:tr>
      <w:tr w:rsidR="00EB03A3" w14:paraId="36BAFB74" w14:textId="77777777" w:rsidTr="00501854">
        <w:trPr>
          <w:trHeight w:val="564"/>
        </w:trPr>
        <w:tc>
          <w:tcPr>
            <w:tcW w:w="342" w:type="pct"/>
            <w:tcBorders>
              <w:top w:val="single" w:sz="4" w:space="0" w:color="auto"/>
              <w:left w:val="single" w:sz="2" w:space="0" w:color="000000"/>
              <w:bottom w:val="single" w:sz="4" w:space="0" w:color="auto"/>
              <w:right w:val="single" w:sz="4" w:space="0" w:color="auto"/>
            </w:tcBorders>
            <w:vAlign w:val="center"/>
            <w:hideMark/>
          </w:tcPr>
          <w:p w14:paraId="7B97E66D" w14:textId="388EDFC8" w:rsidR="009B030D" w:rsidRDefault="009B030D" w:rsidP="00501854">
            <w:pPr>
              <w:tabs>
                <w:tab w:val="left" w:pos="720"/>
              </w:tabs>
              <w:spacing w:before="40" w:after="40" w:line="264" w:lineRule="auto"/>
              <w:rPr>
                <w:i/>
              </w:rPr>
            </w:pPr>
          </w:p>
        </w:tc>
        <w:tc>
          <w:tcPr>
            <w:tcW w:w="539" w:type="pct"/>
            <w:tcBorders>
              <w:top w:val="single" w:sz="4" w:space="0" w:color="auto"/>
              <w:left w:val="single" w:sz="4" w:space="0" w:color="auto"/>
              <w:bottom w:val="single" w:sz="4" w:space="0" w:color="auto"/>
              <w:right w:val="single" w:sz="4" w:space="0" w:color="auto"/>
            </w:tcBorders>
            <w:vAlign w:val="center"/>
          </w:tcPr>
          <w:p w14:paraId="0D6FE4B4" w14:textId="77777777" w:rsidR="009B030D" w:rsidRDefault="009B030D" w:rsidP="00501854">
            <w:pPr>
              <w:tabs>
                <w:tab w:val="left" w:pos="720"/>
              </w:tabs>
              <w:spacing w:before="40" w:after="40" w:line="264" w:lineRule="auto"/>
            </w:pPr>
          </w:p>
        </w:tc>
        <w:tc>
          <w:tcPr>
            <w:tcW w:w="1030" w:type="pct"/>
            <w:tcBorders>
              <w:top w:val="single" w:sz="2" w:space="0" w:color="000000"/>
              <w:left w:val="single" w:sz="2" w:space="0" w:color="000000"/>
              <w:bottom w:val="single" w:sz="2" w:space="0" w:color="000000"/>
              <w:right w:val="nil"/>
            </w:tcBorders>
            <w:shd w:val="clear" w:color="auto" w:fill="FFFFFF" w:themeFill="background1"/>
            <w:vAlign w:val="center"/>
          </w:tcPr>
          <w:p w14:paraId="18A57FAC" w14:textId="3CA2447A" w:rsidR="009B030D" w:rsidRDefault="009B030D" w:rsidP="00501854">
            <w:pPr>
              <w:tabs>
                <w:tab w:val="left" w:pos="720"/>
              </w:tabs>
              <w:spacing w:before="40" w:after="40" w:line="264" w:lineRule="auto"/>
            </w:pPr>
          </w:p>
        </w:tc>
        <w:tc>
          <w:tcPr>
            <w:tcW w:w="294" w:type="pct"/>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01F9864" w14:textId="26A90144" w:rsidR="009B030D" w:rsidRDefault="009B030D" w:rsidP="00501854">
            <w:pPr>
              <w:tabs>
                <w:tab w:val="left" w:pos="720"/>
              </w:tabs>
              <w:spacing w:before="40" w:after="40" w:line="264" w:lineRule="auto"/>
            </w:pPr>
          </w:p>
        </w:tc>
        <w:tc>
          <w:tcPr>
            <w:tcW w:w="294" w:type="pct"/>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72602ED" w14:textId="1876F530" w:rsidR="009B030D" w:rsidRDefault="009B030D" w:rsidP="00501854">
            <w:pPr>
              <w:tabs>
                <w:tab w:val="left" w:pos="720"/>
              </w:tabs>
              <w:spacing w:before="40" w:after="40" w:line="264" w:lineRule="auto"/>
            </w:pPr>
          </w:p>
        </w:tc>
        <w:tc>
          <w:tcPr>
            <w:tcW w:w="294" w:type="pct"/>
            <w:tcBorders>
              <w:top w:val="single" w:sz="2" w:space="0" w:color="000000"/>
              <w:left w:val="single" w:sz="2" w:space="0" w:color="000000"/>
              <w:bottom w:val="single" w:sz="2" w:space="0" w:color="000000"/>
              <w:right w:val="single" w:sz="4" w:space="0" w:color="auto"/>
            </w:tcBorders>
            <w:shd w:val="clear" w:color="auto" w:fill="FFFFFF" w:themeFill="background1"/>
            <w:vAlign w:val="center"/>
          </w:tcPr>
          <w:p w14:paraId="084B2CB2" w14:textId="20DB4F1E" w:rsidR="009B030D" w:rsidRDefault="009B030D" w:rsidP="00501854">
            <w:pPr>
              <w:tabs>
                <w:tab w:val="left" w:pos="720"/>
              </w:tabs>
              <w:spacing w:before="40" w:after="40" w:line="264" w:lineRule="auto"/>
            </w:pPr>
          </w:p>
        </w:tc>
        <w:tc>
          <w:tcPr>
            <w:tcW w:w="490" w:type="pct"/>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6FE6009" w14:textId="02C6D4B8" w:rsidR="009B030D" w:rsidRDefault="009B030D" w:rsidP="00501854">
            <w:pPr>
              <w:tabs>
                <w:tab w:val="left" w:pos="720"/>
              </w:tabs>
              <w:spacing w:before="40" w:after="40" w:line="264" w:lineRule="auto"/>
            </w:pPr>
          </w:p>
        </w:tc>
        <w:tc>
          <w:tcPr>
            <w:tcW w:w="1716" w:type="pct"/>
            <w:tcBorders>
              <w:top w:val="single" w:sz="2" w:space="0" w:color="000000"/>
              <w:left w:val="single" w:sz="2" w:space="0" w:color="000000"/>
              <w:bottom w:val="single" w:sz="2" w:space="0" w:color="000000"/>
              <w:right w:val="single" w:sz="4" w:space="0" w:color="auto"/>
            </w:tcBorders>
            <w:shd w:val="clear" w:color="auto" w:fill="FFFFFF" w:themeFill="background1"/>
            <w:vAlign w:val="center"/>
          </w:tcPr>
          <w:p w14:paraId="27B71C07" w14:textId="77777777" w:rsidR="009B030D" w:rsidRDefault="009B030D" w:rsidP="00501854">
            <w:pPr>
              <w:tabs>
                <w:tab w:val="left" w:pos="720"/>
              </w:tabs>
              <w:spacing w:before="40" w:after="40" w:line="264" w:lineRule="auto"/>
            </w:pPr>
          </w:p>
        </w:tc>
      </w:tr>
      <w:tr w:rsidR="00EB03A3" w14:paraId="0FE4C610" w14:textId="77777777" w:rsidTr="00501854">
        <w:trPr>
          <w:trHeight w:val="564"/>
        </w:trPr>
        <w:tc>
          <w:tcPr>
            <w:tcW w:w="342" w:type="pct"/>
            <w:tcBorders>
              <w:top w:val="single" w:sz="4" w:space="0" w:color="auto"/>
              <w:left w:val="single" w:sz="2" w:space="0" w:color="000000"/>
              <w:bottom w:val="single" w:sz="2" w:space="0" w:color="000000"/>
              <w:right w:val="single" w:sz="4" w:space="0" w:color="auto"/>
            </w:tcBorders>
            <w:vAlign w:val="center"/>
          </w:tcPr>
          <w:p w14:paraId="704C29A2" w14:textId="5C2BC935" w:rsidR="00EB03A3" w:rsidRDefault="00EB03A3" w:rsidP="00501854">
            <w:pPr>
              <w:tabs>
                <w:tab w:val="left" w:pos="720"/>
              </w:tabs>
              <w:spacing w:before="40" w:after="40" w:line="264" w:lineRule="auto"/>
              <w:rPr>
                <w:i/>
              </w:rPr>
            </w:pPr>
            <w:r w:rsidRPr="00EB03A3">
              <w:rPr>
                <w:i/>
              </w:rPr>
              <w:t>(Insert more rows as needed)</w:t>
            </w:r>
          </w:p>
        </w:tc>
        <w:tc>
          <w:tcPr>
            <w:tcW w:w="539" w:type="pct"/>
            <w:tcBorders>
              <w:top w:val="single" w:sz="4" w:space="0" w:color="auto"/>
              <w:left w:val="single" w:sz="4" w:space="0" w:color="auto"/>
              <w:bottom w:val="single" w:sz="2" w:space="0" w:color="000000"/>
              <w:right w:val="single" w:sz="4" w:space="0" w:color="auto"/>
            </w:tcBorders>
            <w:vAlign w:val="center"/>
          </w:tcPr>
          <w:p w14:paraId="34E624C9" w14:textId="77777777" w:rsidR="00EB03A3" w:rsidRDefault="00EB03A3" w:rsidP="00501854">
            <w:pPr>
              <w:tabs>
                <w:tab w:val="left" w:pos="720"/>
              </w:tabs>
              <w:spacing w:before="40" w:after="40" w:line="264" w:lineRule="auto"/>
            </w:pPr>
          </w:p>
        </w:tc>
        <w:tc>
          <w:tcPr>
            <w:tcW w:w="1030" w:type="pct"/>
            <w:tcBorders>
              <w:top w:val="single" w:sz="2" w:space="0" w:color="000000"/>
              <w:left w:val="single" w:sz="2" w:space="0" w:color="000000"/>
              <w:bottom w:val="single" w:sz="2" w:space="0" w:color="000000"/>
              <w:right w:val="nil"/>
            </w:tcBorders>
            <w:shd w:val="clear" w:color="auto" w:fill="FFFFFF" w:themeFill="background1"/>
            <w:vAlign w:val="center"/>
          </w:tcPr>
          <w:p w14:paraId="7C1E1373" w14:textId="77777777" w:rsidR="00EB03A3" w:rsidRDefault="00EB03A3" w:rsidP="00501854">
            <w:pPr>
              <w:tabs>
                <w:tab w:val="left" w:pos="720"/>
              </w:tabs>
              <w:spacing w:before="40" w:after="40" w:line="264" w:lineRule="auto"/>
            </w:pPr>
          </w:p>
        </w:tc>
        <w:tc>
          <w:tcPr>
            <w:tcW w:w="294" w:type="pct"/>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8DD1A37" w14:textId="77777777" w:rsidR="00EB03A3" w:rsidRDefault="00EB03A3" w:rsidP="00501854">
            <w:pPr>
              <w:tabs>
                <w:tab w:val="left" w:pos="720"/>
              </w:tabs>
              <w:spacing w:before="40" w:after="40" w:line="264" w:lineRule="auto"/>
            </w:pPr>
          </w:p>
        </w:tc>
        <w:tc>
          <w:tcPr>
            <w:tcW w:w="294" w:type="pct"/>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5437823" w14:textId="77777777" w:rsidR="00EB03A3" w:rsidRDefault="00EB03A3" w:rsidP="00501854">
            <w:pPr>
              <w:tabs>
                <w:tab w:val="left" w:pos="720"/>
              </w:tabs>
              <w:spacing w:before="40" w:after="40" w:line="264" w:lineRule="auto"/>
            </w:pPr>
          </w:p>
        </w:tc>
        <w:tc>
          <w:tcPr>
            <w:tcW w:w="294" w:type="pct"/>
            <w:tcBorders>
              <w:top w:val="single" w:sz="2" w:space="0" w:color="000000"/>
              <w:left w:val="single" w:sz="2" w:space="0" w:color="000000"/>
              <w:bottom w:val="single" w:sz="2" w:space="0" w:color="000000"/>
              <w:right w:val="single" w:sz="4" w:space="0" w:color="auto"/>
            </w:tcBorders>
            <w:shd w:val="clear" w:color="auto" w:fill="FFFFFF" w:themeFill="background1"/>
            <w:vAlign w:val="center"/>
          </w:tcPr>
          <w:p w14:paraId="4864AD7B" w14:textId="77777777" w:rsidR="00EB03A3" w:rsidRDefault="00EB03A3" w:rsidP="00501854">
            <w:pPr>
              <w:tabs>
                <w:tab w:val="left" w:pos="720"/>
              </w:tabs>
              <w:spacing w:before="40" w:after="40" w:line="264" w:lineRule="auto"/>
            </w:pPr>
          </w:p>
        </w:tc>
        <w:tc>
          <w:tcPr>
            <w:tcW w:w="490" w:type="pct"/>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9602E8F" w14:textId="77777777" w:rsidR="00EB03A3" w:rsidRDefault="00EB03A3" w:rsidP="00501854">
            <w:pPr>
              <w:tabs>
                <w:tab w:val="left" w:pos="720"/>
              </w:tabs>
              <w:spacing w:before="40" w:after="40" w:line="264" w:lineRule="auto"/>
            </w:pPr>
          </w:p>
        </w:tc>
        <w:tc>
          <w:tcPr>
            <w:tcW w:w="1716" w:type="pct"/>
            <w:tcBorders>
              <w:top w:val="single" w:sz="2" w:space="0" w:color="000000"/>
              <w:left w:val="single" w:sz="2" w:space="0" w:color="000000"/>
              <w:bottom w:val="single" w:sz="2" w:space="0" w:color="000000"/>
              <w:right w:val="single" w:sz="4" w:space="0" w:color="auto"/>
            </w:tcBorders>
            <w:shd w:val="clear" w:color="auto" w:fill="FFFFFF" w:themeFill="background1"/>
            <w:vAlign w:val="center"/>
          </w:tcPr>
          <w:p w14:paraId="59E70CD9" w14:textId="77777777" w:rsidR="00EB03A3" w:rsidRDefault="00EB03A3" w:rsidP="00501854">
            <w:pPr>
              <w:tabs>
                <w:tab w:val="left" w:pos="720"/>
              </w:tabs>
              <w:spacing w:before="40" w:after="40" w:line="264" w:lineRule="auto"/>
            </w:pPr>
          </w:p>
        </w:tc>
      </w:tr>
    </w:tbl>
    <w:p w14:paraId="00E5F7B3" w14:textId="77777777" w:rsidR="005A70E5" w:rsidRDefault="005A70E5" w:rsidP="00501854">
      <w:pPr>
        <w:tabs>
          <w:tab w:val="center" w:pos="4819"/>
        </w:tabs>
        <w:spacing w:line="264" w:lineRule="auto"/>
      </w:pPr>
    </w:p>
    <w:p w14:paraId="1980B81A" w14:textId="77777777" w:rsidR="005A70E5" w:rsidRDefault="005A70E5" w:rsidP="00501854">
      <w:pPr>
        <w:spacing w:line="264" w:lineRule="auto"/>
      </w:pPr>
      <w:r>
        <w:br w:type="page"/>
      </w:r>
    </w:p>
    <w:p w14:paraId="1CA0BEB7" w14:textId="5826D24A" w:rsidR="002C3437" w:rsidRDefault="005A70E5" w:rsidP="00501854">
      <w:pPr>
        <w:tabs>
          <w:tab w:val="center" w:pos="4819"/>
        </w:tabs>
        <w:spacing w:before="60" w:after="60" w:line="264" w:lineRule="auto"/>
      </w:pPr>
      <w:r w:rsidRPr="000879FF">
        <w:rPr>
          <w:b/>
          <w:bCs/>
        </w:rPr>
        <w:lastRenderedPageBreak/>
        <w:t>1</w:t>
      </w:r>
      <w:r w:rsidR="009B70E9">
        <w:rPr>
          <w:b/>
          <w:bCs/>
        </w:rPr>
        <w:t>0</w:t>
      </w:r>
      <w:r w:rsidRPr="000879FF">
        <w:rPr>
          <w:b/>
          <w:bCs/>
        </w:rPr>
        <w:t>.2.</w:t>
      </w:r>
      <w:r>
        <w:rPr>
          <w:b/>
          <w:bCs/>
        </w:rPr>
        <w:t>2</w:t>
      </w:r>
      <w:r w:rsidRPr="000879FF">
        <w:rPr>
          <w:b/>
          <w:bCs/>
        </w:rPr>
        <w:t xml:space="preserve"> </w:t>
      </w:r>
      <w:r w:rsidRPr="005A70E5">
        <w:rPr>
          <w:b/>
          <w:bCs/>
        </w:rPr>
        <w:t>Milestone Report –</w:t>
      </w:r>
      <w:r>
        <w:rPr>
          <w:b/>
          <w:bCs/>
        </w:rPr>
        <w:t xml:space="preserve"> </w:t>
      </w:r>
      <w:r w:rsidRPr="005A70E5">
        <w:rPr>
          <w:b/>
          <w:bCs/>
        </w:rPr>
        <w:t>System Coordination</w:t>
      </w:r>
      <w:r w:rsidR="0001770D">
        <w:tab/>
      </w:r>
    </w:p>
    <w:tbl>
      <w:tblPr>
        <w:tblW w:w="4887" w:type="pct"/>
        <w:tblInd w:w="2" w:type="dxa"/>
        <w:tblLayout w:type="fixed"/>
        <w:tblCellMar>
          <w:top w:w="55" w:type="dxa"/>
          <w:left w:w="55" w:type="dxa"/>
          <w:bottom w:w="55" w:type="dxa"/>
          <w:right w:w="55" w:type="dxa"/>
        </w:tblCellMar>
        <w:tblLook w:val="04A0" w:firstRow="1" w:lastRow="0" w:firstColumn="1" w:lastColumn="0" w:noHBand="0" w:noVBand="1"/>
      </w:tblPr>
      <w:tblGrid>
        <w:gridCol w:w="1697"/>
        <w:gridCol w:w="2550"/>
        <w:gridCol w:w="3296"/>
        <w:gridCol w:w="2801"/>
        <w:gridCol w:w="4111"/>
      </w:tblGrid>
      <w:tr w:rsidR="00126250" w14:paraId="35F6D1FC" w14:textId="77777777" w:rsidTr="00C73681">
        <w:trPr>
          <w:trHeight w:val="500"/>
          <w:tblHeader/>
        </w:trPr>
        <w:tc>
          <w:tcPr>
            <w:tcW w:w="5000" w:type="pct"/>
            <w:gridSpan w:val="5"/>
            <w:tcBorders>
              <w:top w:val="single" w:sz="2" w:space="0" w:color="000000"/>
              <w:left w:val="single" w:sz="2" w:space="0" w:color="000000"/>
              <w:bottom w:val="single" w:sz="2" w:space="0" w:color="000000"/>
              <w:right w:val="single" w:sz="4" w:space="0" w:color="auto"/>
            </w:tcBorders>
            <w:shd w:val="clear" w:color="auto" w:fill="D0CECE" w:themeFill="background2" w:themeFillShade="E6"/>
            <w:vAlign w:val="center"/>
          </w:tcPr>
          <w:p w14:paraId="0795D1DA" w14:textId="06DED48D" w:rsidR="00126250" w:rsidRPr="000879FF" w:rsidRDefault="00126250" w:rsidP="00501854">
            <w:pPr>
              <w:tabs>
                <w:tab w:val="left" w:pos="720"/>
              </w:tabs>
              <w:spacing w:before="40" w:after="40" w:line="264" w:lineRule="auto"/>
              <w:rPr>
                <w:b/>
                <w:sz w:val="24"/>
                <w:szCs w:val="24"/>
              </w:rPr>
            </w:pPr>
            <w:r w:rsidRPr="000879FF">
              <w:rPr>
                <w:b/>
                <w:sz w:val="24"/>
                <w:szCs w:val="24"/>
              </w:rPr>
              <w:t xml:space="preserve">Milestone Report – </w:t>
            </w:r>
            <w:r>
              <w:rPr>
                <w:b/>
                <w:sz w:val="24"/>
                <w:szCs w:val="24"/>
              </w:rPr>
              <w:t>System Coordination</w:t>
            </w:r>
          </w:p>
          <w:p w14:paraId="19A04EAC" w14:textId="73BBED63" w:rsidR="00126250" w:rsidRPr="000879FF" w:rsidRDefault="00126250" w:rsidP="00501854">
            <w:pPr>
              <w:tabs>
                <w:tab w:val="left" w:pos="720"/>
              </w:tabs>
              <w:spacing w:before="40" w:after="40" w:line="264" w:lineRule="auto"/>
              <w:rPr>
                <w:bCs/>
              </w:rPr>
            </w:pPr>
            <w:r w:rsidRPr="000879FF">
              <w:rPr>
                <w:bCs/>
              </w:rPr>
              <w:t>(Young People Investment Specification item 6.3.</w:t>
            </w:r>
            <w:r w:rsidR="00145CE9">
              <w:rPr>
                <w:bCs/>
              </w:rPr>
              <w:t>3</w:t>
            </w:r>
            <w:r w:rsidRPr="000879FF">
              <w:rPr>
                <w:bCs/>
              </w:rPr>
              <w:t>)</w:t>
            </w:r>
          </w:p>
        </w:tc>
      </w:tr>
      <w:tr w:rsidR="00126250" w14:paraId="3936C77F" w14:textId="77777777" w:rsidTr="00C73681">
        <w:trPr>
          <w:trHeight w:val="877"/>
          <w:tblHeader/>
        </w:trPr>
        <w:tc>
          <w:tcPr>
            <w:tcW w:w="5000" w:type="pct"/>
            <w:gridSpan w:val="5"/>
            <w:tcBorders>
              <w:top w:val="single" w:sz="2" w:space="0" w:color="000000"/>
              <w:left w:val="single" w:sz="2" w:space="0" w:color="000000"/>
              <w:bottom w:val="single" w:sz="2" w:space="0" w:color="000000"/>
              <w:right w:val="single" w:sz="4" w:space="0" w:color="auto"/>
            </w:tcBorders>
            <w:shd w:val="clear" w:color="auto" w:fill="auto"/>
            <w:vAlign w:val="center"/>
          </w:tcPr>
          <w:p w14:paraId="58E27E8C" w14:textId="77777777" w:rsidR="00126250" w:rsidRDefault="00126250" w:rsidP="00501854">
            <w:pPr>
              <w:spacing w:before="40" w:after="40" w:line="264" w:lineRule="auto"/>
              <w:rPr>
                <w:b/>
              </w:rPr>
            </w:pPr>
            <w:r w:rsidRPr="003563BF">
              <w:rPr>
                <w:b/>
              </w:rPr>
              <w:t xml:space="preserve">Service name: </w:t>
            </w:r>
            <w:r w:rsidRPr="003563BF">
              <w:rPr>
                <w:shd w:val="clear" w:color="auto" w:fill="C0C0C0"/>
              </w:rPr>
              <w:t>Insert</w:t>
            </w:r>
            <w:r w:rsidRPr="003563BF">
              <w:rPr>
                <w:b/>
              </w:rPr>
              <w:t xml:space="preserve"> </w:t>
            </w:r>
          </w:p>
          <w:p w14:paraId="041D9E13" w14:textId="77777777" w:rsidR="00126250" w:rsidRPr="003563BF" w:rsidRDefault="00126250" w:rsidP="00501854">
            <w:pPr>
              <w:spacing w:before="40" w:after="40" w:line="264" w:lineRule="auto"/>
              <w:rPr>
                <w:b/>
                <w:snapToGrid w:val="0"/>
              </w:rPr>
            </w:pPr>
            <w:r>
              <w:rPr>
                <w:b/>
              </w:rPr>
              <w:t>S</w:t>
            </w:r>
            <w:r w:rsidRPr="003563BF">
              <w:rPr>
                <w:b/>
                <w:snapToGrid w:val="0"/>
              </w:rPr>
              <w:t xml:space="preserve">ervice Number: </w:t>
            </w:r>
            <w:r w:rsidRPr="003563BF">
              <w:rPr>
                <w:shd w:val="clear" w:color="auto" w:fill="C0C0C0"/>
              </w:rPr>
              <w:t>Insert</w:t>
            </w:r>
          </w:p>
          <w:p w14:paraId="7F45F0E0" w14:textId="77777777" w:rsidR="00126250" w:rsidRPr="00EB21F5" w:rsidRDefault="00126250" w:rsidP="00501854">
            <w:pPr>
              <w:tabs>
                <w:tab w:val="left" w:pos="720"/>
              </w:tabs>
              <w:spacing w:before="40" w:after="40" w:line="264" w:lineRule="auto"/>
              <w:rPr>
                <w:b/>
              </w:rPr>
            </w:pPr>
            <w:r w:rsidRPr="003563BF">
              <w:rPr>
                <w:b/>
                <w:bCs/>
              </w:rPr>
              <w:t>Quarter from:</w:t>
            </w:r>
            <w:r w:rsidRPr="003563BF">
              <w:t xml:space="preserve"> </w:t>
            </w:r>
            <w:r w:rsidRPr="003563BF">
              <w:rPr>
                <w:shd w:val="clear" w:color="auto" w:fill="C0C0C0"/>
              </w:rPr>
              <w:t>insert start date</w:t>
            </w:r>
            <w:r w:rsidRPr="003563BF">
              <w:t xml:space="preserve"> to </w:t>
            </w:r>
            <w:r w:rsidRPr="003563BF">
              <w:rPr>
                <w:shd w:val="clear" w:color="auto" w:fill="C0C0C0"/>
              </w:rPr>
              <w:t>insert end date</w:t>
            </w:r>
            <w:r w:rsidRPr="003563BF">
              <w:rPr>
                <w:sz w:val="28"/>
                <w:szCs w:val="28"/>
              </w:rPr>
              <w:t xml:space="preserve"> </w:t>
            </w:r>
            <w:r w:rsidRPr="003563BF">
              <w:rPr>
                <w:sz w:val="32"/>
                <w:szCs w:val="32"/>
              </w:rPr>
              <w:t xml:space="preserve">   </w:t>
            </w:r>
          </w:p>
        </w:tc>
      </w:tr>
      <w:tr w:rsidR="00126250" w14:paraId="41DADA9F" w14:textId="77777777" w:rsidTr="00145C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DC12B0" w14:textId="2B073CB1" w:rsidR="00126250" w:rsidRPr="00126250" w:rsidRDefault="00126250" w:rsidP="00145CE9">
            <w:pPr>
              <w:tabs>
                <w:tab w:val="left" w:pos="720"/>
              </w:tabs>
              <w:spacing w:before="40" w:after="40" w:line="264" w:lineRule="auto"/>
              <w:jc w:val="center"/>
              <w:rPr>
                <w:b/>
                <w:bCs/>
              </w:rPr>
            </w:pPr>
            <w:r>
              <w:rPr>
                <w:b/>
                <w:bCs/>
              </w:rPr>
              <w:t>Date</w:t>
            </w:r>
          </w:p>
        </w:tc>
        <w:tc>
          <w:tcPr>
            <w:tcW w:w="8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DE89A1" w14:textId="721712BA" w:rsidR="00126250" w:rsidRDefault="00126250" w:rsidP="00145CE9">
            <w:pPr>
              <w:tabs>
                <w:tab w:val="left" w:pos="720"/>
              </w:tabs>
              <w:spacing w:before="40" w:after="40" w:line="264" w:lineRule="auto"/>
              <w:jc w:val="center"/>
              <w:rPr>
                <w:b/>
              </w:rPr>
            </w:pPr>
            <w:r w:rsidRPr="00126250">
              <w:rPr>
                <w:b/>
                <w:bCs/>
              </w:rPr>
              <w:t>Name of System Coordination Activity</w:t>
            </w:r>
          </w:p>
        </w:tc>
        <w:tc>
          <w:tcPr>
            <w:tcW w:w="11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1E3A2" w14:textId="77777777" w:rsidR="00126250" w:rsidRDefault="00126250" w:rsidP="00145CE9">
            <w:pPr>
              <w:tabs>
                <w:tab w:val="left" w:pos="720"/>
              </w:tabs>
              <w:spacing w:before="40" w:after="40" w:line="264" w:lineRule="auto"/>
              <w:jc w:val="center"/>
              <w:rPr>
                <w:b/>
              </w:rPr>
            </w:pPr>
            <w:r>
              <w:rPr>
                <w:b/>
              </w:rPr>
              <w:t>Purpose</w:t>
            </w:r>
          </w:p>
        </w:tc>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2BAFB" w14:textId="47D259A1" w:rsidR="00126250" w:rsidRDefault="00126250" w:rsidP="00145CE9">
            <w:pPr>
              <w:tabs>
                <w:tab w:val="left" w:pos="720"/>
              </w:tabs>
              <w:spacing w:before="40" w:after="40" w:line="264" w:lineRule="auto"/>
              <w:jc w:val="center"/>
              <w:rPr>
                <w:b/>
              </w:rPr>
            </w:pPr>
            <w:r>
              <w:rPr>
                <w:b/>
              </w:rPr>
              <w:t>Attendees</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D76FF" w14:textId="1FA3C554" w:rsidR="00126250" w:rsidRDefault="00126250" w:rsidP="00145CE9">
            <w:pPr>
              <w:tabs>
                <w:tab w:val="left" w:pos="720"/>
              </w:tabs>
              <w:spacing w:before="40" w:after="40" w:line="264" w:lineRule="auto"/>
              <w:jc w:val="center"/>
              <w:rPr>
                <w:b/>
              </w:rPr>
            </w:pPr>
            <w:r>
              <w:rPr>
                <w:b/>
              </w:rPr>
              <w:t>Comments / Outcomes</w:t>
            </w:r>
          </w:p>
        </w:tc>
      </w:tr>
      <w:tr w:rsidR="00126250" w14:paraId="33783096" w14:textId="77777777" w:rsidTr="009B0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587" w:type="pct"/>
            <w:tcBorders>
              <w:top w:val="single" w:sz="4" w:space="0" w:color="auto"/>
              <w:left w:val="single" w:sz="4" w:space="0" w:color="auto"/>
              <w:bottom w:val="single" w:sz="4" w:space="0" w:color="auto"/>
              <w:right w:val="single" w:sz="4" w:space="0" w:color="auto"/>
            </w:tcBorders>
          </w:tcPr>
          <w:p w14:paraId="6A590FBC" w14:textId="77777777" w:rsidR="00126250" w:rsidRDefault="00126250" w:rsidP="00501854">
            <w:pPr>
              <w:tabs>
                <w:tab w:val="left" w:pos="720"/>
              </w:tabs>
              <w:spacing w:before="40" w:after="40" w:line="264" w:lineRule="auto"/>
            </w:pPr>
          </w:p>
        </w:tc>
        <w:tc>
          <w:tcPr>
            <w:tcW w:w="882" w:type="pct"/>
            <w:tcBorders>
              <w:top w:val="single" w:sz="4" w:space="0" w:color="auto"/>
              <w:left w:val="single" w:sz="4" w:space="0" w:color="auto"/>
              <w:bottom w:val="single" w:sz="4" w:space="0" w:color="auto"/>
              <w:right w:val="single" w:sz="4" w:space="0" w:color="auto"/>
            </w:tcBorders>
          </w:tcPr>
          <w:p w14:paraId="75BD9C59" w14:textId="77777777" w:rsidR="00126250" w:rsidRDefault="00126250" w:rsidP="00501854">
            <w:pPr>
              <w:tabs>
                <w:tab w:val="left" w:pos="720"/>
              </w:tabs>
              <w:spacing w:before="40" w:after="40" w:line="264" w:lineRule="auto"/>
              <w:rPr>
                <w:b/>
              </w:rPr>
            </w:pPr>
          </w:p>
        </w:tc>
        <w:tc>
          <w:tcPr>
            <w:tcW w:w="1140" w:type="pct"/>
            <w:tcBorders>
              <w:top w:val="single" w:sz="4" w:space="0" w:color="auto"/>
              <w:left w:val="single" w:sz="4" w:space="0" w:color="auto"/>
              <w:bottom w:val="single" w:sz="4" w:space="0" w:color="auto"/>
              <w:right w:val="single" w:sz="4" w:space="0" w:color="auto"/>
            </w:tcBorders>
          </w:tcPr>
          <w:p w14:paraId="7FC8FEE3" w14:textId="77777777" w:rsidR="00126250" w:rsidRDefault="00126250" w:rsidP="00501854">
            <w:pPr>
              <w:tabs>
                <w:tab w:val="left" w:pos="720"/>
              </w:tabs>
              <w:spacing w:before="40" w:after="40" w:line="264" w:lineRule="auto"/>
              <w:rPr>
                <w:b/>
              </w:rPr>
            </w:pPr>
          </w:p>
        </w:tc>
        <w:tc>
          <w:tcPr>
            <w:tcW w:w="969" w:type="pct"/>
            <w:tcBorders>
              <w:top w:val="single" w:sz="4" w:space="0" w:color="auto"/>
              <w:left w:val="single" w:sz="4" w:space="0" w:color="auto"/>
              <w:bottom w:val="single" w:sz="4" w:space="0" w:color="auto"/>
              <w:right w:val="single" w:sz="4" w:space="0" w:color="auto"/>
            </w:tcBorders>
          </w:tcPr>
          <w:p w14:paraId="0624089B" w14:textId="6A1D4410" w:rsidR="00126250" w:rsidRDefault="00126250" w:rsidP="00501854">
            <w:pPr>
              <w:tabs>
                <w:tab w:val="left" w:pos="720"/>
              </w:tabs>
              <w:spacing w:before="40" w:after="40" w:line="264" w:lineRule="auto"/>
              <w:rPr>
                <w:b/>
              </w:rPr>
            </w:pPr>
          </w:p>
        </w:tc>
        <w:tc>
          <w:tcPr>
            <w:tcW w:w="1422" w:type="pct"/>
            <w:tcBorders>
              <w:top w:val="single" w:sz="4" w:space="0" w:color="auto"/>
              <w:left w:val="single" w:sz="4" w:space="0" w:color="auto"/>
              <w:bottom w:val="single" w:sz="4" w:space="0" w:color="auto"/>
              <w:right w:val="single" w:sz="4" w:space="0" w:color="auto"/>
            </w:tcBorders>
          </w:tcPr>
          <w:p w14:paraId="2F6AE8F8" w14:textId="77777777" w:rsidR="00126250" w:rsidRDefault="00126250" w:rsidP="00501854">
            <w:pPr>
              <w:tabs>
                <w:tab w:val="left" w:pos="720"/>
              </w:tabs>
              <w:spacing w:before="40" w:after="40" w:line="264" w:lineRule="auto"/>
              <w:rPr>
                <w:b/>
              </w:rPr>
            </w:pPr>
          </w:p>
        </w:tc>
      </w:tr>
      <w:tr w:rsidR="009B70E9" w14:paraId="03D86326" w14:textId="77777777" w:rsidTr="009B0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587" w:type="pct"/>
            <w:tcBorders>
              <w:top w:val="single" w:sz="4" w:space="0" w:color="auto"/>
              <w:left w:val="single" w:sz="4" w:space="0" w:color="auto"/>
              <w:bottom w:val="single" w:sz="4" w:space="0" w:color="auto"/>
              <w:right w:val="single" w:sz="4" w:space="0" w:color="auto"/>
            </w:tcBorders>
          </w:tcPr>
          <w:p w14:paraId="12F9F8D9" w14:textId="77777777" w:rsidR="009B70E9" w:rsidRDefault="009B70E9" w:rsidP="00501854">
            <w:pPr>
              <w:tabs>
                <w:tab w:val="left" w:pos="720"/>
              </w:tabs>
              <w:spacing w:before="40" w:after="40" w:line="264" w:lineRule="auto"/>
            </w:pPr>
          </w:p>
        </w:tc>
        <w:tc>
          <w:tcPr>
            <w:tcW w:w="882" w:type="pct"/>
            <w:tcBorders>
              <w:top w:val="single" w:sz="4" w:space="0" w:color="auto"/>
              <w:left w:val="single" w:sz="4" w:space="0" w:color="auto"/>
              <w:bottom w:val="single" w:sz="4" w:space="0" w:color="auto"/>
              <w:right w:val="single" w:sz="4" w:space="0" w:color="auto"/>
            </w:tcBorders>
          </w:tcPr>
          <w:p w14:paraId="1ACC50E9" w14:textId="77777777" w:rsidR="009B70E9" w:rsidRDefault="009B70E9" w:rsidP="00501854">
            <w:pPr>
              <w:tabs>
                <w:tab w:val="left" w:pos="720"/>
              </w:tabs>
              <w:spacing w:before="40" w:after="40" w:line="264" w:lineRule="auto"/>
              <w:rPr>
                <w:b/>
              </w:rPr>
            </w:pPr>
          </w:p>
        </w:tc>
        <w:tc>
          <w:tcPr>
            <w:tcW w:w="1140" w:type="pct"/>
            <w:tcBorders>
              <w:top w:val="single" w:sz="4" w:space="0" w:color="auto"/>
              <w:left w:val="single" w:sz="4" w:space="0" w:color="auto"/>
              <w:bottom w:val="single" w:sz="4" w:space="0" w:color="auto"/>
              <w:right w:val="single" w:sz="4" w:space="0" w:color="auto"/>
            </w:tcBorders>
          </w:tcPr>
          <w:p w14:paraId="2B48B757" w14:textId="77777777" w:rsidR="009B70E9" w:rsidRDefault="009B70E9" w:rsidP="00501854">
            <w:pPr>
              <w:tabs>
                <w:tab w:val="left" w:pos="720"/>
              </w:tabs>
              <w:spacing w:before="40" w:after="40" w:line="264" w:lineRule="auto"/>
              <w:rPr>
                <w:b/>
              </w:rPr>
            </w:pPr>
          </w:p>
        </w:tc>
        <w:tc>
          <w:tcPr>
            <w:tcW w:w="969" w:type="pct"/>
            <w:tcBorders>
              <w:top w:val="single" w:sz="4" w:space="0" w:color="auto"/>
              <w:left w:val="single" w:sz="4" w:space="0" w:color="auto"/>
              <w:bottom w:val="single" w:sz="4" w:space="0" w:color="auto"/>
              <w:right w:val="single" w:sz="4" w:space="0" w:color="auto"/>
            </w:tcBorders>
          </w:tcPr>
          <w:p w14:paraId="1FAE3D07" w14:textId="77777777" w:rsidR="009B70E9" w:rsidRDefault="009B70E9" w:rsidP="00501854">
            <w:pPr>
              <w:tabs>
                <w:tab w:val="left" w:pos="720"/>
              </w:tabs>
              <w:spacing w:before="40" w:after="40" w:line="264" w:lineRule="auto"/>
              <w:rPr>
                <w:b/>
              </w:rPr>
            </w:pPr>
          </w:p>
        </w:tc>
        <w:tc>
          <w:tcPr>
            <w:tcW w:w="1422" w:type="pct"/>
            <w:tcBorders>
              <w:top w:val="single" w:sz="4" w:space="0" w:color="auto"/>
              <w:left w:val="single" w:sz="4" w:space="0" w:color="auto"/>
              <w:bottom w:val="single" w:sz="4" w:space="0" w:color="auto"/>
              <w:right w:val="single" w:sz="4" w:space="0" w:color="auto"/>
            </w:tcBorders>
          </w:tcPr>
          <w:p w14:paraId="7A6806C3" w14:textId="77777777" w:rsidR="009B70E9" w:rsidRDefault="009B70E9" w:rsidP="00501854">
            <w:pPr>
              <w:tabs>
                <w:tab w:val="left" w:pos="720"/>
              </w:tabs>
              <w:spacing w:before="40" w:after="40" w:line="264" w:lineRule="auto"/>
              <w:rPr>
                <w:b/>
              </w:rPr>
            </w:pPr>
          </w:p>
        </w:tc>
      </w:tr>
      <w:tr w:rsidR="009B70E9" w14:paraId="55FDC8CB" w14:textId="77777777" w:rsidTr="009B0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587" w:type="pct"/>
            <w:tcBorders>
              <w:top w:val="single" w:sz="4" w:space="0" w:color="auto"/>
              <w:left w:val="single" w:sz="4" w:space="0" w:color="auto"/>
              <w:bottom w:val="single" w:sz="4" w:space="0" w:color="auto"/>
              <w:right w:val="single" w:sz="4" w:space="0" w:color="auto"/>
            </w:tcBorders>
          </w:tcPr>
          <w:p w14:paraId="570D4A2E" w14:textId="77777777" w:rsidR="009B70E9" w:rsidRDefault="009B70E9" w:rsidP="00501854">
            <w:pPr>
              <w:tabs>
                <w:tab w:val="left" w:pos="720"/>
              </w:tabs>
              <w:spacing w:before="40" w:after="40" w:line="264" w:lineRule="auto"/>
            </w:pPr>
          </w:p>
        </w:tc>
        <w:tc>
          <w:tcPr>
            <w:tcW w:w="882" w:type="pct"/>
            <w:tcBorders>
              <w:top w:val="single" w:sz="4" w:space="0" w:color="auto"/>
              <w:left w:val="single" w:sz="4" w:space="0" w:color="auto"/>
              <w:bottom w:val="single" w:sz="4" w:space="0" w:color="auto"/>
              <w:right w:val="single" w:sz="4" w:space="0" w:color="auto"/>
            </w:tcBorders>
          </w:tcPr>
          <w:p w14:paraId="33E3B9BA" w14:textId="77777777" w:rsidR="009B70E9" w:rsidRDefault="009B70E9" w:rsidP="00501854">
            <w:pPr>
              <w:tabs>
                <w:tab w:val="left" w:pos="720"/>
              </w:tabs>
              <w:spacing w:before="40" w:after="40" w:line="264" w:lineRule="auto"/>
              <w:rPr>
                <w:b/>
              </w:rPr>
            </w:pPr>
          </w:p>
        </w:tc>
        <w:tc>
          <w:tcPr>
            <w:tcW w:w="1140" w:type="pct"/>
            <w:tcBorders>
              <w:top w:val="single" w:sz="4" w:space="0" w:color="auto"/>
              <w:left w:val="single" w:sz="4" w:space="0" w:color="auto"/>
              <w:bottom w:val="single" w:sz="4" w:space="0" w:color="auto"/>
              <w:right w:val="single" w:sz="4" w:space="0" w:color="auto"/>
            </w:tcBorders>
          </w:tcPr>
          <w:p w14:paraId="4258E771" w14:textId="77777777" w:rsidR="009B70E9" w:rsidRDefault="009B70E9" w:rsidP="00501854">
            <w:pPr>
              <w:tabs>
                <w:tab w:val="left" w:pos="720"/>
              </w:tabs>
              <w:spacing w:before="40" w:after="40" w:line="264" w:lineRule="auto"/>
              <w:rPr>
                <w:b/>
              </w:rPr>
            </w:pPr>
          </w:p>
        </w:tc>
        <w:tc>
          <w:tcPr>
            <w:tcW w:w="969" w:type="pct"/>
            <w:tcBorders>
              <w:top w:val="single" w:sz="4" w:space="0" w:color="auto"/>
              <w:left w:val="single" w:sz="4" w:space="0" w:color="auto"/>
              <w:bottom w:val="single" w:sz="4" w:space="0" w:color="auto"/>
              <w:right w:val="single" w:sz="4" w:space="0" w:color="auto"/>
            </w:tcBorders>
          </w:tcPr>
          <w:p w14:paraId="67B3AFD7" w14:textId="77777777" w:rsidR="009B70E9" w:rsidRDefault="009B70E9" w:rsidP="00501854">
            <w:pPr>
              <w:tabs>
                <w:tab w:val="left" w:pos="720"/>
              </w:tabs>
              <w:spacing w:before="40" w:after="40" w:line="264" w:lineRule="auto"/>
              <w:rPr>
                <w:b/>
              </w:rPr>
            </w:pPr>
          </w:p>
        </w:tc>
        <w:tc>
          <w:tcPr>
            <w:tcW w:w="1422" w:type="pct"/>
            <w:tcBorders>
              <w:top w:val="single" w:sz="4" w:space="0" w:color="auto"/>
              <w:left w:val="single" w:sz="4" w:space="0" w:color="auto"/>
              <w:bottom w:val="single" w:sz="4" w:space="0" w:color="auto"/>
              <w:right w:val="single" w:sz="4" w:space="0" w:color="auto"/>
            </w:tcBorders>
          </w:tcPr>
          <w:p w14:paraId="736DCA7B" w14:textId="77777777" w:rsidR="009B70E9" w:rsidRDefault="009B70E9" w:rsidP="00501854">
            <w:pPr>
              <w:tabs>
                <w:tab w:val="left" w:pos="720"/>
              </w:tabs>
              <w:spacing w:before="40" w:after="40" w:line="264" w:lineRule="auto"/>
              <w:rPr>
                <w:b/>
              </w:rPr>
            </w:pPr>
          </w:p>
        </w:tc>
      </w:tr>
      <w:tr w:rsidR="000D1700" w14:paraId="456F6D7A" w14:textId="77777777" w:rsidTr="009B0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587" w:type="pct"/>
            <w:tcBorders>
              <w:top w:val="single" w:sz="4" w:space="0" w:color="auto"/>
              <w:left w:val="single" w:sz="4" w:space="0" w:color="auto"/>
              <w:bottom w:val="single" w:sz="4" w:space="0" w:color="auto"/>
              <w:right w:val="single" w:sz="4" w:space="0" w:color="auto"/>
            </w:tcBorders>
          </w:tcPr>
          <w:p w14:paraId="7D8636EC" w14:textId="77777777" w:rsidR="000D1700" w:rsidRPr="00126250" w:rsidRDefault="000D1700" w:rsidP="00501854">
            <w:pPr>
              <w:tabs>
                <w:tab w:val="left" w:pos="720"/>
              </w:tabs>
              <w:spacing w:before="40" w:after="40" w:line="264" w:lineRule="auto"/>
              <w:rPr>
                <w:i/>
              </w:rPr>
            </w:pPr>
          </w:p>
        </w:tc>
        <w:tc>
          <w:tcPr>
            <w:tcW w:w="882" w:type="pct"/>
            <w:tcBorders>
              <w:top w:val="single" w:sz="4" w:space="0" w:color="auto"/>
              <w:left w:val="single" w:sz="4" w:space="0" w:color="auto"/>
              <w:bottom w:val="single" w:sz="4" w:space="0" w:color="auto"/>
              <w:right w:val="single" w:sz="4" w:space="0" w:color="auto"/>
            </w:tcBorders>
          </w:tcPr>
          <w:p w14:paraId="20F6029C" w14:textId="77777777" w:rsidR="000D1700" w:rsidRDefault="000D1700" w:rsidP="00501854">
            <w:pPr>
              <w:tabs>
                <w:tab w:val="left" w:pos="720"/>
              </w:tabs>
              <w:spacing w:before="40" w:after="40" w:line="264" w:lineRule="auto"/>
              <w:rPr>
                <w:b/>
              </w:rPr>
            </w:pPr>
          </w:p>
        </w:tc>
        <w:tc>
          <w:tcPr>
            <w:tcW w:w="1140" w:type="pct"/>
            <w:tcBorders>
              <w:top w:val="single" w:sz="4" w:space="0" w:color="auto"/>
              <w:left w:val="single" w:sz="4" w:space="0" w:color="auto"/>
              <w:bottom w:val="single" w:sz="4" w:space="0" w:color="auto"/>
              <w:right w:val="single" w:sz="4" w:space="0" w:color="auto"/>
            </w:tcBorders>
          </w:tcPr>
          <w:p w14:paraId="18CECC5A" w14:textId="77777777" w:rsidR="000D1700" w:rsidRDefault="000D1700" w:rsidP="00501854">
            <w:pPr>
              <w:tabs>
                <w:tab w:val="left" w:pos="720"/>
              </w:tabs>
              <w:spacing w:before="40" w:after="40" w:line="264" w:lineRule="auto"/>
              <w:rPr>
                <w:b/>
              </w:rPr>
            </w:pPr>
          </w:p>
        </w:tc>
        <w:tc>
          <w:tcPr>
            <w:tcW w:w="969" w:type="pct"/>
            <w:tcBorders>
              <w:top w:val="single" w:sz="4" w:space="0" w:color="auto"/>
              <w:left w:val="single" w:sz="4" w:space="0" w:color="auto"/>
              <w:bottom w:val="single" w:sz="4" w:space="0" w:color="auto"/>
              <w:right w:val="single" w:sz="4" w:space="0" w:color="auto"/>
            </w:tcBorders>
          </w:tcPr>
          <w:p w14:paraId="50825C94" w14:textId="77777777" w:rsidR="000D1700" w:rsidRDefault="000D1700" w:rsidP="00501854">
            <w:pPr>
              <w:tabs>
                <w:tab w:val="left" w:pos="720"/>
              </w:tabs>
              <w:spacing w:before="40" w:after="40" w:line="264" w:lineRule="auto"/>
              <w:rPr>
                <w:b/>
              </w:rPr>
            </w:pPr>
          </w:p>
        </w:tc>
        <w:tc>
          <w:tcPr>
            <w:tcW w:w="1422" w:type="pct"/>
            <w:tcBorders>
              <w:top w:val="single" w:sz="4" w:space="0" w:color="auto"/>
              <w:left w:val="single" w:sz="4" w:space="0" w:color="auto"/>
              <w:bottom w:val="single" w:sz="4" w:space="0" w:color="auto"/>
              <w:right w:val="single" w:sz="4" w:space="0" w:color="auto"/>
            </w:tcBorders>
          </w:tcPr>
          <w:p w14:paraId="34268956" w14:textId="77777777" w:rsidR="000D1700" w:rsidRDefault="000D1700" w:rsidP="00501854">
            <w:pPr>
              <w:tabs>
                <w:tab w:val="left" w:pos="720"/>
              </w:tabs>
              <w:spacing w:before="40" w:after="40" w:line="264" w:lineRule="auto"/>
              <w:rPr>
                <w:b/>
              </w:rPr>
            </w:pPr>
          </w:p>
        </w:tc>
      </w:tr>
      <w:tr w:rsidR="00126250" w14:paraId="256E55EF" w14:textId="77777777" w:rsidTr="009B0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587" w:type="pct"/>
            <w:tcBorders>
              <w:top w:val="single" w:sz="4" w:space="0" w:color="auto"/>
              <w:left w:val="single" w:sz="4" w:space="0" w:color="auto"/>
              <w:bottom w:val="single" w:sz="4" w:space="0" w:color="auto"/>
              <w:right w:val="single" w:sz="4" w:space="0" w:color="auto"/>
            </w:tcBorders>
          </w:tcPr>
          <w:p w14:paraId="0A4C6E7E" w14:textId="3DAD8D32" w:rsidR="00126250" w:rsidRDefault="00126250" w:rsidP="00501854">
            <w:pPr>
              <w:tabs>
                <w:tab w:val="left" w:pos="720"/>
              </w:tabs>
              <w:spacing w:before="40" w:after="40" w:line="264" w:lineRule="auto"/>
            </w:pPr>
            <w:r w:rsidRPr="00126250">
              <w:rPr>
                <w:i/>
              </w:rPr>
              <w:t>(Insert more rows as needed)</w:t>
            </w:r>
          </w:p>
        </w:tc>
        <w:tc>
          <w:tcPr>
            <w:tcW w:w="882" w:type="pct"/>
            <w:tcBorders>
              <w:top w:val="single" w:sz="4" w:space="0" w:color="auto"/>
              <w:left w:val="single" w:sz="4" w:space="0" w:color="auto"/>
              <w:bottom w:val="single" w:sz="4" w:space="0" w:color="auto"/>
              <w:right w:val="single" w:sz="4" w:space="0" w:color="auto"/>
            </w:tcBorders>
          </w:tcPr>
          <w:p w14:paraId="31379DC2" w14:textId="77777777" w:rsidR="00126250" w:rsidRDefault="00126250" w:rsidP="00501854">
            <w:pPr>
              <w:tabs>
                <w:tab w:val="left" w:pos="720"/>
              </w:tabs>
              <w:spacing w:before="40" w:after="40" w:line="264" w:lineRule="auto"/>
              <w:rPr>
                <w:b/>
              </w:rPr>
            </w:pPr>
          </w:p>
        </w:tc>
        <w:tc>
          <w:tcPr>
            <w:tcW w:w="1140" w:type="pct"/>
            <w:tcBorders>
              <w:top w:val="single" w:sz="4" w:space="0" w:color="auto"/>
              <w:left w:val="single" w:sz="4" w:space="0" w:color="auto"/>
              <w:bottom w:val="single" w:sz="4" w:space="0" w:color="auto"/>
              <w:right w:val="single" w:sz="4" w:space="0" w:color="auto"/>
            </w:tcBorders>
          </w:tcPr>
          <w:p w14:paraId="34561AB9" w14:textId="77777777" w:rsidR="00126250" w:rsidRDefault="00126250" w:rsidP="00501854">
            <w:pPr>
              <w:tabs>
                <w:tab w:val="left" w:pos="720"/>
              </w:tabs>
              <w:spacing w:before="40" w:after="40" w:line="264" w:lineRule="auto"/>
              <w:rPr>
                <w:b/>
              </w:rPr>
            </w:pPr>
          </w:p>
        </w:tc>
        <w:tc>
          <w:tcPr>
            <w:tcW w:w="969" w:type="pct"/>
            <w:tcBorders>
              <w:top w:val="single" w:sz="4" w:space="0" w:color="auto"/>
              <w:left w:val="single" w:sz="4" w:space="0" w:color="auto"/>
              <w:bottom w:val="single" w:sz="4" w:space="0" w:color="auto"/>
              <w:right w:val="single" w:sz="4" w:space="0" w:color="auto"/>
            </w:tcBorders>
          </w:tcPr>
          <w:p w14:paraId="3DABE7FB" w14:textId="2BC15E94" w:rsidR="00126250" w:rsidRDefault="00126250" w:rsidP="00501854">
            <w:pPr>
              <w:tabs>
                <w:tab w:val="left" w:pos="720"/>
              </w:tabs>
              <w:spacing w:before="40" w:after="40" w:line="264" w:lineRule="auto"/>
              <w:rPr>
                <w:b/>
              </w:rPr>
            </w:pPr>
          </w:p>
        </w:tc>
        <w:tc>
          <w:tcPr>
            <w:tcW w:w="1422" w:type="pct"/>
            <w:tcBorders>
              <w:top w:val="single" w:sz="4" w:space="0" w:color="auto"/>
              <w:left w:val="single" w:sz="4" w:space="0" w:color="auto"/>
              <w:bottom w:val="single" w:sz="4" w:space="0" w:color="auto"/>
              <w:right w:val="single" w:sz="4" w:space="0" w:color="auto"/>
            </w:tcBorders>
          </w:tcPr>
          <w:p w14:paraId="06EF4D1F" w14:textId="77777777" w:rsidR="00126250" w:rsidRDefault="00126250" w:rsidP="00501854">
            <w:pPr>
              <w:tabs>
                <w:tab w:val="left" w:pos="720"/>
              </w:tabs>
              <w:spacing w:before="40" w:after="40" w:line="264" w:lineRule="auto"/>
              <w:rPr>
                <w:b/>
              </w:rPr>
            </w:pPr>
          </w:p>
        </w:tc>
      </w:tr>
    </w:tbl>
    <w:p w14:paraId="08E2BC27" w14:textId="6588CE0C" w:rsidR="00126250" w:rsidRDefault="00126250" w:rsidP="00501854">
      <w:pPr>
        <w:tabs>
          <w:tab w:val="center" w:pos="4819"/>
        </w:tabs>
        <w:spacing w:line="264" w:lineRule="auto"/>
      </w:pPr>
    </w:p>
    <w:p w14:paraId="4C559620" w14:textId="0A6D1575" w:rsidR="00126250" w:rsidRDefault="00126250" w:rsidP="00501854">
      <w:pPr>
        <w:tabs>
          <w:tab w:val="center" w:pos="4819"/>
        </w:tabs>
        <w:spacing w:line="264" w:lineRule="auto"/>
      </w:pPr>
    </w:p>
    <w:p w14:paraId="15DCD617" w14:textId="540DE6C1" w:rsidR="00126250" w:rsidRDefault="00126250" w:rsidP="00501854">
      <w:pPr>
        <w:tabs>
          <w:tab w:val="center" w:pos="4819"/>
        </w:tabs>
        <w:spacing w:line="264" w:lineRule="auto"/>
      </w:pPr>
    </w:p>
    <w:p w14:paraId="5599A4FA" w14:textId="77777777" w:rsidR="000D1700" w:rsidRDefault="000D1700" w:rsidP="00501854">
      <w:pPr>
        <w:spacing w:line="264" w:lineRule="auto"/>
        <w:rPr>
          <w:b/>
          <w:bCs/>
          <w:sz w:val="32"/>
          <w:szCs w:val="32"/>
        </w:rPr>
      </w:pPr>
      <w:r>
        <w:rPr>
          <w:b/>
          <w:bCs/>
          <w:sz w:val="32"/>
          <w:szCs w:val="32"/>
        </w:rPr>
        <w:br w:type="page"/>
      </w:r>
    </w:p>
    <w:p w14:paraId="328FB08F" w14:textId="11FEEED8" w:rsidR="003D17AB" w:rsidRDefault="00AE4498" w:rsidP="00501854">
      <w:pPr>
        <w:spacing w:before="120" w:after="120" w:line="264" w:lineRule="auto"/>
        <w:rPr>
          <w:b/>
          <w:bCs/>
          <w:sz w:val="32"/>
          <w:szCs w:val="32"/>
        </w:rPr>
      </w:pPr>
      <w:r w:rsidRPr="003D17AB">
        <w:rPr>
          <w:b/>
          <w:bCs/>
          <w:sz w:val="32"/>
          <w:szCs w:val="32"/>
        </w:rPr>
        <w:lastRenderedPageBreak/>
        <w:t>1</w:t>
      </w:r>
      <w:r w:rsidR="009B70E9">
        <w:rPr>
          <w:b/>
          <w:bCs/>
          <w:sz w:val="32"/>
          <w:szCs w:val="32"/>
        </w:rPr>
        <w:t>1</w:t>
      </w:r>
      <w:r w:rsidRPr="003D17AB">
        <w:rPr>
          <w:b/>
          <w:bCs/>
          <w:sz w:val="32"/>
          <w:szCs w:val="32"/>
        </w:rPr>
        <w:t xml:space="preserve">. </w:t>
      </w:r>
      <w:bookmarkStart w:id="186" w:name="_Hlk115438360"/>
      <w:r w:rsidR="003D17AB">
        <w:rPr>
          <w:b/>
          <w:bCs/>
          <w:sz w:val="32"/>
          <w:szCs w:val="32"/>
        </w:rPr>
        <w:t xml:space="preserve">Counting rules – </w:t>
      </w:r>
      <w:r w:rsidR="00EC14F9">
        <w:rPr>
          <w:b/>
          <w:bCs/>
          <w:sz w:val="32"/>
          <w:szCs w:val="32"/>
        </w:rPr>
        <w:t>E</w:t>
      </w:r>
      <w:r w:rsidR="003D17AB">
        <w:rPr>
          <w:b/>
          <w:bCs/>
          <w:sz w:val="32"/>
          <w:szCs w:val="32"/>
        </w:rPr>
        <w:t xml:space="preserve">xamples </w:t>
      </w:r>
    </w:p>
    <w:p w14:paraId="291DC5C8" w14:textId="56A9B629" w:rsidR="00E540CA" w:rsidRDefault="00E540CA" w:rsidP="00501854">
      <w:pPr>
        <w:tabs>
          <w:tab w:val="left" w:pos="2654"/>
        </w:tabs>
        <w:spacing w:line="264" w:lineRule="auto"/>
      </w:pPr>
      <w:r w:rsidRPr="00501854">
        <w:t xml:space="preserve">The department recognises that </w:t>
      </w:r>
      <w:r w:rsidR="00145CE9">
        <w:t>Suppliers</w:t>
      </w:r>
      <w:r w:rsidRPr="00501854">
        <w:t xml:space="preserve"> must undertake a range of activities </w:t>
      </w:r>
      <w:r w:rsidR="003702EB">
        <w:t>to</w:t>
      </w:r>
      <w:r w:rsidR="000F0AFE" w:rsidRPr="00501854">
        <w:t xml:space="preserve"> deliver support services which may not be directly attributable to a Service User (or Service Users), such as development of service policies and forms, general networking, </w:t>
      </w:r>
      <w:r w:rsidR="00D8049B" w:rsidRPr="00501854">
        <w:t xml:space="preserve">development of referral arrangements and service delivery partnerships, </w:t>
      </w:r>
      <w:r w:rsidR="000F0AFE" w:rsidRPr="00501854">
        <w:t xml:space="preserve">service promotion, </w:t>
      </w:r>
      <w:r w:rsidR="0020723F" w:rsidRPr="00501854">
        <w:t xml:space="preserve">worker recruitment, </w:t>
      </w:r>
      <w:r w:rsidR="000F0AFE" w:rsidRPr="00501854">
        <w:t xml:space="preserve">team meetings, </w:t>
      </w:r>
      <w:proofErr w:type="gramStart"/>
      <w:r w:rsidR="000F0AFE" w:rsidRPr="00501854">
        <w:t>training</w:t>
      </w:r>
      <w:proofErr w:type="gramEnd"/>
      <w:r w:rsidR="000F0AFE" w:rsidRPr="00501854">
        <w:t xml:space="preserve"> and professional development, etc.</w:t>
      </w:r>
      <w:r w:rsidR="0020723F" w:rsidRPr="00501854">
        <w:t xml:space="preserve">  </w:t>
      </w:r>
      <w:r w:rsidR="00145CE9">
        <w:t xml:space="preserve">While activities required to be undertaken </w:t>
      </w:r>
      <w:proofErr w:type="gramStart"/>
      <w:r w:rsidR="00145CE9">
        <w:t>in the course of</w:t>
      </w:r>
      <w:proofErr w:type="gramEnd"/>
      <w:r w:rsidR="00145CE9">
        <w:t xml:space="preserve"> delivering a service, t</w:t>
      </w:r>
      <w:r w:rsidR="0020723F" w:rsidRPr="00501854">
        <w:t>hese types of activities are not reported to the department under the reporting requirements.</w:t>
      </w:r>
    </w:p>
    <w:p w14:paraId="718AD9D3" w14:textId="77777777" w:rsidR="00501854" w:rsidRPr="00501854" w:rsidRDefault="00501854" w:rsidP="00501854">
      <w:pPr>
        <w:tabs>
          <w:tab w:val="left" w:pos="2654"/>
        </w:tabs>
        <w:spacing w:line="264" w:lineRule="auto"/>
      </w:pPr>
    </w:p>
    <w:p w14:paraId="0F9A141E" w14:textId="76D35B20" w:rsidR="00E540CA" w:rsidRDefault="001B34C9" w:rsidP="00501854">
      <w:pPr>
        <w:tabs>
          <w:tab w:val="left" w:pos="2654"/>
        </w:tabs>
        <w:spacing w:line="264" w:lineRule="auto"/>
      </w:pPr>
      <w:r w:rsidRPr="00501854">
        <w:t>The d</w:t>
      </w:r>
      <w:r w:rsidR="000F0AFE" w:rsidRPr="00501854">
        <w:t>eliverables contained in funding schedules (</w:t>
      </w:r>
      <w:proofErr w:type="gramStart"/>
      <w:r w:rsidR="000F0AFE" w:rsidRPr="00501854">
        <w:t>e.g.</w:t>
      </w:r>
      <w:proofErr w:type="gramEnd"/>
      <w:r w:rsidR="000F0AFE" w:rsidRPr="00501854">
        <w:t xml:space="preserve"> output hours</w:t>
      </w:r>
      <w:r w:rsidR="0020723F" w:rsidRPr="00501854">
        <w:t>, milestone reports</w:t>
      </w:r>
      <w:r w:rsidR="000F0AFE" w:rsidRPr="00501854">
        <w:t xml:space="preserve">) </w:t>
      </w:r>
      <w:r w:rsidRPr="00501854">
        <w:t xml:space="preserve">are not intended to capture these types of activities.  Instead, the </w:t>
      </w:r>
      <w:r w:rsidR="0020723F" w:rsidRPr="00501854">
        <w:t xml:space="preserve">department seeks more particular information to assess service performance.  </w:t>
      </w:r>
    </w:p>
    <w:p w14:paraId="255BD4FC" w14:textId="77777777" w:rsidR="00501854" w:rsidRPr="00501854" w:rsidRDefault="00501854" w:rsidP="00501854">
      <w:pPr>
        <w:tabs>
          <w:tab w:val="left" w:pos="2654"/>
        </w:tabs>
        <w:spacing w:line="264" w:lineRule="auto"/>
      </w:pPr>
    </w:p>
    <w:p w14:paraId="6C55BD98" w14:textId="4F0692D9" w:rsidR="00E540CA" w:rsidRDefault="00E540CA" w:rsidP="00501854">
      <w:pPr>
        <w:tabs>
          <w:tab w:val="left" w:pos="2654"/>
        </w:tabs>
        <w:spacing w:line="264" w:lineRule="auto"/>
      </w:pPr>
      <w:r w:rsidRPr="00501854">
        <w:t xml:space="preserve">The counting rules for performance measures contained in funding schedules are provided in the Outputs and Performance Measures Catalogue on the department’s website at </w:t>
      </w:r>
      <w:hyperlink r:id="rId42" w:history="1">
        <w:r w:rsidRPr="00501854">
          <w:rPr>
            <w:rStyle w:val="Hyperlink"/>
          </w:rPr>
          <w:t>https://www.cyjma.qld.gov.au/about-us/our-department/funding-grants-investment/investment-specifications</w:t>
        </w:r>
      </w:hyperlink>
      <w:r w:rsidRPr="00501854">
        <w:t xml:space="preserve">.  Data required to be reported under the contract must be collected in accordance with these rules.  </w:t>
      </w:r>
    </w:p>
    <w:p w14:paraId="4A3C7DBA" w14:textId="77777777" w:rsidR="00501854" w:rsidRPr="00501854" w:rsidRDefault="00501854" w:rsidP="00501854">
      <w:pPr>
        <w:tabs>
          <w:tab w:val="left" w:pos="2654"/>
        </w:tabs>
        <w:spacing w:line="264" w:lineRule="auto"/>
      </w:pPr>
    </w:p>
    <w:p w14:paraId="5E8BFA5A" w14:textId="0DB01BD2" w:rsidR="00E540CA" w:rsidRDefault="00E540CA" w:rsidP="00501854">
      <w:pPr>
        <w:tabs>
          <w:tab w:val="left" w:pos="2654"/>
        </w:tabs>
        <w:spacing w:line="264" w:lineRule="auto"/>
      </w:pPr>
      <w:r w:rsidRPr="00501854">
        <w:t>Following are examples which must be used to support the application of the rules outlined in the Outputs and Performance Measures Catalogue.</w:t>
      </w:r>
    </w:p>
    <w:p w14:paraId="3827F333" w14:textId="77777777" w:rsidR="00501854" w:rsidRPr="00501854" w:rsidRDefault="00501854" w:rsidP="00501854">
      <w:pPr>
        <w:tabs>
          <w:tab w:val="left" w:pos="2654"/>
        </w:tabs>
        <w:spacing w:line="264" w:lineRule="auto"/>
      </w:pPr>
    </w:p>
    <w:p w14:paraId="6A9109E0" w14:textId="43588700" w:rsidR="00936527" w:rsidRPr="00936527" w:rsidRDefault="00936527" w:rsidP="00501854">
      <w:pPr>
        <w:tabs>
          <w:tab w:val="left" w:pos="2654"/>
        </w:tabs>
        <w:spacing w:before="120" w:after="120" w:line="264" w:lineRule="auto"/>
        <w:rPr>
          <w:b/>
          <w:bCs/>
          <w:sz w:val="22"/>
          <w:szCs w:val="22"/>
        </w:rPr>
      </w:pPr>
      <w:r w:rsidRPr="00936527">
        <w:rPr>
          <w:b/>
          <w:bCs/>
          <w:sz w:val="22"/>
          <w:szCs w:val="22"/>
        </w:rPr>
        <w:t xml:space="preserve">11.1 Youth </w:t>
      </w:r>
      <w:r w:rsidR="008B351C">
        <w:rPr>
          <w:b/>
          <w:bCs/>
          <w:sz w:val="22"/>
          <w:szCs w:val="22"/>
        </w:rPr>
        <w:t>s</w:t>
      </w:r>
      <w:r w:rsidRPr="00936527">
        <w:rPr>
          <w:b/>
          <w:bCs/>
          <w:sz w:val="22"/>
          <w:szCs w:val="22"/>
        </w:rPr>
        <w:t xml:space="preserve">upport </w:t>
      </w:r>
      <w:r w:rsidR="008B351C">
        <w:rPr>
          <w:b/>
          <w:bCs/>
          <w:sz w:val="22"/>
          <w:szCs w:val="22"/>
        </w:rPr>
        <w:t>s</w:t>
      </w:r>
      <w:r w:rsidRPr="00936527">
        <w:rPr>
          <w:b/>
          <w:bCs/>
          <w:sz w:val="22"/>
          <w:szCs w:val="22"/>
        </w:rPr>
        <w:t>ervices</w:t>
      </w:r>
    </w:p>
    <w:tbl>
      <w:tblPr>
        <w:tblStyle w:val="TableGrid"/>
        <w:tblW w:w="14879" w:type="dxa"/>
        <w:tblLook w:val="04A0" w:firstRow="1" w:lastRow="0" w:firstColumn="1" w:lastColumn="0" w:noHBand="0" w:noVBand="1"/>
      </w:tblPr>
      <w:tblGrid>
        <w:gridCol w:w="1980"/>
        <w:gridCol w:w="1984"/>
        <w:gridCol w:w="10915"/>
      </w:tblGrid>
      <w:tr w:rsidR="000D1700" w14:paraId="17FB03D1" w14:textId="77777777" w:rsidTr="000D1700">
        <w:tc>
          <w:tcPr>
            <w:tcW w:w="14879" w:type="dxa"/>
            <w:gridSpan w:val="3"/>
            <w:shd w:val="clear" w:color="auto" w:fill="FFFFFF" w:themeFill="background1"/>
            <w:vAlign w:val="center"/>
          </w:tcPr>
          <w:p w14:paraId="5AFCA181" w14:textId="718C52B1" w:rsidR="000D1700" w:rsidRPr="000D1700" w:rsidRDefault="000D1700" w:rsidP="00501854">
            <w:pPr>
              <w:tabs>
                <w:tab w:val="left" w:pos="2654"/>
              </w:tabs>
              <w:spacing w:before="120" w:after="120" w:line="264" w:lineRule="auto"/>
              <w:rPr>
                <w:b/>
                <w:bCs/>
                <w:color w:val="00B0F0"/>
                <w:sz w:val="22"/>
                <w:szCs w:val="22"/>
              </w:rPr>
            </w:pPr>
            <w:r w:rsidRPr="000D1700">
              <w:rPr>
                <w:b/>
                <w:bCs/>
                <w:color w:val="00B0F0"/>
                <w:sz w:val="22"/>
                <w:szCs w:val="22"/>
              </w:rPr>
              <w:t xml:space="preserve">Service Type – </w:t>
            </w:r>
            <w:r w:rsidR="00936527">
              <w:rPr>
                <w:b/>
                <w:bCs/>
                <w:color w:val="00B0F0"/>
                <w:sz w:val="22"/>
                <w:szCs w:val="22"/>
              </w:rPr>
              <w:t xml:space="preserve">T103 </w:t>
            </w:r>
            <w:r w:rsidRPr="000D1700">
              <w:rPr>
                <w:b/>
                <w:bCs/>
                <w:color w:val="00B0F0"/>
                <w:sz w:val="22"/>
                <w:szCs w:val="22"/>
              </w:rPr>
              <w:t xml:space="preserve">Information, Advice </w:t>
            </w:r>
            <w:r w:rsidR="008B351C">
              <w:rPr>
                <w:b/>
                <w:bCs/>
                <w:color w:val="00B0F0"/>
                <w:sz w:val="22"/>
                <w:szCs w:val="22"/>
              </w:rPr>
              <w:t>and</w:t>
            </w:r>
            <w:r w:rsidRPr="000D1700">
              <w:rPr>
                <w:b/>
                <w:bCs/>
                <w:color w:val="00B0F0"/>
                <w:sz w:val="22"/>
                <w:szCs w:val="22"/>
              </w:rPr>
              <w:t xml:space="preserve"> Referral</w:t>
            </w:r>
          </w:p>
          <w:p w14:paraId="29A41D0B" w14:textId="3DAC288E" w:rsidR="000D1700" w:rsidRPr="00095124" w:rsidRDefault="000D1700" w:rsidP="00501854">
            <w:pPr>
              <w:tabs>
                <w:tab w:val="left" w:pos="2654"/>
              </w:tabs>
              <w:spacing w:before="120" w:after="120" w:line="264" w:lineRule="auto"/>
              <w:rPr>
                <w:b/>
                <w:bCs/>
              </w:rPr>
            </w:pPr>
            <w:r w:rsidRPr="000D1700">
              <w:rPr>
                <w:b/>
                <w:bCs/>
                <w:color w:val="00B0F0"/>
                <w:sz w:val="22"/>
                <w:szCs w:val="22"/>
              </w:rPr>
              <w:t xml:space="preserve">Service User – Young people </w:t>
            </w:r>
            <w:r w:rsidRPr="00CB125F">
              <w:rPr>
                <w:b/>
                <w:bCs/>
                <w:color w:val="00B0F0"/>
                <w:sz w:val="22"/>
                <w:szCs w:val="22"/>
              </w:rPr>
              <w:t xml:space="preserve">aged </w:t>
            </w:r>
            <w:r w:rsidR="009B70E9" w:rsidRPr="00CB125F">
              <w:rPr>
                <w:b/>
                <w:bCs/>
                <w:color w:val="00B0F0"/>
                <w:sz w:val="22"/>
                <w:szCs w:val="22"/>
              </w:rPr>
              <w:t>12</w:t>
            </w:r>
            <w:r w:rsidRPr="00CB125F">
              <w:rPr>
                <w:b/>
                <w:bCs/>
                <w:color w:val="00B0F0"/>
                <w:sz w:val="22"/>
                <w:szCs w:val="22"/>
              </w:rPr>
              <w:t xml:space="preserve">–21 years </w:t>
            </w:r>
            <w:r w:rsidRPr="000D1700">
              <w:rPr>
                <w:b/>
                <w:bCs/>
                <w:color w:val="00B0F0"/>
                <w:sz w:val="22"/>
                <w:szCs w:val="22"/>
              </w:rPr>
              <w:t>who are at risk of disconnection (U2107)</w:t>
            </w:r>
          </w:p>
        </w:tc>
      </w:tr>
      <w:tr w:rsidR="002D7B6F" w14:paraId="2AC941DE" w14:textId="77777777" w:rsidTr="000D1700">
        <w:tc>
          <w:tcPr>
            <w:tcW w:w="1980" w:type="dxa"/>
            <w:shd w:val="clear" w:color="auto" w:fill="BFBFBF" w:themeFill="background1" w:themeFillShade="BF"/>
            <w:vAlign w:val="center"/>
          </w:tcPr>
          <w:p w14:paraId="04EB7287" w14:textId="3D826B00" w:rsidR="002D7B6F" w:rsidRPr="00095124" w:rsidRDefault="002D7B6F" w:rsidP="00BA21AD">
            <w:pPr>
              <w:tabs>
                <w:tab w:val="left" w:pos="2654"/>
              </w:tabs>
              <w:spacing w:before="60" w:after="60" w:line="264" w:lineRule="auto"/>
              <w:rPr>
                <w:b/>
                <w:bCs/>
              </w:rPr>
            </w:pPr>
            <w:r w:rsidRPr="00095124">
              <w:rPr>
                <w:b/>
                <w:bCs/>
              </w:rPr>
              <w:t>Measure</w:t>
            </w:r>
            <w:r>
              <w:rPr>
                <w:b/>
                <w:bCs/>
              </w:rPr>
              <w:t xml:space="preserve"> / Description </w:t>
            </w:r>
          </w:p>
        </w:tc>
        <w:tc>
          <w:tcPr>
            <w:tcW w:w="1984" w:type="dxa"/>
            <w:shd w:val="clear" w:color="auto" w:fill="BFBFBF" w:themeFill="background1" w:themeFillShade="BF"/>
            <w:vAlign w:val="center"/>
          </w:tcPr>
          <w:p w14:paraId="18888B72" w14:textId="02CCC139" w:rsidR="002D7B6F" w:rsidRPr="00095124" w:rsidRDefault="002D7B6F" w:rsidP="00BA21AD">
            <w:pPr>
              <w:tabs>
                <w:tab w:val="left" w:pos="2654"/>
              </w:tabs>
              <w:spacing w:before="60" w:after="60" w:line="264" w:lineRule="auto"/>
              <w:rPr>
                <w:b/>
                <w:bCs/>
              </w:rPr>
            </w:pPr>
            <w:r w:rsidRPr="00095124">
              <w:rPr>
                <w:b/>
                <w:bCs/>
              </w:rPr>
              <w:t>Counting Rule</w:t>
            </w:r>
          </w:p>
        </w:tc>
        <w:tc>
          <w:tcPr>
            <w:tcW w:w="10915" w:type="dxa"/>
            <w:shd w:val="clear" w:color="auto" w:fill="BFBFBF" w:themeFill="background1" w:themeFillShade="BF"/>
            <w:vAlign w:val="center"/>
          </w:tcPr>
          <w:p w14:paraId="495A5DB2" w14:textId="7C3E3952" w:rsidR="002D7B6F" w:rsidRPr="00095124" w:rsidRDefault="002D7B6F" w:rsidP="00BA21AD">
            <w:pPr>
              <w:tabs>
                <w:tab w:val="left" w:pos="2654"/>
              </w:tabs>
              <w:spacing w:before="60" w:after="60" w:line="264" w:lineRule="auto"/>
              <w:rPr>
                <w:b/>
                <w:bCs/>
              </w:rPr>
            </w:pPr>
            <w:r w:rsidRPr="00095124">
              <w:rPr>
                <w:b/>
                <w:bCs/>
              </w:rPr>
              <w:t>Examples</w:t>
            </w:r>
          </w:p>
        </w:tc>
      </w:tr>
      <w:tr w:rsidR="002D7B6F" w14:paraId="7FE44E7E" w14:textId="77777777" w:rsidTr="000D1700">
        <w:tc>
          <w:tcPr>
            <w:tcW w:w="1980" w:type="dxa"/>
            <w:vAlign w:val="center"/>
          </w:tcPr>
          <w:p w14:paraId="5939DCB3" w14:textId="77777777" w:rsidR="002D7B6F" w:rsidRDefault="002D7B6F" w:rsidP="00BA21AD">
            <w:pPr>
              <w:tabs>
                <w:tab w:val="left" w:pos="2654"/>
              </w:tabs>
              <w:spacing w:before="60" w:after="60" w:line="264" w:lineRule="auto"/>
            </w:pPr>
            <w:r w:rsidRPr="00C60170">
              <w:t>A01.1.06H</w:t>
            </w:r>
          </w:p>
          <w:p w14:paraId="44B84258" w14:textId="1BD4B63E" w:rsidR="002D7B6F" w:rsidRPr="002D7B6F" w:rsidRDefault="002D7B6F" w:rsidP="00BA21AD">
            <w:pPr>
              <w:tabs>
                <w:tab w:val="left" w:pos="2654"/>
              </w:tabs>
              <w:spacing w:before="60" w:after="60" w:line="264" w:lineRule="auto"/>
            </w:pPr>
            <w:r w:rsidRPr="002D7B6F">
              <w:t>Number of hours provided during the reporting period</w:t>
            </w:r>
          </w:p>
        </w:tc>
        <w:tc>
          <w:tcPr>
            <w:tcW w:w="1984" w:type="dxa"/>
            <w:vAlign w:val="center"/>
          </w:tcPr>
          <w:p w14:paraId="0CCFE8B4" w14:textId="43BAE171" w:rsidR="002D7B6F" w:rsidRDefault="002D7B6F" w:rsidP="00BA21AD">
            <w:pPr>
              <w:tabs>
                <w:tab w:val="left" w:pos="2654"/>
              </w:tabs>
              <w:spacing w:before="60" w:after="60" w:line="264" w:lineRule="auto"/>
              <w:rPr>
                <w:b/>
                <w:bCs/>
              </w:rPr>
            </w:pPr>
            <w:r w:rsidRPr="00C60170">
              <w:t xml:space="preserve">Count all hours spent with Service Users or time spent on behalf of a Service Users or which can be attributed to a Service User to provide Information, advice, individual advocacy, </w:t>
            </w:r>
            <w:r w:rsidRPr="00C60170">
              <w:lastRenderedPageBreak/>
              <w:t>engagement and/or referral.</w:t>
            </w:r>
          </w:p>
        </w:tc>
        <w:tc>
          <w:tcPr>
            <w:tcW w:w="10915" w:type="dxa"/>
            <w:vAlign w:val="center"/>
          </w:tcPr>
          <w:p w14:paraId="08CCDA70" w14:textId="17316072" w:rsidR="002D7B6F" w:rsidRDefault="00282463" w:rsidP="00BA21AD">
            <w:pPr>
              <w:tabs>
                <w:tab w:val="left" w:pos="2654"/>
              </w:tabs>
              <w:spacing w:before="60" w:after="60" w:line="264" w:lineRule="auto"/>
              <w:rPr>
                <w:rFonts w:cs="Arial"/>
              </w:rPr>
            </w:pPr>
            <w:r w:rsidRPr="00282463">
              <w:rPr>
                <w:rFonts w:cs="Arial"/>
              </w:rPr>
              <w:lastRenderedPageBreak/>
              <w:t xml:space="preserve">Time reported under this output must be time which is directly associated with a </w:t>
            </w:r>
            <w:r w:rsidR="00147312">
              <w:rPr>
                <w:rFonts w:cs="Arial"/>
              </w:rPr>
              <w:t>S</w:t>
            </w:r>
            <w:r w:rsidRPr="00282463">
              <w:rPr>
                <w:rFonts w:cs="Arial"/>
              </w:rPr>
              <w:t xml:space="preserve">ervice </w:t>
            </w:r>
            <w:r w:rsidR="00147312">
              <w:rPr>
                <w:rFonts w:cs="Arial"/>
              </w:rPr>
              <w:t>U</w:t>
            </w:r>
            <w:r w:rsidRPr="00282463">
              <w:rPr>
                <w:rFonts w:cs="Arial"/>
              </w:rPr>
              <w:t xml:space="preserve">ser(s). </w:t>
            </w:r>
            <w:r>
              <w:rPr>
                <w:rFonts w:cs="Arial"/>
              </w:rPr>
              <w:t xml:space="preserve"> </w:t>
            </w:r>
            <w:r w:rsidR="002D7B6F" w:rsidRPr="00C6056C">
              <w:rPr>
                <w:rFonts w:cs="Arial"/>
              </w:rPr>
              <w:t xml:space="preserve">This includes time spent with Service Users, </w:t>
            </w:r>
            <w:r w:rsidR="00BA21AD" w:rsidRPr="00BA21AD">
              <w:rPr>
                <w:rFonts w:cs="Arial"/>
              </w:rPr>
              <w:t xml:space="preserve">updating records of Service Users, </w:t>
            </w:r>
            <w:r w:rsidR="00147312" w:rsidRPr="00147312">
              <w:rPr>
                <w:rFonts w:cs="Arial"/>
              </w:rPr>
              <w:t xml:space="preserve">travel to meet a Service User, </w:t>
            </w:r>
            <w:r w:rsidR="002D7B6F" w:rsidRPr="001F336A">
              <w:rPr>
                <w:rFonts w:cs="Arial"/>
              </w:rPr>
              <w:t>undertaking tasks on behalf of Service Users</w:t>
            </w:r>
            <w:r w:rsidR="002D7B6F" w:rsidRPr="00C6056C">
              <w:rPr>
                <w:rFonts w:cs="Arial"/>
              </w:rPr>
              <w:t xml:space="preserve">, </w:t>
            </w:r>
            <w:r w:rsidR="000F2441">
              <w:rPr>
                <w:rFonts w:cs="Arial"/>
              </w:rPr>
              <w:t xml:space="preserve">case workers </w:t>
            </w:r>
            <w:r w:rsidR="002D7B6F" w:rsidRPr="001F336A">
              <w:rPr>
                <w:rFonts w:cs="Arial"/>
              </w:rPr>
              <w:t xml:space="preserve">writing file recording </w:t>
            </w:r>
            <w:r w:rsidR="002D7B6F">
              <w:rPr>
                <w:rFonts w:cs="Arial"/>
              </w:rPr>
              <w:t>Service User information</w:t>
            </w:r>
            <w:r w:rsidR="002D7B6F" w:rsidRPr="001F336A">
              <w:rPr>
                <w:rFonts w:cs="Arial"/>
              </w:rPr>
              <w:t xml:space="preserve"> </w:t>
            </w:r>
            <w:r w:rsidR="002D7B6F" w:rsidRPr="00C6056C">
              <w:rPr>
                <w:rFonts w:cs="Arial"/>
              </w:rPr>
              <w:t>into YSCIS</w:t>
            </w:r>
            <w:r w:rsidR="002D7B6F" w:rsidRPr="001F336A">
              <w:rPr>
                <w:rFonts w:cs="Arial"/>
              </w:rPr>
              <w:t xml:space="preserve">, and preparation for </w:t>
            </w:r>
            <w:r w:rsidR="002D7B6F" w:rsidRPr="00C6056C">
              <w:rPr>
                <w:rFonts w:cs="Arial"/>
              </w:rPr>
              <w:t xml:space="preserve">group activities with </w:t>
            </w:r>
            <w:r w:rsidR="000E4B4F" w:rsidRPr="000E4B4F">
              <w:rPr>
                <w:rFonts w:cs="Arial"/>
              </w:rPr>
              <w:t xml:space="preserve">targeted </w:t>
            </w:r>
            <w:r w:rsidR="002D7B6F" w:rsidRPr="00C6056C">
              <w:rPr>
                <w:rFonts w:cs="Arial"/>
              </w:rPr>
              <w:t>Service Users</w:t>
            </w:r>
            <w:r w:rsidR="002D7B6F" w:rsidRPr="001F336A">
              <w:rPr>
                <w:rFonts w:cs="Arial"/>
              </w:rPr>
              <w:t xml:space="preserve">.  </w:t>
            </w:r>
          </w:p>
          <w:p w14:paraId="4437E87F" w14:textId="0C638D2B" w:rsidR="00147312" w:rsidRPr="00147312" w:rsidRDefault="00147312" w:rsidP="00BA21AD">
            <w:pPr>
              <w:tabs>
                <w:tab w:val="left" w:pos="2654"/>
              </w:tabs>
              <w:spacing w:before="60" w:after="60" w:line="264" w:lineRule="auto"/>
              <w:rPr>
                <w:rFonts w:cs="Arial"/>
              </w:rPr>
            </w:pPr>
            <w:r w:rsidRPr="00147312">
              <w:rPr>
                <w:rFonts w:cs="Arial"/>
              </w:rPr>
              <w:t xml:space="preserve">Activities not directly related to a </w:t>
            </w:r>
            <w:r>
              <w:rPr>
                <w:rFonts w:cs="Arial"/>
              </w:rPr>
              <w:t>S</w:t>
            </w:r>
            <w:r w:rsidRPr="00147312">
              <w:rPr>
                <w:rFonts w:cs="Arial"/>
              </w:rPr>
              <w:t xml:space="preserve">ervice </w:t>
            </w:r>
            <w:r>
              <w:rPr>
                <w:rFonts w:cs="Arial"/>
              </w:rPr>
              <w:t>U</w:t>
            </w:r>
            <w:r w:rsidRPr="00147312">
              <w:rPr>
                <w:rFonts w:cs="Arial"/>
              </w:rPr>
              <w:t>ser(s) such as community events, network meetings, service planning meetings</w:t>
            </w:r>
            <w:r w:rsidR="00C05D5A">
              <w:rPr>
                <w:rFonts w:cs="Arial"/>
              </w:rPr>
              <w:t>,</w:t>
            </w:r>
            <w:r w:rsidRPr="00147312">
              <w:rPr>
                <w:rFonts w:cs="Arial"/>
              </w:rPr>
              <w:t xml:space="preserve"> etc. are not count</w:t>
            </w:r>
            <w:r>
              <w:rPr>
                <w:rFonts w:cs="Arial"/>
              </w:rPr>
              <w:t>ed</w:t>
            </w:r>
            <w:r w:rsidRPr="00147312">
              <w:rPr>
                <w:rFonts w:cs="Arial"/>
              </w:rPr>
              <w:t xml:space="preserve"> </w:t>
            </w:r>
            <w:r>
              <w:rPr>
                <w:rFonts w:cs="Arial"/>
              </w:rPr>
              <w:t>as</w:t>
            </w:r>
            <w:r w:rsidRPr="00147312">
              <w:rPr>
                <w:rFonts w:cs="Arial"/>
              </w:rPr>
              <w:t xml:space="preserve"> output</w:t>
            </w:r>
            <w:r>
              <w:rPr>
                <w:rFonts w:cs="Arial"/>
              </w:rPr>
              <w:t xml:space="preserve"> hour</w:t>
            </w:r>
            <w:r w:rsidRPr="00147312">
              <w:rPr>
                <w:rFonts w:cs="Arial"/>
              </w:rPr>
              <w:t xml:space="preserve">s. </w:t>
            </w:r>
            <w:r w:rsidR="00925694">
              <w:rPr>
                <w:rFonts w:cs="Arial"/>
              </w:rPr>
              <w:t xml:space="preserve"> </w:t>
            </w:r>
          </w:p>
          <w:p w14:paraId="18DD07B9" w14:textId="4F288045" w:rsidR="00147312" w:rsidRPr="00147312" w:rsidRDefault="00147312" w:rsidP="00BA21AD">
            <w:pPr>
              <w:tabs>
                <w:tab w:val="left" w:pos="2654"/>
              </w:tabs>
              <w:spacing w:before="60" w:after="60" w:line="264" w:lineRule="auto"/>
              <w:rPr>
                <w:rFonts w:cs="Arial"/>
              </w:rPr>
            </w:pPr>
            <w:r w:rsidRPr="00147312">
              <w:rPr>
                <w:rFonts w:cs="Arial"/>
              </w:rPr>
              <w:t xml:space="preserve">All time under this service type is required to be recorded in YSCIS.  </w:t>
            </w:r>
          </w:p>
          <w:p w14:paraId="7F24B23D" w14:textId="77777777" w:rsidR="002D7B6F" w:rsidRPr="00611D80" w:rsidRDefault="002D7B6F" w:rsidP="00BA21AD">
            <w:pPr>
              <w:tabs>
                <w:tab w:val="left" w:pos="2654"/>
              </w:tabs>
              <w:spacing w:before="60" w:after="60" w:line="264" w:lineRule="auto"/>
              <w:rPr>
                <w:rFonts w:cs="Arial"/>
              </w:rPr>
            </w:pPr>
            <w:r w:rsidRPr="00611D80">
              <w:rPr>
                <w:rFonts w:cs="Arial"/>
              </w:rPr>
              <w:t xml:space="preserve">Examples – </w:t>
            </w:r>
          </w:p>
          <w:p w14:paraId="0857EC27" w14:textId="10DB3A3F" w:rsidR="002D7B6F" w:rsidRPr="00FC7722" w:rsidRDefault="002D7B6F" w:rsidP="00BA21AD">
            <w:pPr>
              <w:pStyle w:val="ListParagraph"/>
              <w:numPr>
                <w:ilvl w:val="0"/>
                <w:numId w:val="14"/>
              </w:numPr>
              <w:tabs>
                <w:tab w:val="left" w:pos="2654"/>
              </w:tabs>
              <w:spacing w:before="60" w:after="60" w:line="264" w:lineRule="auto"/>
              <w:contextualSpacing w:val="0"/>
              <w:rPr>
                <w:rFonts w:ascii="Arial" w:hAnsi="Arial" w:cs="Arial"/>
              </w:rPr>
            </w:pPr>
            <w:r w:rsidRPr="00611D80">
              <w:rPr>
                <w:rFonts w:ascii="Arial" w:hAnsi="Arial" w:cs="Arial"/>
              </w:rPr>
              <w:t xml:space="preserve">A worker spends 15 minutes responding to an email asking for information. </w:t>
            </w:r>
            <w:r w:rsidR="00BA21AD">
              <w:rPr>
                <w:rFonts w:ascii="Arial" w:hAnsi="Arial" w:cs="Arial"/>
              </w:rPr>
              <w:t xml:space="preserve"> </w:t>
            </w:r>
            <w:r w:rsidRPr="00611D80">
              <w:rPr>
                <w:rFonts w:ascii="Arial" w:hAnsi="Arial" w:cs="Arial"/>
              </w:rPr>
              <w:t xml:space="preserve">Record 15 minutes in </w:t>
            </w:r>
            <w:r w:rsidRPr="00FC7722">
              <w:rPr>
                <w:rFonts w:ascii="Arial" w:hAnsi="Arial" w:cs="Arial"/>
              </w:rPr>
              <w:t>YSCIS (Note or Enquiry).</w:t>
            </w:r>
          </w:p>
          <w:p w14:paraId="26473F2F" w14:textId="189E2509" w:rsidR="002D7B6F" w:rsidRPr="00FC7722" w:rsidRDefault="002D7B6F" w:rsidP="00BA21AD">
            <w:pPr>
              <w:pStyle w:val="ListParagraph"/>
              <w:numPr>
                <w:ilvl w:val="0"/>
                <w:numId w:val="14"/>
              </w:numPr>
              <w:tabs>
                <w:tab w:val="left" w:pos="2654"/>
              </w:tabs>
              <w:spacing w:before="60" w:after="60" w:line="264" w:lineRule="auto"/>
              <w:contextualSpacing w:val="0"/>
              <w:rPr>
                <w:rFonts w:ascii="Arial" w:hAnsi="Arial" w:cs="Arial"/>
              </w:rPr>
            </w:pPr>
            <w:r w:rsidRPr="00FC7722">
              <w:rPr>
                <w:rFonts w:ascii="Arial" w:hAnsi="Arial" w:cs="Arial"/>
              </w:rPr>
              <w:lastRenderedPageBreak/>
              <w:t>A worker deliver</w:t>
            </w:r>
            <w:r>
              <w:rPr>
                <w:rFonts w:ascii="Arial" w:hAnsi="Arial" w:cs="Arial"/>
              </w:rPr>
              <w:t>s</w:t>
            </w:r>
            <w:r w:rsidRPr="00FC7722">
              <w:rPr>
                <w:rFonts w:ascii="Arial" w:hAnsi="Arial" w:cs="Arial"/>
              </w:rPr>
              <w:t xml:space="preserve"> an interview skills workshop with 6 Service Users for one hour.  Record 60 minutes in YSCIS (Group Note). </w:t>
            </w:r>
          </w:p>
          <w:p w14:paraId="4C5E9CAD" w14:textId="744F2984" w:rsidR="002D7B6F" w:rsidRDefault="002D7B6F" w:rsidP="00BA21AD">
            <w:pPr>
              <w:pStyle w:val="ListParagraph"/>
              <w:numPr>
                <w:ilvl w:val="0"/>
                <w:numId w:val="14"/>
              </w:numPr>
              <w:tabs>
                <w:tab w:val="left" w:pos="2654"/>
              </w:tabs>
              <w:spacing w:before="60" w:after="60" w:line="264" w:lineRule="auto"/>
              <w:contextualSpacing w:val="0"/>
              <w:rPr>
                <w:rFonts w:ascii="Arial" w:hAnsi="Arial" w:cs="Arial"/>
              </w:rPr>
            </w:pPr>
            <w:r w:rsidRPr="00FC7722">
              <w:rPr>
                <w:rFonts w:ascii="Arial" w:hAnsi="Arial" w:cs="Arial"/>
              </w:rPr>
              <w:t xml:space="preserve">A </w:t>
            </w:r>
            <w:r w:rsidRPr="00E75EBB">
              <w:rPr>
                <w:rFonts w:ascii="Arial" w:hAnsi="Arial" w:cs="Arial"/>
              </w:rPr>
              <w:t>worker spends 30 minutes conducting an initial assessment.  Record 30 minutes in YSCIS (Note or Enquiry).</w:t>
            </w:r>
          </w:p>
          <w:p w14:paraId="7E4CD847" w14:textId="598F24D6" w:rsidR="00E75EBB" w:rsidRPr="00E75EBB" w:rsidRDefault="00E75EBB" w:rsidP="00BA21AD">
            <w:pPr>
              <w:pStyle w:val="ListParagraph"/>
              <w:numPr>
                <w:ilvl w:val="0"/>
                <w:numId w:val="14"/>
              </w:numPr>
              <w:tabs>
                <w:tab w:val="left" w:pos="2654"/>
              </w:tabs>
              <w:spacing w:before="60" w:after="60" w:line="264" w:lineRule="auto"/>
              <w:contextualSpacing w:val="0"/>
              <w:rPr>
                <w:rFonts w:ascii="Arial" w:hAnsi="Arial" w:cs="Arial"/>
              </w:rPr>
            </w:pPr>
            <w:r>
              <w:rPr>
                <w:rFonts w:ascii="Arial" w:hAnsi="Arial" w:cs="Arial"/>
              </w:rPr>
              <w:t xml:space="preserve">A worker presents a session for one hour to 50 year 11 students at a local high school about healthy relationships.  Do not count.  </w:t>
            </w:r>
            <w:r w:rsidRPr="00E75EBB">
              <w:rPr>
                <w:rFonts w:ascii="Arial" w:hAnsi="Arial" w:cs="Arial"/>
              </w:rPr>
              <w:t>The event is not captured in YSCIS and is not attributed to a client of the service.</w:t>
            </w:r>
            <w:r>
              <w:rPr>
                <w:rFonts w:ascii="Arial" w:hAnsi="Arial" w:cs="Arial"/>
              </w:rPr>
              <w:t xml:space="preserve">  (Any student who seeks information from the worker following the presentation would be captured in YSCIS and that time would be recorded).</w:t>
            </w:r>
          </w:p>
          <w:p w14:paraId="62033F3D" w14:textId="12239F49" w:rsidR="002D7B6F" w:rsidRPr="00E75EBB" w:rsidRDefault="002D7B6F" w:rsidP="00BA21AD">
            <w:pPr>
              <w:tabs>
                <w:tab w:val="left" w:pos="2654"/>
              </w:tabs>
              <w:spacing w:before="60" w:after="60" w:line="264" w:lineRule="auto"/>
              <w:rPr>
                <w:rFonts w:cs="Arial"/>
              </w:rPr>
            </w:pPr>
            <w:r w:rsidRPr="00E75EBB">
              <w:rPr>
                <w:rFonts w:cs="Arial"/>
              </w:rPr>
              <w:t>Do not count time for activities that cannot be attributed to individual Service Users such as –</w:t>
            </w:r>
          </w:p>
          <w:p w14:paraId="5171FF6B" w14:textId="77777777" w:rsidR="000E4B4F" w:rsidRPr="000E4B4F" w:rsidRDefault="000E4B4F" w:rsidP="00BA21AD">
            <w:pPr>
              <w:pStyle w:val="ListParagraph"/>
              <w:numPr>
                <w:ilvl w:val="0"/>
                <w:numId w:val="12"/>
              </w:numPr>
              <w:spacing w:before="60" w:after="60" w:line="264" w:lineRule="auto"/>
              <w:contextualSpacing w:val="0"/>
              <w:rPr>
                <w:rFonts w:ascii="Arial" w:hAnsi="Arial" w:cs="Arial"/>
              </w:rPr>
            </w:pPr>
            <w:r w:rsidRPr="000E4B4F">
              <w:rPr>
                <w:rFonts w:ascii="Arial" w:hAnsi="Arial" w:cs="Arial"/>
              </w:rPr>
              <w:t>team meetings</w:t>
            </w:r>
          </w:p>
          <w:p w14:paraId="1D60964F" w14:textId="77777777" w:rsidR="000E4B4F" w:rsidRPr="000E4B4F" w:rsidRDefault="000E4B4F" w:rsidP="00BA21AD">
            <w:pPr>
              <w:pStyle w:val="ListParagraph"/>
              <w:numPr>
                <w:ilvl w:val="0"/>
                <w:numId w:val="12"/>
              </w:numPr>
              <w:spacing w:before="60" w:after="60" w:line="264" w:lineRule="auto"/>
              <w:contextualSpacing w:val="0"/>
              <w:rPr>
                <w:rFonts w:ascii="Arial" w:hAnsi="Arial" w:cs="Arial"/>
              </w:rPr>
            </w:pPr>
            <w:r w:rsidRPr="000E4B4F">
              <w:rPr>
                <w:rFonts w:ascii="Arial" w:hAnsi="Arial" w:cs="Arial"/>
              </w:rPr>
              <w:t>attending training / professional development</w:t>
            </w:r>
          </w:p>
          <w:p w14:paraId="1D731C2F" w14:textId="77777777" w:rsidR="000E4B4F" w:rsidRPr="000E4B4F" w:rsidRDefault="000E4B4F" w:rsidP="00BA21AD">
            <w:pPr>
              <w:pStyle w:val="ListParagraph"/>
              <w:numPr>
                <w:ilvl w:val="0"/>
                <w:numId w:val="12"/>
              </w:numPr>
              <w:spacing w:before="60" w:after="60" w:line="264" w:lineRule="auto"/>
              <w:contextualSpacing w:val="0"/>
              <w:rPr>
                <w:rFonts w:ascii="Arial" w:hAnsi="Arial" w:cs="Arial"/>
              </w:rPr>
            </w:pPr>
            <w:r w:rsidRPr="000E4B4F">
              <w:rPr>
                <w:rFonts w:ascii="Arial" w:hAnsi="Arial" w:cs="Arial"/>
              </w:rPr>
              <w:t>network meetings / annual general meetings / board meetings</w:t>
            </w:r>
          </w:p>
          <w:p w14:paraId="640CF57D" w14:textId="57B6CC5E" w:rsidR="000E4B4F" w:rsidRPr="000E4B4F" w:rsidRDefault="00147312" w:rsidP="00BA21AD">
            <w:pPr>
              <w:pStyle w:val="ListParagraph"/>
              <w:numPr>
                <w:ilvl w:val="0"/>
                <w:numId w:val="12"/>
              </w:numPr>
              <w:spacing w:before="60" w:after="60" w:line="264" w:lineRule="auto"/>
              <w:contextualSpacing w:val="0"/>
              <w:rPr>
                <w:rFonts w:ascii="Arial" w:hAnsi="Arial" w:cs="Arial"/>
              </w:rPr>
            </w:pPr>
            <w:r>
              <w:rPr>
                <w:rFonts w:ascii="Arial" w:hAnsi="Arial" w:cs="Arial"/>
              </w:rPr>
              <w:t xml:space="preserve">worker </w:t>
            </w:r>
            <w:r w:rsidR="000E4B4F" w:rsidRPr="000E4B4F">
              <w:rPr>
                <w:rFonts w:ascii="Arial" w:hAnsi="Arial" w:cs="Arial"/>
              </w:rPr>
              <w:t>supervision</w:t>
            </w:r>
          </w:p>
          <w:p w14:paraId="6032A203" w14:textId="77777777" w:rsidR="000E4B4F" w:rsidRPr="000E4B4F" w:rsidRDefault="000E4B4F" w:rsidP="00BA21AD">
            <w:pPr>
              <w:pStyle w:val="ListParagraph"/>
              <w:numPr>
                <w:ilvl w:val="0"/>
                <w:numId w:val="12"/>
              </w:numPr>
              <w:spacing w:before="60" w:after="60" w:line="264" w:lineRule="auto"/>
              <w:contextualSpacing w:val="0"/>
              <w:rPr>
                <w:rFonts w:ascii="Arial" w:hAnsi="Arial" w:cs="Arial"/>
              </w:rPr>
            </w:pPr>
            <w:r w:rsidRPr="000E4B4F">
              <w:rPr>
                <w:rFonts w:ascii="Arial" w:hAnsi="Arial" w:cs="Arial"/>
              </w:rPr>
              <w:t>data collection / reporting</w:t>
            </w:r>
          </w:p>
          <w:p w14:paraId="117E329F" w14:textId="77777777" w:rsidR="000E4B4F" w:rsidRPr="000E4B4F" w:rsidRDefault="000E4B4F" w:rsidP="00BA21AD">
            <w:pPr>
              <w:pStyle w:val="ListParagraph"/>
              <w:numPr>
                <w:ilvl w:val="0"/>
                <w:numId w:val="12"/>
              </w:numPr>
              <w:spacing w:before="60" w:after="60" w:line="264" w:lineRule="auto"/>
              <w:contextualSpacing w:val="0"/>
              <w:rPr>
                <w:rFonts w:ascii="Arial" w:hAnsi="Arial" w:cs="Arial"/>
              </w:rPr>
            </w:pPr>
            <w:r w:rsidRPr="000E4B4F">
              <w:rPr>
                <w:rFonts w:ascii="Arial" w:hAnsi="Arial" w:cs="Arial"/>
              </w:rPr>
              <w:t xml:space="preserve">presentations to groups to raise awareness of the service or of a particular topic </w:t>
            </w:r>
            <w:proofErr w:type="gramStart"/>
            <w:r w:rsidRPr="000E4B4F">
              <w:rPr>
                <w:rFonts w:ascii="Arial" w:hAnsi="Arial" w:cs="Arial"/>
              </w:rPr>
              <w:t>e.g.</w:t>
            </w:r>
            <w:proofErr w:type="gramEnd"/>
            <w:r w:rsidRPr="000E4B4F">
              <w:rPr>
                <w:rFonts w:ascii="Arial" w:hAnsi="Arial" w:cs="Arial"/>
              </w:rPr>
              <w:t xml:space="preserve"> delivery of programs to school groups, attendance at community events, etc.</w:t>
            </w:r>
          </w:p>
          <w:p w14:paraId="1F1EE92E" w14:textId="3168B5F6" w:rsidR="002D7B6F" w:rsidRPr="00283208" w:rsidRDefault="000E4B4F" w:rsidP="00BA21AD">
            <w:pPr>
              <w:pStyle w:val="ListParagraph"/>
              <w:numPr>
                <w:ilvl w:val="0"/>
                <w:numId w:val="12"/>
              </w:numPr>
              <w:tabs>
                <w:tab w:val="left" w:pos="2654"/>
              </w:tabs>
              <w:spacing w:before="60" w:after="60" w:line="264" w:lineRule="auto"/>
              <w:contextualSpacing w:val="0"/>
              <w:rPr>
                <w:rFonts w:ascii="Arial" w:hAnsi="Arial" w:cs="Arial"/>
              </w:rPr>
            </w:pPr>
            <w:r w:rsidRPr="00E75EBB">
              <w:rPr>
                <w:rFonts w:ascii="Arial" w:hAnsi="Arial" w:cs="Arial"/>
              </w:rPr>
              <w:t xml:space="preserve">general activities accessible to the broader population </w:t>
            </w:r>
            <w:proofErr w:type="gramStart"/>
            <w:r w:rsidRPr="00E75EBB">
              <w:rPr>
                <w:rFonts w:ascii="Arial" w:hAnsi="Arial" w:cs="Arial"/>
              </w:rPr>
              <w:t>e.g.</w:t>
            </w:r>
            <w:proofErr w:type="gramEnd"/>
            <w:r w:rsidRPr="00E75EBB">
              <w:rPr>
                <w:rFonts w:ascii="Arial" w:hAnsi="Arial" w:cs="Arial"/>
              </w:rPr>
              <w:t xml:space="preserve"> sporting events, movie nights, etc.</w:t>
            </w:r>
          </w:p>
        </w:tc>
      </w:tr>
      <w:tr w:rsidR="002D7B6F" w14:paraId="221D7A34" w14:textId="77777777" w:rsidTr="000D1700">
        <w:tc>
          <w:tcPr>
            <w:tcW w:w="1980" w:type="dxa"/>
            <w:vAlign w:val="center"/>
          </w:tcPr>
          <w:p w14:paraId="62EAF5ED" w14:textId="77777777" w:rsidR="002D7B6F" w:rsidRPr="000E4B4F" w:rsidRDefault="002D7B6F" w:rsidP="00BA21AD">
            <w:pPr>
              <w:tabs>
                <w:tab w:val="left" w:pos="2654"/>
              </w:tabs>
              <w:spacing w:before="60" w:after="60" w:line="264" w:lineRule="auto"/>
              <w:rPr>
                <w:rFonts w:cs="Arial"/>
              </w:rPr>
            </w:pPr>
            <w:bookmarkStart w:id="187" w:name="_Hlk107580241"/>
            <w:r w:rsidRPr="000E4B4F">
              <w:rPr>
                <w:rFonts w:cs="Arial"/>
              </w:rPr>
              <w:lastRenderedPageBreak/>
              <w:t>IS71</w:t>
            </w:r>
          </w:p>
          <w:p w14:paraId="05F0B114" w14:textId="19320EE6" w:rsidR="002D7B6F" w:rsidRPr="000E4B4F" w:rsidRDefault="002D7B6F" w:rsidP="00BA21AD">
            <w:pPr>
              <w:tabs>
                <w:tab w:val="left" w:pos="2654"/>
              </w:tabs>
              <w:spacing w:before="60" w:after="60" w:line="264" w:lineRule="auto"/>
            </w:pPr>
            <w:r w:rsidRPr="000E4B4F">
              <w:t>Upload a Contract Report exported from the Case Management System</w:t>
            </w:r>
          </w:p>
        </w:tc>
        <w:tc>
          <w:tcPr>
            <w:tcW w:w="1984" w:type="dxa"/>
            <w:vAlign w:val="center"/>
          </w:tcPr>
          <w:p w14:paraId="2D4A8C38" w14:textId="68597206" w:rsidR="002D7B6F" w:rsidRPr="000E4B4F" w:rsidRDefault="002D7B6F" w:rsidP="00BA21AD">
            <w:pPr>
              <w:tabs>
                <w:tab w:val="left" w:pos="2654"/>
              </w:tabs>
              <w:spacing w:before="60" w:after="60" w:line="264" w:lineRule="auto"/>
              <w:rPr>
                <w:b/>
                <w:bCs/>
              </w:rPr>
            </w:pPr>
            <w:r w:rsidRPr="000E4B4F">
              <w:rPr>
                <w:rFonts w:cs="Arial"/>
              </w:rPr>
              <w:t>Download the Contract Report and upload it to P2i.</w:t>
            </w:r>
          </w:p>
        </w:tc>
        <w:tc>
          <w:tcPr>
            <w:tcW w:w="10915" w:type="dxa"/>
            <w:vAlign w:val="center"/>
          </w:tcPr>
          <w:p w14:paraId="5976D418" w14:textId="77777777" w:rsidR="002D7B6F" w:rsidRDefault="002D7B6F" w:rsidP="00501854">
            <w:pPr>
              <w:tabs>
                <w:tab w:val="left" w:pos="2654"/>
              </w:tabs>
              <w:spacing w:before="40" w:after="40" w:line="264" w:lineRule="auto"/>
              <w:rPr>
                <w:rFonts w:cs="Arial"/>
              </w:rPr>
            </w:pPr>
            <w:r>
              <w:rPr>
                <w:rFonts w:cs="Arial"/>
              </w:rPr>
              <w:t xml:space="preserve">Download the </w:t>
            </w:r>
            <w:r w:rsidRPr="002D7B6F">
              <w:rPr>
                <w:rFonts w:cs="Arial"/>
              </w:rPr>
              <w:t>YSCIS Performance Report</w:t>
            </w:r>
            <w:r>
              <w:rPr>
                <w:rFonts w:cs="Arial"/>
              </w:rPr>
              <w:t xml:space="preserve"> for the reporting period and upload to P2i.</w:t>
            </w:r>
          </w:p>
          <w:p w14:paraId="1FF20102" w14:textId="4F02D458" w:rsidR="002D7B6F" w:rsidRPr="002D7B6F" w:rsidRDefault="002D7B6F" w:rsidP="00501854">
            <w:pPr>
              <w:tabs>
                <w:tab w:val="left" w:pos="2654"/>
              </w:tabs>
              <w:spacing w:before="40" w:after="40" w:line="264" w:lineRule="auto"/>
              <w:rPr>
                <w:rFonts w:cs="Arial"/>
              </w:rPr>
            </w:pPr>
            <w:r>
              <w:rPr>
                <w:rFonts w:cs="Arial"/>
              </w:rPr>
              <w:t>Any time spent by workers that is not recorded against Service Users in YSCIS are not able to be counted.</w:t>
            </w:r>
          </w:p>
        </w:tc>
      </w:tr>
      <w:bookmarkEnd w:id="187"/>
    </w:tbl>
    <w:p w14:paraId="7D9E7F6C" w14:textId="77777777" w:rsidR="00794D0F" w:rsidRDefault="00794D0F"/>
    <w:p w14:paraId="0618B5A0" w14:textId="448B41F4" w:rsidR="00794D0F" w:rsidRDefault="00794D0F"/>
    <w:p w14:paraId="1CCE2194" w14:textId="77777777" w:rsidR="00BA21AD" w:rsidRDefault="00BA21AD">
      <w:r>
        <w:br w:type="page"/>
      </w:r>
    </w:p>
    <w:tbl>
      <w:tblPr>
        <w:tblStyle w:val="TableGrid"/>
        <w:tblW w:w="14879" w:type="dxa"/>
        <w:tblLook w:val="04A0" w:firstRow="1" w:lastRow="0" w:firstColumn="1" w:lastColumn="0" w:noHBand="0" w:noVBand="1"/>
      </w:tblPr>
      <w:tblGrid>
        <w:gridCol w:w="1980"/>
        <w:gridCol w:w="1984"/>
        <w:gridCol w:w="10915"/>
      </w:tblGrid>
      <w:tr w:rsidR="000D1700" w14:paraId="1FA48A3D" w14:textId="77777777" w:rsidTr="003F733D">
        <w:tc>
          <w:tcPr>
            <w:tcW w:w="14879" w:type="dxa"/>
            <w:gridSpan w:val="3"/>
            <w:shd w:val="clear" w:color="auto" w:fill="FFFFFF" w:themeFill="background1"/>
          </w:tcPr>
          <w:p w14:paraId="1D875A9E" w14:textId="769A697F" w:rsidR="000D1700" w:rsidRDefault="000D1700" w:rsidP="00501854">
            <w:pPr>
              <w:tabs>
                <w:tab w:val="left" w:pos="2654"/>
              </w:tabs>
              <w:spacing w:before="120" w:after="120" w:line="264" w:lineRule="auto"/>
              <w:rPr>
                <w:b/>
                <w:bCs/>
                <w:color w:val="00B0F0"/>
                <w:sz w:val="22"/>
                <w:szCs w:val="22"/>
              </w:rPr>
            </w:pPr>
            <w:r w:rsidRPr="00EB21F5">
              <w:rPr>
                <w:b/>
                <w:bCs/>
                <w:color w:val="00B0F0"/>
                <w:sz w:val="22"/>
                <w:szCs w:val="22"/>
              </w:rPr>
              <w:lastRenderedPageBreak/>
              <w:t xml:space="preserve">Service Type – </w:t>
            </w:r>
            <w:r w:rsidR="00936527">
              <w:rPr>
                <w:b/>
                <w:bCs/>
                <w:color w:val="00B0F0"/>
                <w:sz w:val="22"/>
                <w:szCs w:val="22"/>
              </w:rPr>
              <w:t xml:space="preserve">T314 </w:t>
            </w:r>
            <w:r w:rsidRPr="000321D4">
              <w:rPr>
                <w:b/>
                <w:bCs/>
                <w:color w:val="00B0F0"/>
                <w:sz w:val="22"/>
                <w:szCs w:val="22"/>
              </w:rPr>
              <w:t xml:space="preserve">Support and Case Management </w:t>
            </w:r>
          </w:p>
          <w:p w14:paraId="4D0DA5F5" w14:textId="271D7140" w:rsidR="000D1700" w:rsidRPr="000D1700" w:rsidRDefault="000D1700" w:rsidP="00501854">
            <w:pPr>
              <w:tabs>
                <w:tab w:val="left" w:pos="2654"/>
              </w:tabs>
              <w:spacing w:before="120" w:after="120" w:line="264" w:lineRule="auto"/>
              <w:rPr>
                <w:b/>
                <w:bCs/>
                <w:color w:val="00B0F0"/>
                <w:sz w:val="22"/>
                <w:szCs w:val="22"/>
              </w:rPr>
            </w:pPr>
            <w:r w:rsidRPr="00EB21F5">
              <w:rPr>
                <w:b/>
                <w:bCs/>
                <w:color w:val="00B0F0"/>
                <w:sz w:val="22"/>
                <w:szCs w:val="22"/>
              </w:rPr>
              <w:t xml:space="preserve">Service User – </w:t>
            </w:r>
            <w:r w:rsidRPr="000321D4">
              <w:rPr>
                <w:b/>
                <w:bCs/>
                <w:color w:val="00B0F0"/>
                <w:sz w:val="22"/>
                <w:szCs w:val="22"/>
              </w:rPr>
              <w:t xml:space="preserve">Young people </w:t>
            </w:r>
            <w:r w:rsidRPr="00CB125F">
              <w:rPr>
                <w:b/>
                <w:bCs/>
                <w:color w:val="00B0F0"/>
                <w:sz w:val="22"/>
                <w:szCs w:val="22"/>
              </w:rPr>
              <w:t xml:space="preserve">aged </w:t>
            </w:r>
            <w:r w:rsidR="009B70E9" w:rsidRPr="00CB125F">
              <w:rPr>
                <w:b/>
                <w:bCs/>
                <w:color w:val="00B0F0"/>
                <w:sz w:val="22"/>
                <w:szCs w:val="22"/>
              </w:rPr>
              <w:t>12</w:t>
            </w:r>
            <w:r w:rsidRPr="00CB125F">
              <w:rPr>
                <w:b/>
                <w:bCs/>
                <w:color w:val="00B0F0"/>
                <w:sz w:val="22"/>
                <w:szCs w:val="22"/>
              </w:rPr>
              <w:t xml:space="preserve">–21 </w:t>
            </w:r>
            <w:r w:rsidRPr="000321D4">
              <w:rPr>
                <w:b/>
                <w:bCs/>
                <w:color w:val="00B0F0"/>
                <w:sz w:val="22"/>
                <w:szCs w:val="22"/>
              </w:rPr>
              <w:t>years who are at risk of disconnection (U2107)</w:t>
            </w:r>
          </w:p>
        </w:tc>
      </w:tr>
      <w:tr w:rsidR="002D7B6F" w14:paraId="3264E269" w14:textId="77777777" w:rsidTr="00BA21AD">
        <w:tc>
          <w:tcPr>
            <w:tcW w:w="1980" w:type="dxa"/>
            <w:shd w:val="clear" w:color="auto" w:fill="BFBFBF" w:themeFill="background1" w:themeFillShade="BF"/>
            <w:vAlign w:val="center"/>
          </w:tcPr>
          <w:p w14:paraId="099091B4" w14:textId="652181FD" w:rsidR="002D7B6F" w:rsidRPr="00095124" w:rsidRDefault="00AF4C30" w:rsidP="00501854">
            <w:pPr>
              <w:tabs>
                <w:tab w:val="left" w:pos="2654"/>
              </w:tabs>
              <w:spacing w:before="40" w:after="40" w:line="264" w:lineRule="auto"/>
              <w:rPr>
                <w:b/>
                <w:bCs/>
              </w:rPr>
            </w:pPr>
            <w:r w:rsidRPr="00AF4C30">
              <w:rPr>
                <w:b/>
                <w:bCs/>
              </w:rPr>
              <w:t>Measure / Description</w:t>
            </w:r>
          </w:p>
        </w:tc>
        <w:tc>
          <w:tcPr>
            <w:tcW w:w="1984" w:type="dxa"/>
            <w:shd w:val="clear" w:color="auto" w:fill="BFBFBF" w:themeFill="background1" w:themeFillShade="BF"/>
            <w:vAlign w:val="center"/>
          </w:tcPr>
          <w:p w14:paraId="48FC07D4" w14:textId="77777777" w:rsidR="002D7B6F" w:rsidRPr="00095124" w:rsidRDefault="002D7B6F" w:rsidP="00501854">
            <w:pPr>
              <w:tabs>
                <w:tab w:val="left" w:pos="2654"/>
              </w:tabs>
              <w:spacing w:before="40" w:after="40" w:line="264" w:lineRule="auto"/>
              <w:rPr>
                <w:b/>
                <w:bCs/>
              </w:rPr>
            </w:pPr>
            <w:r w:rsidRPr="00095124">
              <w:rPr>
                <w:b/>
                <w:bCs/>
              </w:rPr>
              <w:t>Counting Rule</w:t>
            </w:r>
          </w:p>
        </w:tc>
        <w:tc>
          <w:tcPr>
            <w:tcW w:w="10915" w:type="dxa"/>
            <w:shd w:val="clear" w:color="auto" w:fill="BFBFBF" w:themeFill="background1" w:themeFillShade="BF"/>
            <w:vAlign w:val="center"/>
          </w:tcPr>
          <w:p w14:paraId="07C52D3B" w14:textId="77777777" w:rsidR="002D7B6F" w:rsidRPr="00095124" w:rsidRDefault="002D7B6F" w:rsidP="00501854">
            <w:pPr>
              <w:tabs>
                <w:tab w:val="left" w:pos="2654"/>
              </w:tabs>
              <w:spacing w:before="40" w:after="40" w:line="264" w:lineRule="auto"/>
              <w:rPr>
                <w:b/>
                <w:bCs/>
              </w:rPr>
            </w:pPr>
            <w:r w:rsidRPr="00095124">
              <w:rPr>
                <w:b/>
                <w:bCs/>
              </w:rPr>
              <w:t>Examples</w:t>
            </w:r>
          </w:p>
        </w:tc>
      </w:tr>
      <w:tr w:rsidR="002D7B6F" w14:paraId="0582D596" w14:textId="77777777" w:rsidTr="000D170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4EFAC18" w14:textId="77777777" w:rsidR="002D7B6F" w:rsidRDefault="002D7B6F" w:rsidP="00BA21AD">
            <w:pPr>
              <w:tabs>
                <w:tab w:val="left" w:pos="2654"/>
              </w:tabs>
              <w:spacing w:before="60" w:after="60" w:line="264" w:lineRule="auto"/>
              <w:rPr>
                <w:rFonts w:cs="Arial"/>
              </w:rPr>
            </w:pPr>
            <w:r w:rsidRPr="00EB21F5">
              <w:rPr>
                <w:rFonts w:cs="Arial"/>
              </w:rPr>
              <w:t>A01.2.02H</w:t>
            </w:r>
          </w:p>
          <w:p w14:paraId="634EB5E7" w14:textId="09AA06FD" w:rsidR="002D7B6F" w:rsidRPr="002D7B6F" w:rsidRDefault="002D7B6F" w:rsidP="00BA21AD">
            <w:pPr>
              <w:tabs>
                <w:tab w:val="left" w:pos="2654"/>
              </w:tabs>
              <w:spacing w:before="60" w:after="60" w:line="264" w:lineRule="auto"/>
              <w:rPr>
                <w:rFonts w:cs="Arial"/>
              </w:rPr>
            </w:pPr>
            <w:r w:rsidRPr="002D7B6F">
              <w:rPr>
                <w:rFonts w:cs="Arial"/>
              </w:rPr>
              <w:t>Number of hours provided during the reporting period</w:t>
            </w:r>
          </w:p>
        </w:tc>
        <w:tc>
          <w:tcPr>
            <w:tcW w:w="1984" w:type="dxa"/>
            <w:vAlign w:val="center"/>
          </w:tcPr>
          <w:p w14:paraId="27487319" w14:textId="40D03015" w:rsidR="002D7B6F" w:rsidRPr="00EB21F5" w:rsidRDefault="002D7B6F" w:rsidP="00BA21AD">
            <w:pPr>
              <w:tabs>
                <w:tab w:val="left" w:pos="2654"/>
              </w:tabs>
              <w:spacing w:before="60" w:after="60" w:line="264" w:lineRule="auto"/>
              <w:rPr>
                <w:rFonts w:cs="Arial"/>
                <w:b/>
                <w:bCs/>
              </w:rPr>
            </w:pPr>
            <w:r w:rsidRPr="00EB21F5">
              <w:rPr>
                <w:rFonts w:cs="Arial"/>
              </w:rPr>
              <w:t>Count all hours spent with Service Users or time spent on behalf of a Service Users or which can be attributed to a Service User to provide Case Management.</w:t>
            </w:r>
          </w:p>
        </w:tc>
        <w:tc>
          <w:tcPr>
            <w:tcW w:w="10915" w:type="dxa"/>
            <w:vAlign w:val="center"/>
          </w:tcPr>
          <w:p w14:paraId="065BFB47" w14:textId="2BD3534D" w:rsidR="00C05D5A" w:rsidRPr="00C05D5A" w:rsidRDefault="00C05D5A" w:rsidP="00BA21AD">
            <w:pPr>
              <w:tabs>
                <w:tab w:val="left" w:pos="2654"/>
              </w:tabs>
              <w:spacing w:before="60" w:after="60" w:line="264" w:lineRule="auto"/>
              <w:rPr>
                <w:rFonts w:cs="Arial"/>
              </w:rPr>
            </w:pPr>
            <w:r w:rsidRPr="00C05D5A">
              <w:rPr>
                <w:rFonts w:cs="Arial"/>
              </w:rPr>
              <w:t xml:space="preserve">Time reported under this output must be time which is directly associated with a Service User(s).  This includes time spent with Service Users, </w:t>
            </w:r>
            <w:r w:rsidR="00BA21AD" w:rsidRPr="00BA21AD">
              <w:rPr>
                <w:rFonts w:cs="Arial"/>
              </w:rPr>
              <w:t xml:space="preserve">updating records of Service Users, </w:t>
            </w:r>
            <w:r w:rsidRPr="00C05D5A">
              <w:rPr>
                <w:rFonts w:cs="Arial"/>
              </w:rPr>
              <w:t xml:space="preserve">travel to meet a Service User, leading / participating in case conferences, undertaking tasks on behalf of Service Users, </w:t>
            </w:r>
            <w:r w:rsidR="000F2441" w:rsidRPr="000F2441">
              <w:rPr>
                <w:rFonts w:cs="Arial"/>
              </w:rPr>
              <w:t xml:space="preserve">case workers </w:t>
            </w:r>
            <w:r w:rsidRPr="00C05D5A">
              <w:rPr>
                <w:rFonts w:cs="Arial"/>
              </w:rPr>
              <w:t xml:space="preserve">writing file recording Service User information into YSCIS, and preparation for group activities with targeted Service Users.  </w:t>
            </w:r>
          </w:p>
          <w:p w14:paraId="11C37437" w14:textId="7E551462" w:rsidR="00C05D5A" w:rsidRDefault="00C05D5A" w:rsidP="00BA21AD">
            <w:pPr>
              <w:tabs>
                <w:tab w:val="left" w:pos="2654"/>
              </w:tabs>
              <w:spacing w:before="60" w:after="60" w:line="264" w:lineRule="auto"/>
              <w:rPr>
                <w:rFonts w:cs="Arial"/>
              </w:rPr>
            </w:pPr>
            <w:r w:rsidRPr="00C05D5A">
              <w:rPr>
                <w:rFonts w:cs="Arial"/>
              </w:rPr>
              <w:t>Activities not directly related to a Service User(s) such as community events, network meetings, service planning meetings</w:t>
            </w:r>
            <w:r>
              <w:rPr>
                <w:rFonts w:cs="Arial"/>
              </w:rPr>
              <w:t>,</w:t>
            </w:r>
            <w:r w:rsidRPr="00C05D5A">
              <w:rPr>
                <w:rFonts w:cs="Arial"/>
              </w:rPr>
              <w:t xml:space="preserve"> etc. are not counted as output hours.  </w:t>
            </w:r>
          </w:p>
          <w:p w14:paraId="124E15E9" w14:textId="19FCE21A" w:rsidR="00C05D5A" w:rsidRPr="00C05D5A" w:rsidRDefault="00C05D5A" w:rsidP="00BA21AD">
            <w:pPr>
              <w:tabs>
                <w:tab w:val="left" w:pos="2654"/>
              </w:tabs>
              <w:spacing w:before="60" w:after="60" w:line="264" w:lineRule="auto"/>
              <w:rPr>
                <w:rFonts w:cs="Arial"/>
              </w:rPr>
            </w:pPr>
            <w:r w:rsidRPr="00C05D5A">
              <w:rPr>
                <w:rFonts w:cs="Arial"/>
              </w:rPr>
              <w:t xml:space="preserve">All time under this service type is required to be recorded in YSCIS.  </w:t>
            </w:r>
          </w:p>
          <w:p w14:paraId="3B030B4A" w14:textId="18B3B07E" w:rsidR="002D7B6F" w:rsidRDefault="002D7B6F" w:rsidP="00BA21AD">
            <w:pPr>
              <w:tabs>
                <w:tab w:val="left" w:pos="2654"/>
              </w:tabs>
              <w:spacing w:before="60" w:after="60" w:line="264" w:lineRule="auto"/>
              <w:rPr>
                <w:rFonts w:cs="Arial"/>
              </w:rPr>
            </w:pPr>
            <w:r>
              <w:rPr>
                <w:rFonts w:cs="Arial"/>
              </w:rPr>
              <w:t xml:space="preserve">Examples – </w:t>
            </w:r>
          </w:p>
          <w:p w14:paraId="7784AB22" w14:textId="05FF9667" w:rsidR="002D7B6F" w:rsidRDefault="002D7B6F" w:rsidP="00BA21AD">
            <w:pPr>
              <w:pStyle w:val="ListParagraph"/>
              <w:numPr>
                <w:ilvl w:val="0"/>
                <w:numId w:val="13"/>
              </w:numPr>
              <w:tabs>
                <w:tab w:val="left" w:pos="2654"/>
              </w:tabs>
              <w:spacing w:before="60" w:after="60" w:line="264" w:lineRule="auto"/>
              <w:contextualSpacing w:val="0"/>
              <w:rPr>
                <w:rFonts w:ascii="Arial" w:hAnsi="Arial" w:cs="Arial"/>
              </w:rPr>
            </w:pPr>
            <w:r w:rsidRPr="00611D80">
              <w:rPr>
                <w:rFonts w:ascii="Arial" w:hAnsi="Arial" w:cs="Arial"/>
              </w:rPr>
              <w:t xml:space="preserve">A worker drives 20 minutes to meet a Service User.  1.5 hours is spent with the Service User undertaking an assessment of needs and seeking consent.  The worker drives 20 minutes back to the office and spends a further 45 minutes recording information in YSCIS and arranging a meeting with the Service User’s school.  Record 175 minutes in YSCIS (Note) </w:t>
            </w:r>
            <w:proofErr w:type="gramStart"/>
            <w:r w:rsidRPr="00611D80">
              <w:rPr>
                <w:rFonts w:ascii="Arial" w:hAnsi="Arial" w:cs="Arial"/>
              </w:rPr>
              <w:t>i.e.</w:t>
            </w:r>
            <w:proofErr w:type="gramEnd"/>
            <w:r w:rsidRPr="00611D80">
              <w:rPr>
                <w:rFonts w:ascii="Arial" w:hAnsi="Arial" w:cs="Arial"/>
              </w:rPr>
              <w:t xml:space="preserve"> 90 minutes Contact, 45 minutes Case Work and 40 minutes Travel.</w:t>
            </w:r>
          </w:p>
          <w:p w14:paraId="60281464" w14:textId="72B6A6F8" w:rsidR="002D7B6F" w:rsidRPr="00FC7722" w:rsidRDefault="002D7B6F" w:rsidP="00BA21AD">
            <w:pPr>
              <w:pStyle w:val="ListParagraph"/>
              <w:numPr>
                <w:ilvl w:val="0"/>
                <w:numId w:val="13"/>
              </w:numPr>
              <w:spacing w:before="60" w:after="60" w:line="264" w:lineRule="auto"/>
              <w:contextualSpacing w:val="0"/>
              <w:rPr>
                <w:rFonts w:ascii="Arial" w:hAnsi="Arial" w:cs="Arial"/>
              </w:rPr>
            </w:pPr>
            <w:r>
              <w:rPr>
                <w:rFonts w:ascii="Arial" w:hAnsi="Arial" w:cs="Arial"/>
              </w:rPr>
              <w:t>A</w:t>
            </w:r>
            <w:r w:rsidRPr="00FC7722">
              <w:rPr>
                <w:rFonts w:ascii="Arial" w:hAnsi="Arial" w:cs="Arial"/>
              </w:rPr>
              <w:t xml:space="preserve"> worker spends one hour case planning with a </w:t>
            </w:r>
            <w:r>
              <w:rPr>
                <w:rFonts w:ascii="Arial" w:hAnsi="Arial" w:cs="Arial"/>
              </w:rPr>
              <w:t>Service User</w:t>
            </w:r>
            <w:r w:rsidRPr="00FC7722">
              <w:rPr>
                <w:rFonts w:ascii="Arial" w:hAnsi="Arial" w:cs="Arial"/>
              </w:rPr>
              <w:t xml:space="preserve"> and a further 30 minutes writing the case plan. Count as 1 hour 30 minutes.</w:t>
            </w:r>
            <w:r>
              <w:rPr>
                <w:rFonts w:ascii="Arial" w:hAnsi="Arial" w:cs="Arial"/>
              </w:rPr>
              <w:t xml:space="preserve">  </w:t>
            </w:r>
            <w:r w:rsidR="009E7559" w:rsidRPr="009E7559">
              <w:rPr>
                <w:rFonts w:ascii="Arial" w:hAnsi="Arial" w:cs="Arial"/>
              </w:rPr>
              <w:t xml:space="preserve">Record </w:t>
            </w:r>
            <w:r>
              <w:rPr>
                <w:rFonts w:ascii="Arial" w:hAnsi="Arial" w:cs="Arial"/>
              </w:rPr>
              <w:t>90</w:t>
            </w:r>
            <w:r w:rsidR="009E7559" w:rsidRPr="009E7559">
              <w:rPr>
                <w:rFonts w:ascii="Arial" w:hAnsi="Arial" w:cs="Arial"/>
              </w:rPr>
              <w:t xml:space="preserve"> minutes in YSCIS (Note) </w:t>
            </w:r>
            <w:proofErr w:type="gramStart"/>
            <w:r w:rsidR="009E7559" w:rsidRPr="009E7559">
              <w:rPr>
                <w:rFonts w:ascii="Arial" w:hAnsi="Arial" w:cs="Arial"/>
              </w:rPr>
              <w:t>i.e.</w:t>
            </w:r>
            <w:proofErr w:type="gramEnd"/>
            <w:r w:rsidR="009E7559" w:rsidRPr="009E7559">
              <w:rPr>
                <w:rFonts w:ascii="Arial" w:hAnsi="Arial" w:cs="Arial"/>
              </w:rPr>
              <w:t xml:space="preserve"> </w:t>
            </w:r>
            <w:r>
              <w:rPr>
                <w:rFonts w:ascii="Arial" w:hAnsi="Arial" w:cs="Arial"/>
              </w:rPr>
              <w:t>6</w:t>
            </w:r>
            <w:r w:rsidR="009E7559" w:rsidRPr="009E7559">
              <w:rPr>
                <w:rFonts w:ascii="Arial" w:hAnsi="Arial" w:cs="Arial"/>
              </w:rPr>
              <w:t>0 minutes Contact</w:t>
            </w:r>
            <w:r>
              <w:rPr>
                <w:rFonts w:ascii="Arial" w:hAnsi="Arial" w:cs="Arial"/>
              </w:rPr>
              <w:t xml:space="preserve"> and</w:t>
            </w:r>
            <w:r w:rsidR="009E7559" w:rsidRPr="009E7559">
              <w:rPr>
                <w:rFonts w:ascii="Arial" w:hAnsi="Arial" w:cs="Arial"/>
              </w:rPr>
              <w:t xml:space="preserve"> </w:t>
            </w:r>
            <w:r>
              <w:rPr>
                <w:rFonts w:ascii="Arial" w:hAnsi="Arial" w:cs="Arial"/>
              </w:rPr>
              <w:t>30</w:t>
            </w:r>
            <w:r w:rsidR="009E7559" w:rsidRPr="009E7559">
              <w:rPr>
                <w:rFonts w:ascii="Arial" w:hAnsi="Arial" w:cs="Arial"/>
              </w:rPr>
              <w:t xml:space="preserve"> minutes Case Work</w:t>
            </w:r>
            <w:r w:rsidR="00D8049B">
              <w:rPr>
                <w:rFonts w:ascii="Arial" w:hAnsi="Arial" w:cs="Arial"/>
              </w:rPr>
              <w:t>.</w:t>
            </w:r>
          </w:p>
          <w:p w14:paraId="5A4681AE" w14:textId="21F9E967" w:rsidR="002D7B6F" w:rsidRDefault="002D7B6F" w:rsidP="00BA21AD">
            <w:pPr>
              <w:pStyle w:val="ListParagraph"/>
              <w:numPr>
                <w:ilvl w:val="0"/>
                <w:numId w:val="13"/>
              </w:numPr>
              <w:tabs>
                <w:tab w:val="left" w:pos="2654"/>
              </w:tabs>
              <w:spacing w:before="60" w:after="60" w:line="264" w:lineRule="auto"/>
              <w:contextualSpacing w:val="0"/>
              <w:rPr>
                <w:rFonts w:ascii="Arial" w:hAnsi="Arial" w:cs="Arial"/>
              </w:rPr>
            </w:pPr>
            <w:r w:rsidRPr="00611D80">
              <w:rPr>
                <w:rFonts w:ascii="Arial" w:hAnsi="Arial" w:cs="Arial"/>
              </w:rPr>
              <w:t xml:space="preserve">A service identifies 4 of their </w:t>
            </w:r>
            <w:r w:rsidRPr="00FC7722">
              <w:rPr>
                <w:rFonts w:ascii="Arial" w:hAnsi="Arial" w:cs="Arial"/>
              </w:rPr>
              <w:t>Service Users who require assistance with financial management skills.  Two worker</w:t>
            </w:r>
            <w:r w:rsidR="000E4B4F">
              <w:rPr>
                <w:rFonts w:ascii="Arial" w:hAnsi="Arial" w:cs="Arial"/>
              </w:rPr>
              <w:t>s</w:t>
            </w:r>
            <w:r w:rsidRPr="00FC7722">
              <w:rPr>
                <w:rFonts w:ascii="Arial" w:hAnsi="Arial" w:cs="Arial"/>
              </w:rPr>
              <w:t xml:space="preserve"> spend 2 hours collecting and developing resources to build Service User skills and 1 hour delivering a workshop to the Service Users.</w:t>
            </w:r>
            <w:r w:rsidRPr="00FC7722">
              <w:rPr>
                <w:rFonts w:ascii="Arial" w:hAnsi="Arial" w:cs="Arial"/>
                <w:b/>
                <w:bCs/>
              </w:rPr>
              <w:t xml:space="preserve">  </w:t>
            </w:r>
            <w:r w:rsidRPr="00FC7722">
              <w:rPr>
                <w:rFonts w:ascii="Arial" w:hAnsi="Arial" w:cs="Arial"/>
              </w:rPr>
              <w:t xml:space="preserve">Record 180 minutes in YSCIS (Group Note) </w:t>
            </w:r>
            <w:proofErr w:type="gramStart"/>
            <w:r w:rsidRPr="00FC7722">
              <w:rPr>
                <w:rFonts w:ascii="Arial" w:hAnsi="Arial" w:cs="Arial"/>
              </w:rPr>
              <w:t>i.e.</w:t>
            </w:r>
            <w:proofErr w:type="gramEnd"/>
            <w:r w:rsidRPr="00FC7722">
              <w:rPr>
                <w:rFonts w:ascii="Arial" w:hAnsi="Arial" w:cs="Arial"/>
              </w:rPr>
              <w:t xml:space="preserve"> 6</w:t>
            </w:r>
            <w:r w:rsidR="00FC7722" w:rsidRPr="00FC7722">
              <w:rPr>
                <w:rFonts w:ascii="Arial" w:hAnsi="Arial" w:cs="Arial"/>
              </w:rPr>
              <w:t xml:space="preserve">0 minutes Contact, </w:t>
            </w:r>
            <w:r w:rsidRPr="00FC7722">
              <w:rPr>
                <w:rFonts w:ascii="Arial" w:hAnsi="Arial" w:cs="Arial"/>
              </w:rPr>
              <w:t>120</w:t>
            </w:r>
            <w:r w:rsidR="00FC7722" w:rsidRPr="00FC7722">
              <w:rPr>
                <w:rFonts w:ascii="Arial" w:hAnsi="Arial" w:cs="Arial"/>
              </w:rPr>
              <w:t xml:space="preserve"> minutes Case Work</w:t>
            </w:r>
            <w:r w:rsidRPr="00FC7722">
              <w:rPr>
                <w:rFonts w:ascii="Arial" w:hAnsi="Arial" w:cs="Arial"/>
              </w:rPr>
              <w:t xml:space="preserve"> and record the names of both workers (will total 6 hours).  (Note – YSCIS will split the time between T103 and T314 where Service Users from both profile types are participating).</w:t>
            </w:r>
          </w:p>
          <w:p w14:paraId="0B7BD935" w14:textId="4B36FF14" w:rsidR="000E4B4F" w:rsidRPr="00FC7722" w:rsidRDefault="000E4B4F" w:rsidP="00BA21AD">
            <w:pPr>
              <w:pStyle w:val="ListParagraph"/>
              <w:numPr>
                <w:ilvl w:val="0"/>
                <w:numId w:val="13"/>
              </w:numPr>
              <w:tabs>
                <w:tab w:val="left" w:pos="2654"/>
              </w:tabs>
              <w:spacing w:before="60" w:after="60" w:line="264" w:lineRule="auto"/>
              <w:contextualSpacing w:val="0"/>
              <w:rPr>
                <w:rFonts w:ascii="Arial" w:hAnsi="Arial" w:cs="Arial"/>
              </w:rPr>
            </w:pPr>
            <w:r>
              <w:rPr>
                <w:rFonts w:ascii="Arial" w:hAnsi="Arial" w:cs="Arial"/>
              </w:rPr>
              <w:t xml:space="preserve">A worker travels 15 minutes to attend a </w:t>
            </w:r>
            <w:proofErr w:type="gramStart"/>
            <w:r>
              <w:rPr>
                <w:rFonts w:ascii="Arial" w:hAnsi="Arial" w:cs="Arial"/>
              </w:rPr>
              <w:t>two hour</w:t>
            </w:r>
            <w:proofErr w:type="gramEnd"/>
            <w:r>
              <w:rPr>
                <w:rFonts w:ascii="Arial" w:hAnsi="Arial" w:cs="Arial"/>
              </w:rPr>
              <w:t xml:space="preserve"> event with other organisations to discuss the needs of young people in their community.  Do not count.  The event </w:t>
            </w:r>
            <w:r w:rsidR="00E75EBB">
              <w:rPr>
                <w:rFonts w:ascii="Arial" w:hAnsi="Arial" w:cs="Arial"/>
              </w:rPr>
              <w:t>is not captured in YSCIS and is not attributed to a client of the service.</w:t>
            </w:r>
          </w:p>
          <w:p w14:paraId="1114DCCD" w14:textId="3530FC73" w:rsidR="002D7B6F" w:rsidRPr="00283208" w:rsidRDefault="002D7B6F" w:rsidP="00BA21AD">
            <w:pPr>
              <w:tabs>
                <w:tab w:val="left" w:pos="2654"/>
              </w:tabs>
              <w:spacing w:before="60" w:after="60" w:line="264" w:lineRule="auto"/>
              <w:rPr>
                <w:rFonts w:cs="Arial"/>
              </w:rPr>
            </w:pPr>
            <w:r w:rsidRPr="00283208">
              <w:rPr>
                <w:rFonts w:cs="Arial"/>
              </w:rPr>
              <w:t xml:space="preserve">Do not count time for activities that cannot be attributed to individual </w:t>
            </w:r>
            <w:r w:rsidRPr="008B3C0F">
              <w:rPr>
                <w:rFonts w:cs="Arial"/>
              </w:rPr>
              <w:t xml:space="preserve">Service Users such as </w:t>
            </w:r>
            <w:r w:rsidRPr="00283208">
              <w:rPr>
                <w:rFonts w:cs="Arial"/>
              </w:rPr>
              <w:t>–</w:t>
            </w:r>
          </w:p>
          <w:p w14:paraId="68675D6B" w14:textId="67FAEBDE" w:rsidR="002D7B6F" w:rsidRPr="00283208" w:rsidRDefault="002D7B6F" w:rsidP="00BA21AD">
            <w:pPr>
              <w:pStyle w:val="ListParagraph"/>
              <w:numPr>
                <w:ilvl w:val="0"/>
                <w:numId w:val="12"/>
              </w:numPr>
              <w:tabs>
                <w:tab w:val="left" w:pos="2654"/>
              </w:tabs>
              <w:spacing w:before="60" w:after="60" w:line="264" w:lineRule="auto"/>
              <w:contextualSpacing w:val="0"/>
              <w:rPr>
                <w:rFonts w:ascii="Arial" w:hAnsi="Arial" w:cs="Arial"/>
              </w:rPr>
            </w:pPr>
            <w:r w:rsidRPr="00283208">
              <w:rPr>
                <w:rFonts w:ascii="Arial" w:hAnsi="Arial" w:cs="Arial"/>
              </w:rPr>
              <w:t>team meetings</w:t>
            </w:r>
          </w:p>
          <w:p w14:paraId="6077AD82" w14:textId="203788E1" w:rsidR="002D7B6F" w:rsidRPr="00283208" w:rsidRDefault="002D7B6F" w:rsidP="00BA21AD">
            <w:pPr>
              <w:pStyle w:val="ListParagraph"/>
              <w:numPr>
                <w:ilvl w:val="0"/>
                <w:numId w:val="12"/>
              </w:numPr>
              <w:tabs>
                <w:tab w:val="left" w:pos="2654"/>
              </w:tabs>
              <w:spacing w:before="60" w:after="60" w:line="264" w:lineRule="auto"/>
              <w:contextualSpacing w:val="0"/>
              <w:rPr>
                <w:rFonts w:ascii="Arial" w:hAnsi="Arial" w:cs="Arial"/>
              </w:rPr>
            </w:pPr>
            <w:r w:rsidRPr="00283208">
              <w:rPr>
                <w:rFonts w:ascii="Arial" w:hAnsi="Arial" w:cs="Arial"/>
              </w:rPr>
              <w:t>attending training / professional development</w:t>
            </w:r>
          </w:p>
          <w:p w14:paraId="6A4833AF" w14:textId="0D8AE26E" w:rsidR="002D7B6F" w:rsidRPr="00C05D5A" w:rsidRDefault="002D7B6F" w:rsidP="00BA21AD">
            <w:pPr>
              <w:pStyle w:val="ListParagraph"/>
              <w:numPr>
                <w:ilvl w:val="0"/>
                <w:numId w:val="12"/>
              </w:numPr>
              <w:tabs>
                <w:tab w:val="left" w:pos="2654"/>
              </w:tabs>
              <w:spacing w:before="60" w:after="60" w:line="264" w:lineRule="auto"/>
              <w:contextualSpacing w:val="0"/>
              <w:rPr>
                <w:rFonts w:ascii="Arial" w:hAnsi="Arial" w:cs="Arial"/>
              </w:rPr>
            </w:pPr>
            <w:r w:rsidRPr="00C05D5A">
              <w:rPr>
                <w:rFonts w:ascii="Arial" w:hAnsi="Arial" w:cs="Arial"/>
              </w:rPr>
              <w:t>network meetings / annual general meetings / board meetings</w:t>
            </w:r>
          </w:p>
          <w:p w14:paraId="6EF3AA25" w14:textId="3BAA3ED3" w:rsidR="002D7B6F" w:rsidRPr="00C05D5A" w:rsidRDefault="00147312" w:rsidP="00BA21AD">
            <w:pPr>
              <w:pStyle w:val="ListParagraph"/>
              <w:numPr>
                <w:ilvl w:val="0"/>
                <w:numId w:val="12"/>
              </w:numPr>
              <w:tabs>
                <w:tab w:val="left" w:pos="2654"/>
              </w:tabs>
              <w:spacing w:before="60" w:after="60" w:line="264" w:lineRule="auto"/>
              <w:contextualSpacing w:val="0"/>
              <w:rPr>
                <w:rFonts w:ascii="Arial" w:hAnsi="Arial" w:cs="Arial"/>
              </w:rPr>
            </w:pPr>
            <w:r w:rsidRPr="00C05D5A">
              <w:rPr>
                <w:rFonts w:ascii="Arial" w:hAnsi="Arial" w:cs="Arial"/>
              </w:rPr>
              <w:t xml:space="preserve">worker </w:t>
            </w:r>
            <w:r w:rsidR="002D7B6F" w:rsidRPr="00C05D5A">
              <w:rPr>
                <w:rFonts w:ascii="Arial" w:hAnsi="Arial" w:cs="Arial"/>
              </w:rPr>
              <w:t>supervision</w:t>
            </w:r>
          </w:p>
          <w:p w14:paraId="5B12A147" w14:textId="77777777" w:rsidR="00C05D5A" w:rsidRPr="00C05D5A" w:rsidRDefault="00C05D5A" w:rsidP="00BA21AD">
            <w:pPr>
              <w:pStyle w:val="ListParagraph"/>
              <w:numPr>
                <w:ilvl w:val="0"/>
                <w:numId w:val="12"/>
              </w:numPr>
              <w:spacing w:before="60" w:after="60" w:line="264" w:lineRule="auto"/>
              <w:contextualSpacing w:val="0"/>
              <w:rPr>
                <w:rFonts w:ascii="Arial" w:hAnsi="Arial" w:cs="Arial"/>
              </w:rPr>
            </w:pPr>
            <w:r w:rsidRPr="00C05D5A">
              <w:rPr>
                <w:rFonts w:ascii="Arial" w:hAnsi="Arial" w:cs="Arial"/>
              </w:rPr>
              <w:lastRenderedPageBreak/>
              <w:t>service system development activities</w:t>
            </w:r>
          </w:p>
          <w:p w14:paraId="14D34B06" w14:textId="10A2F5DE" w:rsidR="002D7B6F" w:rsidRPr="00C05D5A" w:rsidRDefault="002D7B6F" w:rsidP="00BA21AD">
            <w:pPr>
              <w:pStyle w:val="ListParagraph"/>
              <w:numPr>
                <w:ilvl w:val="0"/>
                <w:numId w:val="12"/>
              </w:numPr>
              <w:tabs>
                <w:tab w:val="left" w:pos="2654"/>
              </w:tabs>
              <w:spacing w:before="60" w:after="60" w:line="264" w:lineRule="auto"/>
              <w:contextualSpacing w:val="0"/>
              <w:rPr>
                <w:rFonts w:ascii="Arial" w:hAnsi="Arial" w:cs="Arial"/>
              </w:rPr>
            </w:pPr>
            <w:r w:rsidRPr="00C05D5A">
              <w:rPr>
                <w:rFonts w:ascii="Arial" w:hAnsi="Arial" w:cs="Arial"/>
              </w:rPr>
              <w:t>data collection / reporting</w:t>
            </w:r>
          </w:p>
          <w:p w14:paraId="0D35F777" w14:textId="38A8523B" w:rsidR="002D7B6F" w:rsidRDefault="002D7B6F" w:rsidP="00BA21AD">
            <w:pPr>
              <w:pStyle w:val="ListParagraph"/>
              <w:numPr>
                <w:ilvl w:val="0"/>
                <w:numId w:val="12"/>
              </w:numPr>
              <w:tabs>
                <w:tab w:val="left" w:pos="2654"/>
              </w:tabs>
              <w:spacing w:before="60" w:after="60" w:line="264" w:lineRule="auto"/>
              <w:contextualSpacing w:val="0"/>
              <w:rPr>
                <w:rFonts w:ascii="Arial" w:hAnsi="Arial" w:cs="Arial"/>
              </w:rPr>
            </w:pPr>
            <w:r w:rsidRPr="00C05D5A">
              <w:rPr>
                <w:rFonts w:ascii="Arial" w:hAnsi="Arial" w:cs="Arial"/>
              </w:rPr>
              <w:t>presentations to groups</w:t>
            </w:r>
            <w:r w:rsidRPr="00C6056C">
              <w:rPr>
                <w:rFonts w:ascii="Arial" w:hAnsi="Arial" w:cs="Arial"/>
              </w:rPr>
              <w:t xml:space="preserve"> to raise awareness of the service</w:t>
            </w:r>
            <w:r w:rsidR="000E4B4F">
              <w:rPr>
                <w:rFonts w:ascii="Arial" w:hAnsi="Arial" w:cs="Arial"/>
              </w:rPr>
              <w:t xml:space="preserve"> or of a particular topic </w:t>
            </w:r>
            <w:proofErr w:type="gramStart"/>
            <w:r w:rsidR="000E4B4F">
              <w:rPr>
                <w:rFonts w:ascii="Arial" w:hAnsi="Arial" w:cs="Arial"/>
              </w:rPr>
              <w:t>e.g.</w:t>
            </w:r>
            <w:proofErr w:type="gramEnd"/>
            <w:r w:rsidR="000E4B4F">
              <w:rPr>
                <w:rFonts w:ascii="Arial" w:hAnsi="Arial" w:cs="Arial"/>
              </w:rPr>
              <w:t xml:space="preserve"> delivery of programs to school groups, attendance at community events, etc.</w:t>
            </w:r>
          </w:p>
          <w:p w14:paraId="21744B8B" w14:textId="09ACA3B1" w:rsidR="000E4B4F" w:rsidRPr="00C6056C" w:rsidRDefault="000E4B4F" w:rsidP="00BA21AD">
            <w:pPr>
              <w:pStyle w:val="ListParagraph"/>
              <w:numPr>
                <w:ilvl w:val="0"/>
                <w:numId w:val="12"/>
              </w:numPr>
              <w:tabs>
                <w:tab w:val="left" w:pos="2654"/>
              </w:tabs>
              <w:spacing w:before="60" w:after="60" w:line="264" w:lineRule="auto"/>
              <w:contextualSpacing w:val="0"/>
              <w:rPr>
                <w:rFonts w:ascii="Arial" w:hAnsi="Arial" w:cs="Arial"/>
              </w:rPr>
            </w:pPr>
            <w:r>
              <w:rPr>
                <w:rFonts w:ascii="Arial" w:hAnsi="Arial" w:cs="Arial"/>
              </w:rPr>
              <w:t xml:space="preserve">general activities accessible to the broader population </w:t>
            </w:r>
            <w:proofErr w:type="gramStart"/>
            <w:r>
              <w:rPr>
                <w:rFonts w:ascii="Arial" w:hAnsi="Arial" w:cs="Arial"/>
              </w:rPr>
              <w:t>e.g.</w:t>
            </w:r>
            <w:proofErr w:type="gramEnd"/>
            <w:r>
              <w:rPr>
                <w:rFonts w:ascii="Arial" w:hAnsi="Arial" w:cs="Arial"/>
              </w:rPr>
              <w:t xml:space="preserve"> sporting events, movie nights, etc.</w:t>
            </w:r>
          </w:p>
        </w:tc>
      </w:tr>
      <w:tr w:rsidR="002D7B6F" w14:paraId="1DAFFC48" w14:textId="77777777" w:rsidTr="000D170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FF73690" w14:textId="77777777" w:rsidR="002D7B6F" w:rsidRDefault="002D7B6F" w:rsidP="00BA21AD">
            <w:pPr>
              <w:tabs>
                <w:tab w:val="left" w:pos="2654"/>
              </w:tabs>
              <w:spacing w:before="60" w:after="60" w:line="264" w:lineRule="auto"/>
              <w:rPr>
                <w:rFonts w:cs="Arial"/>
                <w:color w:val="000000"/>
              </w:rPr>
            </w:pPr>
            <w:r w:rsidRPr="00EB21F5">
              <w:rPr>
                <w:rFonts w:cs="Arial"/>
                <w:color w:val="000000"/>
              </w:rPr>
              <w:lastRenderedPageBreak/>
              <w:t>IS63</w:t>
            </w:r>
          </w:p>
          <w:p w14:paraId="074896EA" w14:textId="34F41B5B" w:rsidR="002D7B6F" w:rsidRPr="002D7B6F" w:rsidRDefault="002D7B6F" w:rsidP="00BA21AD">
            <w:pPr>
              <w:tabs>
                <w:tab w:val="left" w:pos="2654"/>
              </w:tabs>
              <w:spacing w:before="60" w:after="60" w:line="264" w:lineRule="auto"/>
              <w:rPr>
                <w:rFonts w:cs="Arial"/>
              </w:rPr>
            </w:pPr>
            <w:r w:rsidRPr="002D7B6F">
              <w:rPr>
                <w:rFonts w:cs="Arial"/>
              </w:rPr>
              <w:t>Upload a Case Study</w:t>
            </w:r>
          </w:p>
        </w:tc>
        <w:tc>
          <w:tcPr>
            <w:tcW w:w="1984" w:type="dxa"/>
            <w:tcBorders>
              <w:top w:val="single" w:sz="4" w:space="0" w:color="auto"/>
              <w:left w:val="nil"/>
              <w:bottom w:val="single" w:sz="4" w:space="0" w:color="auto"/>
              <w:right w:val="single" w:sz="4" w:space="0" w:color="auto"/>
            </w:tcBorders>
            <w:shd w:val="clear" w:color="auto" w:fill="auto"/>
            <w:vAlign w:val="center"/>
          </w:tcPr>
          <w:p w14:paraId="4B89BE01" w14:textId="61C3417A" w:rsidR="002D7B6F" w:rsidRPr="00EB21F5" w:rsidRDefault="002D7B6F" w:rsidP="00BA21AD">
            <w:pPr>
              <w:tabs>
                <w:tab w:val="left" w:pos="2654"/>
              </w:tabs>
              <w:spacing w:before="60" w:after="60" w:line="264" w:lineRule="auto"/>
              <w:rPr>
                <w:rFonts w:cs="Arial"/>
                <w:b/>
                <w:bCs/>
              </w:rPr>
            </w:pPr>
            <w:r w:rsidRPr="00EB21F5">
              <w:rPr>
                <w:rFonts w:cs="Arial"/>
                <w:color w:val="000000"/>
              </w:rPr>
              <w:t>Complete and upload a case study</w:t>
            </w:r>
            <w:r>
              <w:rPr>
                <w:rFonts w:cs="Arial"/>
                <w:color w:val="000000"/>
              </w:rPr>
              <w:t>.</w:t>
            </w:r>
          </w:p>
        </w:tc>
        <w:tc>
          <w:tcPr>
            <w:tcW w:w="10915" w:type="dxa"/>
            <w:vAlign w:val="center"/>
          </w:tcPr>
          <w:p w14:paraId="7E4AFBEF" w14:textId="7E8E08FB" w:rsidR="002D7B6F" w:rsidRPr="009E7559" w:rsidRDefault="002D7B6F" w:rsidP="00BA21AD">
            <w:pPr>
              <w:tabs>
                <w:tab w:val="left" w:pos="2654"/>
              </w:tabs>
              <w:spacing w:before="60" w:after="60" w:line="264" w:lineRule="auto"/>
              <w:rPr>
                <w:rFonts w:cs="Arial"/>
              </w:rPr>
            </w:pPr>
            <w:r w:rsidRPr="009E7559">
              <w:rPr>
                <w:rFonts w:cs="Arial"/>
              </w:rPr>
              <w:t xml:space="preserve">Complete and upload the case study template provided </w:t>
            </w:r>
            <w:r>
              <w:rPr>
                <w:rFonts w:cs="Arial"/>
              </w:rPr>
              <w:t>in Section 1</w:t>
            </w:r>
            <w:r w:rsidR="00794D0F">
              <w:rPr>
                <w:rFonts w:cs="Arial"/>
              </w:rPr>
              <w:t>0</w:t>
            </w:r>
            <w:r>
              <w:rPr>
                <w:rFonts w:cs="Arial"/>
              </w:rPr>
              <w:t xml:space="preserve"> of this document.</w:t>
            </w:r>
          </w:p>
        </w:tc>
      </w:tr>
      <w:tr w:rsidR="002D7B6F" w:rsidRPr="00095124" w14:paraId="47BAE588" w14:textId="77777777" w:rsidTr="000D1700">
        <w:tc>
          <w:tcPr>
            <w:tcW w:w="1980" w:type="dxa"/>
            <w:vAlign w:val="center"/>
          </w:tcPr>
          <w:p w14:paraId="63DEB900" w14:textId="77777777" w:rsidR="002D7B6F" w:rsidRPr="000E4B4F" w:rsidRDefault="002D7B6F" w:rsidP="00BA21AD">
            <w:pPr>
              <w:tabs>
                <w:tab w:val="left" w:pos="2654"/>
              </w:tabs>
              <w:spacing w:before="60" w:after="60" w:line="264" w:lineRule="auto"/>
              <w:rPr>
                <w:rFonts w:cs="Arial"/>
              </w:rPr>
            </w:pPr>
            <w:r w:rsidRPr="000E4B4F">
              <w:rPr>
                <w:rFonts w:cs="Arial"/>
              </w:rPr>
              <w:t>IS71</w:t>
            </w:r>
          </w:p>
          <w:p w14:paraId="036E24C3" w14:textId="726C235E" w:rsidR="002D7B6F" w:rsidRPr="000E4B4F" w:rsidRDefault="002D7B6F" w:rsidP="00BA21AD">
            <w:pPr>
              <w:tabs>
                <w:tab w:val="left" w:pos="2654"/>
              </w:tabs>
              <w:spacing w:before="60" w:after="60" w:line="264" w:lineRule="auto"/>
              <w:rPr>
                <w:rFonts w:cs="Arial"/>
              </w:rPr>
            </w:pPr>
            <w:r w:rsidRPr="000E4B4F">
              <w:rPr>
                <w:rFonts w:cs="Arial"/>
              </w:rPr>
              <w:t>Upload a Contract Report exported from the Case Management System</w:t>
            </w:r>
          </w:p>
        </w:tc>
        <w:tc>
          <w:tcPr>
            <w:tcW w:w="1984" w:type="dxa"/>
            <w:vAlign w:val="center"/>
          </w:tcPr>
          <w:p w14:paraId="0DC6737E" w14:textId="3D72885F" w:rsidR="002D7B6F" w:rsidRPr="000E4B4F" w:rsidRDefault="002D7B6F" w:rsidP="00BA21AD">
            <w:pPr>
              <w:tabs>
                <w:tab w:val="left" w:pos="2654"/>
              </w:tabs>
              <w:spacing w:before="60" w:after="60" w:line="264" w:lineRule="auto"/>
              <w:rPr>
                <w:rFonts w:cs="Arial"/>
              </w:rPr>
            </w:pPr>
            <w:r w:rsidRPr="000E4B4F">
              <w:rPr>
                <w:rFonts w:cs="Arial"/>
              </w:rPr>
              <w:t>Download the Contract Report and upload it to P2i.</w:t>
            </w:r>
          </w:p>
        </w:tc>
        <w:tc>
          <w:tcPr>
            <w:tcW w:w="10915" w:type="dxa"/>
            <w:vAlign w:val="center"/>
          </w:tcPr>
          <w:p w14:paraId="6C201D1A" w14:textId="77777777" w:rsidR="002D7B6F" w:rsidRPr="002D7B6F" w:rsidRDefault="002D7B6F" w:rsidP="00BA21AD">
            <w:pPr>
              <w:tabs>
                <w:tab w:val="left" w:pos="2654"/>
              </w:tabs>
              <w:spacing w:before="60" w:after="60" w:line="264" w:lineRule="auto"/>
              <w:rPr>
                <w:rFonts w:cs="Arial"/>
              </w:rPr>
            </w:pPr>
            <w:r w:rsidRPr="002D7B6F">
              <w:rPr>
                <w:rFonts w:cs="Arial"/>
              </w:rPr>
              <w:t>Download the YSCIS Performance Report for the reporting period and upload to P2i.</w:t>
            </w:r>
          </w:p>
          <w:p w14:paraId="1149652B" w14:textId="27095FD0" w:rsidR="002D7B6F" w:rsidRPr="00EB21F5" w:rsidRDefault="002D7B6F" w:rsidP="00BA21AD">
            <w:pPr>
              <w:tabs>
                <w:tab w:val="left" w:pos="2654"/>
              </w:tabs>
              <w:spacing w:before="60" w:after="60" w:line="264" w:lineRule="auto"/>
              <w:rPr>
                <w:rFonts w:cs="Arial"/>
              </w:rPr>
            </w:pPr>
            <w:r w:rsidRPr="002D7B6F">
              <w:rPr>
                <w:rFonts w:cs="Arial"/>
              </w:rPr>
              <w:t>Any time spent by workers that is not recorded against Service Users in YSCIS are not able to be counted.</w:t>
            </w:r>
          </w:p>
        </w:tc>
      </w:tr>
      <w:bookmarkEnd w:id="186"/>
    </w:tbl>
    <w:p w14:paraId="320325A2" w14:textId="77777777" w:rsidR="00794D0F" w:rsidRDefault="00794D0F"/>
    <w:p w14:paraId="1570A001" w14:textId="77777777" w:rsidR="00794D0F" w:rsidRDefault="00794D0F"/>
    <w:tbl>
      <w:tblPr>
        <w:tblStyle w:val="TableGrid"/>
        <w:tblW w:w="14879" w:type="dxa"/>
        <w:tblLook w:val="04A0" w:firstRow="1" w:lastRow="0" w:firstColumn="1" w:lastColumn="0" w:noHBand="0" w:noVBand="1"/>
      </w:tblPr>
      <w:tblGrid>
        <w:gridCol w:w="1980"/>
        <w:gridCol w:w="1984"/>
        <w:gridCol w:w="10915"/>
      </w:tblGrid>
      <w:tr w:rsidR="00936527" w:rsidRPr="000D1700" w14:paraId="026F6D48" w14:textId="77777777" w:rsidTr="00475E95">
        <w:tc>
          <w:tcPr>
            <w:tcW w:w="14879" w:type="dxa"/>
            <w:gridSpan w:val="3"/>
            <w:shd w:val="clear" w:color="auto" w:fill="FFFFFF" w:themeFill="background1"/>
          </w:tcPr>
          <w:p w14:paraId="6DFB2C02" w14:textId="2D6E00E3" w:rsidR="00936527" w:rsidRPr="000D1700" w:rsidRDefault="00936527" w:rsidP="00501854">
            <w:pPr>
              <w:tabs>
                <w:tab w:val="left" w:pos="2654"/>
              </w:tabs>
              <w:spacing w:before="120" w:after="120" w:line="264" w:lineRule="auto"/>
              <w:rPr>
                <w:b/>
                <w:bCs/>
                <w:color w:val="00B0F0"/>
                <w:sz w:val="22"/>
                <w:szCs w:val="22"/>
              </w:rPr>
            </w:pPr>
            <w:r w:rsidRPr="000D1700">
              <w:rPr>
                <w:b/>
                <w:bCs/>
                <w:color w:val="00B0F0"/>
                <w:sz w:val="22"/>
                <w:szCs w:val="22"/>
              </w:rPr>
              <w:t xml:space="preserve">Service Type – </w:t>
            </w:r>
            <w:r>
              <w:rPr>
                <w:b/>
                <w:bCs/>
                <w:color w:val="00B0F0"/>
                <w:sz w:val="22"/>
                <w:szCs w:val="22"/>
              </w:rPr>
              <w:t xml:space="preserve">T317 </w:t>
            </w:r>
            <w:r w:rsidRPr="000D1700">
              <w:rPr>
                <w:b/>
                <w:bCs/>
                <w:color w:val="00B0F0"/>
                <w:sz w:val="22"/>
                <w:szCs w:val="22"/>
              </w:rPr>
              <w:t>Community Support</w:t>
            </w:r>
          </w:p>
          <w:p w14:paraId="57D4312D" w14:textId="77777777" w:rsidR="00936527" w:rsidRPr="000D1700" w:rsidRDefault="00936527" w:rsidP="00501854">
            <w:pPr>
              <w:tabs>
                <w:tab w:val="left" w:pos="2654"/>
              </w:tabs>
              <w:spacing w:before="120" w:after="120" w:line="264" w:lineRule="auto"/>
              <w:rPr>
                <w:b/>
                <w:bCs/>
                <w:color w:val="00B0F0"/>
                <w:sz w:val="22"/>
                <w:szCs w:val="22"/>
              </w:rPr>
            </w:pPr>
            <w:r w:rsidRPr="000D1700">
              <w:rPr>
                <w:b/>
                <w:bCs/>
                <w:color w:val="00B0F0"/>
                <w:sz w:val="22"/>
                <w:szCs w:val="22"/>
              </w:rPr>
              <w:t xml:space="preserve">Service User – Young people </w:t>
            </w:r>
            <w:r w:rsidRPr="00CB125F">
              <w:rPr>
                <w:b/>
                <w:bCs/>
                <w:color w:val="00B0F0"/>
                <w:sz w:val="22"/>
                <w:szCs w:val="22"/>
              </w:rPr>
              <w:t xml:space="preserve">aged 12–21 years </w:t>
            </w:r>
            <w:r w:rsidRPr="000D1700">
              <w:rPr>
                <w:b/>
                <w:bCs/>
                <w:color w:val="00B0F0"/>
                <w:sz w:val="22"/>
                <w:szCs w:val="22"/>
              </w:rPr>
              <w:t>who are at risk of disconnection (U2107)</w:t>
            </w:r>
          </w:p>
        </w:tc>
      </w:tr>
      <w:tr w:rsidR="00936527" w14:paraId="7C493318" w14:textId="77777777" w:rsidTr="00BA21AD">
        <w:tc>
          <w:tcPr>
            <w:tcW w:w="1980" w:type="dxa"/>
            <w:shd w:val="clear" w:color="auto" w:fill="BFBFBF" w:themeFill="background1" w:themeFillShade="BF"/>
            <w:vAlign w:val="center"/>
          </w:tcPr>
          <w:p w14:paraId="07C02625" w14:textId="77777777" w:rsidR="00936527" w:rsidRPr="00095124" w:rsidRDefault="00936527" w:rsidP="00BA21AD">
            <w:pPr>
              <w:tabs>
                <w:tab w:val="left" w:pos="2654"/>
              </w:tabs>
              <w:spacing w:before="60" w:after="60" w:line="264" w:lineRule="auto"/>
              <w:rPr>
                <w:b/>
                <w:bCs/>
              </w:rPr>
            </w:pPr>
            <w:r w:rsidRPr="00AF4C30">
              <w:rPr>
                <w:b/>
                <w:bCs/>
              </w:rPr>
              <w:t>Measure / Description</w:t>
            </w:r>
          </w:p>
        </w:tc>
        <w:tc>
          <w:tcPr>
            <w:tcW w:w="1984" w:type="dxa"/>
            <w:shd w:val="clear" w:color="auto" w:fill="BFBFBF" w:themeFill="background1" w:themeFillShade="BF"/>
            <w:vAlign w:val="center"/>
          </w:tcPr>
          <w:p w14:paraId="71841BC1" w14:textId="77777777" w:rsidR="00936527" w:rsidRPr="00095124" w:rsidRDefault="00936527" w:rsidP="00BA21AD">
            <w:pPr>
              <w:tabs>
                <w:tab w:val="left" w:pos="2654"/>
              </w:tabs>
              <w:spacing w:before="60" w:after="60" w:line="264" w:lineRule="auto"/>
              <w:rPr>
                <w:b/>
                <w:bCs/>
              </w:rPr>
            </w:pPr>
            <w:r w:rsidRPr="00095124">
              <w:rPr>
                <w:b/>
                <w:bCs/>
              </w:rPr>
              <w:t>Counting Rule</w:t>
            </w:r>
          </w:p>
        </w:tc>
        <w:tc>
          <w:tcPr>
            <w:tcW w:w="10915" w:type="dxa"/>
            <w:shd w:val="clear" w:color="auto" w:fill="BFBFBF" w:themeFill="background1" w:themeFillShade="BF"/>
            <w:vAlign w:val="center"/>
          </w:tcPr>
          <w:p w14:paraId="7429A26D" w14:textId="77777777" w:rsidR="00936527" w:rsidRPr="00095124" w:rsidRDefault="00936527" w:rsidP="00BA21AD">
            <w:pPr>
              <w:tabs>
                <w:tab w:val="left" w:pos="2654"/>
              </w:tabs>
              <w:spacing w:before="60" w:after="60" w:line="264" w:lineRule="auto"/>
              <w:rPr>
                <w:b/>
                <w:bCs/>
              </w:rPr>
            </w:pPr>
            <w:r w:rsidRPr="00095124">
              <w:rPr>
                <w:b/>
                <w:bCs/>
              </w:rPr>
              <w:t>Examples</w:t>
            </w:r>
          </w:p>
        </w:tc>
      </w:tr>
      <w:tr w:rsidR="00936527" w14:paraId="4C497727" w14:textId="77777777" w:rsidTr="00475E95">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F3A1788" w14:textId="77777777" w:rsidR="00936527" w:rsidRDefault="00936527" w:rsidP="00BA21AD">
            <w:pPr>
              <w:tabs>
                <w:tab w:val="left" w:pos="2654"/>
              </w:tabs>
              <w:spacing w:before="60" w:after="60" w:line="264" w:lineRule="auto"/>
              <w:rPr>
                <w:rFonts w:cs="Arial"/>
                <w:color w:val="000000"/>
              </w:rPr>
            </w:pPr>
            <w:r w:rsidRPr="00EB21F5">
              <w:rPr>
                <w:rFonts w:cs="Arial"/>
                <w:color w:val="000000"/>
              </w:rPr>
              <w:t>A07.2.02MR</w:t>
            </w:r>
          </w:p>
          <w:p w14:paraId="12A580F8" w14:textId="77777777" w:rsidR="00936527" w:rsidRPr="002D7B6F" w:rsidRDefault="00936527" w:rsidP="00BA21AD">
            <w:pPr>
              <w:tabs>
                <w:tab w:val="left" w:pos="2654"/>
              </w:tabs>
              <w:spacing w:before="60" w:after="60" w:line="264" w:lineRule="auto"/>
              <w:rPr>
                <w:rFonts w:cs="Arial"/>
              </w:rPr>
            </w:pPr>
            <w:r w:rsidRPr="002D7B6F">
              <w:rPr>
                <w:rFonts w:cs="Arial"/>
              </w:rPr>
              <w:t>Upload a Milestone Report</w:t>
            </w:r>
          </w:p>
        </w:tc>
        <w:tc>
          <w:tcPr>
            <w:tcW w:w="1984" w:type="dxa"/>
            <w:tcBorders>
              <w:top w:val="single" w:sz="4" w:space="0" w:color="auto"/>
              <w:left w:val="nil"/>
              <w:bottom w:val="single" w:sz="4" w:space="0" w:color="auto"/>
              <w:right w:val="single" w:sz="4" w:space="0" w:color="auto"/>
            </w:tcBorders>
            <w:shd w:val="clear" w:color="auto" w:fill="auto"/>
            <w:vAlign w:val="center"/>
          </w:tcPr>
          <w:p w14:paraId="72516549" w14:textId="77777777" w:rsidR="00936527" w:rsidRPr="00EB21F5" w:rsidRDefault="00936527" w:rsidP="00BA21AD">
            <w:pPr>
              <w:tabs>
                <w:tab w:val="left" w:pos="2654"/>
              </w:tabs>
              <w:spacing w:before="60" w:after="60" w:line="264" w:lineRule="auto"/>
              <w:rPr>
                <w:rFonts w:cs="Arial"/>
                <w:b/>
                <w:bCs/>
              </w:rPr>
            </w:pPr>
            <w:r w:rsidRPr="00EB21F5">
              <w:rPr>
                <w:rFonts w:cs="Arial"/>
                <w:color w:val="000000"/>
              </w:rPr>
              <w:t>Complete and upload the report as per the template provided.</w:t>
            </w:r>
          </w:p>
        </w:tc>
        <w:tc>
          <w:tcPr>
            <w:tcW w:w="10915" w:type="dxa"/>
            <w:vAlign w:val="center"/>
          </w:tcPr>
          <w:p w14:paraId="37A78E64" w14:textId="77777777" w:rsidR="00936527" w:rsidRDefault="00936527" w:rsidP="00BA21AD">
            <w:pPr>
              <w:tabs>
                <w:tab w:val="left" w:pos="2654"/>
              </w:tabs>
              <w:spacing w:before="60" w:after="60" w:line="264" w:lineRule="auto"/>
              <w:rPr>
                <w:rFonts w:cs="Arial"/>
              </w:rPr>
            </w:pPr>
            <w:r w:rsidRPr="009E7559">
              <w:rPr>
                <w:rFonts w:cs="Arial"/>
              </w:rPr>
              <w:t xml:space="preserve">Complete and upload the </w:t>
            </w:r>
            <w:r>
              <w:rPr>
                <w:rFonts w:cs="Arial"/>
              </w:rPr>
              <w:t>relevant milestone report/s</w:t>
            </w:r>
            <w:r w:rsidRPr="009E7559">
              <w:rPr>
                <w:rFonts w:cs="Arial"/>
              </w:rPr>
              <w:t xml:space="preserve"> template provided </w:t>
            </w:r>
            <w:r>
              <w:rPr>
                <w:rFonts w:cs="Arial"/>
              </w:rPr>
              <w:t xml:space="preserve">in Section 12 of this document. </w:t>
            </w:r>
          </w:p>
          <w:p w14:paraId="25A85C6C" w14:textId="77777777" w:rsidR="005617F2" w:rsidRPr="005617F2" w:rsidRDefault="005617F2" w:rsidP="00BA21AD">
            <w:pPr>
              <w:pStyle w:val="ListParagraph"/>
              <w:numPr>
                <w:ilvl w:val="0"/>
                <w:numId w:val="19"/>
              </w:numPr>
              <w:spacing w:before="60" w:after="60" w:line="264" w:lineRule="auto"/>
              <w:contextualSpacing w:val="0"/>
              <w:rPr>
                <w:rFonts w:ascii="Arial" w:hAnsi="Arial" w:cs="Arial"/>
              </w:rPr>
            </w:pPr>
            <w:r w:rsidRPr="005617F2">
              <w:rPr>
                <w:rFonts w:ascii="Arial" w:hAnsi="Arial" w:cs="Arial"/>
              </w:rPr>
              <w:t>Programs, Events, Activities and Projects; and / or</w:t>
            </w:r>
          </w:p>
          <w:p w14:paraId="70B4345B" w14:textId="4908DD54" w:rsidR="00936527" w:rsidRPr="005617F2" w:rsidRDefault="005617F2" w:rsidP="00BA21AD">
            <w:pPr>
              <w:pStyle w:val="ListParagraph"/>
              <w:numPr>
                <w:ilvl w:val="0"/>
                <w:numId w:val="19"/>
              </w:numPr>
              <w:tabs>
                <w:tab w:val="left" w:pos="2654"/>
              </w:tabs>
              <w:spacing w:before="60" w:after="60" w:line="264" w:lineRule="auto"/>
              <w:contextualSpacing w:val="0"/>
              <w:rPr>
                <w:rFonts w:ascii="Arial" w:hAnsi="Arial" w:cs="Arial"/>
              </w:rPr>
            </w:pPr>
            <w:r w:rsidRPr="005617F2">
              <w:rPr>
                <w:rFonts w:ascii="Arial" w:hAnsi="Arial" w:cs="Arial"/>
              </w:rPr>
              <w:t>System Coordination</w:t>
            </w:r>
          </w:p>
        </w:tc>
      </w:tr>
    </w:tbl>
    <w:p w14:paraId="4AF1C440" w14:textId="77777777" w:rsidR="00501854" w:rsidRDefault="00501854" w:rsidP="00501854">
      <w:pPr>
        <w:tabs>
          <w:tab w:val="left" w:pos="2654"/>
        </w:tabs>
        <w:spacing w:line="264" w:lineRule="auto"/>
        <w:rPr>
          <w:b/>
          <w:bCs/>
          <w:sz w:val="22"/>
          <w:szCs w:val="22"/>
        </w:rPr>
      </w:pPr>
    </w:p>
    <w:p w14:paraId="599CDD0C" w14:textId="77777777" w:rsidR="00BA21AD" w:rsidRDefault="00BA21AD">
      <w:pPr>
        <w:rPr>
          <w:b/>
          <w:bCs/>
          <w:sz w:val="22"/>
          <w:szCs w:val="22"/>
        </w:rPr>
      </w:pPr>
      <w:r>
        <w:rPr>
          <w:b/>
          <w:bCs/>
          <w:sz w:val="22"/>
          <w:szCs w:val="22"/>
        </w:rPr>
        <w:br w:type="page"/>
      </w:r>
    </w:p>
    <w:p w14:paraId="1B37F1E5" w14:textId="0343C302" w:rsidR="00936527" w:rsidRPr="00936527" w:rsidRDefault="00936527" w:rsidP="00501854">
      <w:pPr>
        <w:tabs>
          <w:tab w:val="left" w:pos="2654"/>
        </w:tabs>
        <w:spacing w:before="120" w:after="120" w:line="264" w:lineRule="auto"/>
        <w:rPr>
          <w:b/>
          <w:bCs/>
          <w:sz w:val="22"/>
          <w:szCs w:val="22"/>
        </w:rPr>
      </w:pPr>
      <w:r w:rsidRPr="00936527">
        <w:rPr>
          <w:b/>
          <w:bCs/>
          <w:sz w:val="22"/>
          <w:szCs w:val="22"/>
        </w:rPr>
        <w:lastRenderedPageBreak/>
        <w:t>11.</w:t>
      </w:r>
      <w:r>
        <w:rPr>
          <w:b/>
          <w:bCs/>
          <w:sz w:val="22"/>
          <w:szCs w:val="22"/>
        </w:rPr>
        <w:t>2</w:t>
      </w:r>
      <w:r w:rsidRPr="00936527">
        <w:rPr>
          <w:b/>
          <w:bCs/>
          <w:sz w:val="22"/>
          <w:szCs w:val="22"/>
        </w:rPr>
        <w:t xml:space="preserve"> Youth </w:t>
      </w:r>
      <w:r>
        <w:rPr>
          <w:b/>
          <w:bCs/>
          <w:sz w:val="22"/>
          <w:szCs w:val="22"/>
        </w:rPr>
        <w:t xml:space="preserve">Housing </w:t>
      </w:r>
      <w:bookmarkStart w:id="188" w:name="_Hlk116309326"/>
      <w:r w:rsidRPr="00936527">
        <w:rPr>
          <w:b/>
          <w:bCs/>
          <w:sz w:val="22"/>
          <w:szCs w:val="22"/>
        </w:rPr>
        <w:t>and Reintegration Service</w:t>
      </w:r>
      <w:r w:rsidR="00535FED">
        <w:rPr>
          <w:b/>
          <w:bCs/>
          <w:sz w:val="22"/>
          <w:szCs w:val="22"/>
        </w:rPr>
        <w:t>s</w:t>
      </w:r>
      <w:r w:rsidRPr="00936527">
        <w:rPr>
          <w:b/>
          <w:bCs/>
          <w:sz w:val="22"/>
          <w:szCs w:val="22"/>
        </w:rPr>
        <w:t xml:space="preserve"> </w:t>
      </w:r>
      <w:r w:rsidR="00CB7E85">
        <w:rPr>
          <w:b/>
          <w:bCs/>
          <w:sz w:val="22"/>
          <w:szCs w:val="22"/>
        </w:rPr>
        <w:t>(YHARS)</w:t>
      </w:r>
      <w:bookmarkEnd w:id="188"/>
    </w:p>
    <w:tbl>
      <w:tblPr>
        <w:tblStyle w:val="TableGrid"/>
        <w:tblW w:w="14879" w:type="dxa"/>
        <w:tblLook w:val="04A0" w:firstRow="1" w:lastRow="0" w:firstColumn="1" w:lastColumn="0" w:noHBand="0" w:noVBand="1"/>
      </w:tblPr>
      <w:tblGrid>
        <w:gridCol w:w="1980"/>
        <w:gridCol w:w="1984"/>
        <w:gridCol w:w="10915"/>
      </w:tblGrid>
      <w:tr w:rsidR="000D1700" w14:paraId="64288F97" w14:textId="77777777" w:rsidTr="00960CEE">
        <w:tc>
          <w:tcPr>
            <w:tcW w:w="14879" w:type="dxa"/>
            <w:gridSpan w:val="3"/>
            <w:shd w:val="clear" w:color="auto" w:fill="FFFFFF" w:themeFill="background1"/>
          </w:tcPr>
          <w:p w14:paraId="402E915E" w14:textId="2F4D3DC6" w:rsidR="000D1700" w:rsidRPr="000D1700" w:rsidRDefault="000D1700" w:rsidP="00501854">
            <w:pPr>
              <w:tabs>
                <w:tab w:val="left" w:pos="2654"/>
              </w:tabs>
              <w:spacing w:before="120" w:after="120" w:line="264" w:lineRule="auto"/>
              <w:rPr>
                <w:b/>
                <w:bCs/>
                <w:color w:val="00B0F0"/>
                <w:sz w:val="22"/>
                <w:szCs w:val="22"/>
              </w:rPr>
            </w:pPr>
            <w:r w:rsidRPr="000D1700">
              <w:rPr>
                <w:b/>
                <w:bCs/>
                <w:color w:val="00B0F0"/>
                <w:sz w:val="22"/>
                <w:szCs w:val="22"/>
              </w:rPr>
              <w:t xml:space="preserve">Service Type – </w:t>
            </w:r>
            <w:r w:rsidR="00936527">
              <w:rPr>
                <w:b/>
                <w:bCs/>
                <w:color w:val="00B0F0"/>
                <w:sz w:val="22"/>
                <w:szCs w:val="22"/>
              </w:rPr>
              <w:t xml:space="preserve">T314 </w:t>
            </w:r>
            <w:r w:rsidRPr="000D1700">
              <w:rPr>
                <w:b/>
                <w:bCs/>
                <w:color w:val="00B0F0"/>
                <w:sz w:val="22"/>
                <w:szCs w:val="22"/>
              </w:rPr>
              <w:t>Support and Case Management (</w:t>
            </w:r>
            <w:r w:rsidR="00CB7E85" w:rsidRPr="00CB7E85">
              <w:rPr>
                <w:b/>
                <w:bCs/>
                <w:color w:val="00B0F0"/>
                <w:sz w:val="22"/>
                <w:szCs w:val="22"/>
              </w:rPr>
              <w:t>YHARS)</w:t>
            </w:r>
          </w:p>
          <w:p w14:paraId="5722912F" w14:textId="5B709F82" w:rsidR="000D1700" w:rsidRPr="00095124" w:rsidRDefault="000D1700" w:rsidP="00501854">
            <w:pPr>
              <w:tabs>
                <w:tab w:val="left" w:pos="2654"/>
              </w:tabs>
              <w:spacing w:before="120" w:after="120" w:line="264" w:lineRule="auto"/>
              <w:rPr>
                <w:b/>
                <w:bCs/>
              </w:rPr>
            </w:pPr>
            <w:r w:rsidRPr="000D1700">
              <w:rPr>
                <w:b/>
                <w:bCs/>
                <w:color w:val="00B0F0"/>
                <w:sz w:val="22"/>
                <w:szCs w:val="22"/>
              </w:rPr>
              <w:t xml:space="preserve">Service User – Young people </w:t>
            </w:r>
            <w:r w:rsidRPr="00CB125F">
              <w:rPr>
                <w:b/>
                <w:bCs/>
                <w:color w:val="00B0F0"/>
                <w:sz w:val="22"/>
                <w:szCs w:val="22"/>
              </w:rPr>
              <w:t>aged 12–2</w:t>
            </w:r>
            <w:r w:rsidR="00CB125F" w:rsidRPr="00CB125F">
              <w:rPr>
                <w:b/>
                <w:bCs/>
                <w:color w:val="00B0F0"/>
                <w:sz w:val="22"/>
                <w:szCs w:val="22"/>
              </w:rPr>
              <w:t>1</w:t>
            </w:r>
            <w:r w:rsidRPr="00CB125F">
              <w:rPr>
                <w:b/>
                <w:bCs/>
                <w:color w:val="00B0F0"/>
                <w:sz w:val="22"/>
                <w:szCs w:val="22"/>
              </w:rPr>
              <w:t xml:space="preserve"> years </w:t>
            </w:r>
            <w:r w:rsidRPr="000D1700">
              <w:rPr>
                <w:b/>
                <w:bCs/>
                <w:color w:val="00B0F0"/>
                <w:sz w:val="22"/>
                <w:szCs w:val="22"/>
              </w:rPr>
              <w:t>who are at risk of homelessness, or who are homeless (U2347)</w:t>
            </w:r>
          </w:p>
        </w:tc>
      </w:tr>
      <w:tr w:rsidR="002D7B6F" w14:paraId="625FF2E8" w14:textId="77777777" w:rsidTr="000D1700">
        <w:tc>
          <w:tcPr>
            <w:tcW w:w="1980" w:type="dxa"/>
            <w:shd w:val="clear" w:color="auto" w:fill="BFBFBF" w:themeFill="background1" w:themeFillShade="BF"/>
          </w:tcPr>
          <w:p w14:paraId="47724C86" w14:textId="633547BE" w:rsidR="002D7B6F" w:rsidRPr="00095124" w:rsidRDefault="00AF4C30" w:rsidP="00501854">
            <w:pPr>
              <w:tabs>
                <w:tab w:val="left" w:pos="2654"/>
              </w:tabs>
              <w:spacing w:before="40" w:after="40" w:line="264" w:lineRule="auto"/>
              <w:rPr>
                <w:b/>
                <w:bCs/>
              </w:rPr>
            </w:pPr>
            <w:r w:rsidRPr="00AF4C30">
              <w:rPr>
                <w:b/>
                <w:bCs/>
              </w:rPr>
              <w:t>Measure / Description</w:t>
            </w:r>
          </w:p>
        </w:tc>
        <w:tc>
          <w:tcPr>
            <w:tcW w:w="1984" w:type="dxa"/>
            <w:shd w:val="clear" w:color="auto" w:fill="BFBFBF" w:themeFill="background1" w:themeFillShade="BF"/>
          </w:tcPr>
          <w:p w14:paraId="07170F92" w14:textId="77777777" w:rsidR="002D7B6F" w:rsidRPr="00095124" w:rsidRDefault="002D7B6F" w:rsidP="00501854">
            <w:pPr>
              <w:tabs>
                <w:tab w:val="left" w:pos="2654"/>
              </w:tabs>
              <w:spacing w:before="40" w:after="40" w:line="264" w:lineRule="auto"/>
              <w:rPr>
                <w:b/>
                <w:bCs/>
              </w:rPr>
            </w:pPr>
            <w:r w:rsidRPr="00095124">
              <w:rPr>
                <w:b/>
                <w:bCs/>
              </w:rPr>
              <w:t>Counting Rule</w:t>
            </w:r>
          </w:p>
        </w:tc>
        <w:tc>
          <w:tcPr>
            <w:tcW w:w="10915" w:type="dxa"/>
            <w:shd w:val="clear" w:color="auto" w:fill="BFBFBF" w:themeFill="background1" w:themeFillShade="BF"/>
          </w:tcPr>
          <w:p w14:paraId="1ABD11C8" w14:textId="77777777" w:rsidR="002D7B6F" w:rsidRPr="00095124" w:rsidRDefault="002D7B6F" w:rsidP="00501854">
            <w:pPr>
              <w:tabs>
                <w:tab w:val="left" w:pos="2654"/>
              </w:tabs>
              <w:spacing w:before="40" w:after="40" w:line="264" w:lineRule="auto"/>
              <w:rPr>
                <w:b/>
                <w:bCs/>
              </w:rPr>
            </w:pPr>
            <w:r w:rsidRPr="00095124">
              <w:rPr>
                <w:b/>
                <w:bCs/>
              </w:rPr>
              <w:t>Examples</w:t>
            </w:r>
          </w:p>
        </w:tc>
      </w:tr>
      <w:tr w:rsidR="002D7B6F" w14:paraId="5412D94C" w14:textId="77777777" w:rsidTr="000D170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DD6FF40" w14:textId="77777777" w:rsidR="002D7B6F" w:rsidRPr="00794D0F" w:rsidRDefault="002D7B6F" w:rsidP="00BA21AD">
            <w:pPr>
              <w:tabs>
                <w:tab w:val="left" w:pos="2654"/>
              </w:tabs>
              <w:spacing w:before="60" w:after="60" w:line="264" w:lineRule="auto"/>
              <w:rPr>
                <w:rFonts w:cs="Arial"/>
              </w:rPr>
            </w:pPr>
            <w:r w:rsidRPr="00794D0F">
              <w:rPr>
                <w:rFonts w:cs="Arial"/>
              </w:rPr>
              <w:t>A01.2.02H</w:t>
            </w:r>
          </w:p>
          <w:p w14:paraId="15F6928A" w14:textId="4C0B1463" w:rsidR="002D7B6F" w:rsidRPr="00794D0F" w:rsidRDefault="002D7B6F" w:rsidP="00BA21AD">
            <w:pPr>
              <w:tabs>
                <w:tab w:val="left" w:pos="2654"/>
              </w:tabs>
              <w:spacing w:before="60" w:after="60" w:line="264" w:lineRule="auto"/>
              <w:rPr>
                <w:rFonts w:cs="Arial"/>
              </w:rPr>
            </w:pPr>
            <w:r w:rsidRPr="00794D0F">
              <w:rPr>
                <w:rFonts w:cs="Arial"/>
              </w:rPr>
              <w:t>Number of hours provided during the reporting period</w:t>
            </w:r>
          </w:p>
        </w:tc>
        <w:tc>
          <w:tcPr>
            <w:tcW w:w="1984" w:type="dxa"/>
            <w:vAlign w:val="center"/>
          </w:tcPr>
          <w:p w14:paraId="2140CF05" w14:textId="77777777" w:rsidR="002D7B6F" w:rsidRPr="00794D0F" w:rsidRDefault="002D7B6F" w:rsidP="00BA21AD">
            <w:pPr>
              <w:tabs>
                <w:tab w:val="left" w:pos="2654"/>
              </w:tabs>
              <w:spacing w:before="60" w:after="60" w:line="264" w:lineRule="auto"/>
              <w:rPr>
                <w:rFonts w:cs="Arial"/>
                <w:b/>
                <w:bCs/>
              </w:rPr>
            </w:pPr>
            <w:r w:rsidRPr="00794D0F">
              <w:rPr>
                <w:rFonts w:cs="Arial"/>
              </w:rPr>
              <w:t>Count all hours spent with Service Users or time spent on behalf of a Service Users or which can be attributed to a Service User to provide Case Management.</w:t>
            </w:r>
          </w:p>
        </w:tc>
        <w:tc>
          <w:tcPr>
            <w:tcW w:w="10915" w:type="dxa"/>
            <w:vAlign w:val="center"/>
          </w:tcPr>
          <w:p w14:paraId="28182412" w14:textId="2E4E673C" w:rsidR="00D8049B" w:rsidRPr="00794D0F" w:rsidRDefault="00D8049B" w:rsidP="00BA21AD">
            <w:pPr>
              <w:tabs>
                <w:tab w:val="left" w:pos="2654"/>
              </w:tabs>
              <w:spacing w:before="60" w:after="60" w:line="264" w:lineRule="auto"/>
              <w:rPr>
                <w:rFonts w:cs="Arial"/>
              </w:rPr>
            </w:pPr>
            <w:r w:rsidRPr="00794D0F">
              <w:rPr>
                <w:rFonts w:cs="Arial"/>
              </w:rPr>
              <w:t xml:space="preserve">This includes time spent with Service Users, undertaking tasks on behalf of Service Users, leading / participating in case conferences, arranging accommodation option, </w:t>
            </w:r>
            <w:r w:rsidR="000F2441" w:rsidRPr="00794D0F">
              <w:rPr>
                <w:rFonts w:cs="Arial"/>
              </w:rPr>
              <w:t xml:space="preserve">case workers </w:t>
            </w:r>
            <w:r w:rsidRPr="00794D0F">
              <w:rPr>
                <w:rFonts w:cs="Arial"/>
              </w:rPr>
              <w:t>writing file notes, travel to meet a Service User, recording Service User information into</w:t>
            </w:r>
            <w:r w:rsidR="00794D0F" w:rsidRPr="00794D0F">
              <w:rPr>
                <w:rFonts w:cs="Arial"/>
              </w:rPr>
              <w:t xml:space="preserve"> the</w:t>
            </w:r>
            <w:r w:rsidRPr="00794D0F">
              <w:rPr>
                <w:rFonts w:cs="Arial"/>
              </w:rPr>
              <w:t xml:space="preserve"> </w:t>
            </w:r>
            <w:r w:rsidR="00794D0F" w:rsidRPr="00794D0F">
              <w:rPr>
                <w:rFonts w:cs="Arial"/>
              </w:rPr>
              <w:t>YHARS SRS</w:t>
            </w:r>
            <w:r w:rsidRPr="00794D0F">
              <w:rPr>
                <w:rFonts w:cs="Arial"/>
              </w:rPr>
              <w:t xml:space="preserve">, and preparation for group activities with targeted Service Users.  </w:t>
            </w:r>
          </w:p>
          <w:p w14:paraId="559E8AE2" w14:textId="1ABED0EB" w:rsidR="00C05D5A" w:rsidRPr="00794D0F" w:rsidRDefault="00C05D5A" w:rsidP="00BA21AD">
            <w:pPr>
              <w:tabs>
                <w:tab w:val="left" w:pos="2654"/>
              </w:tabs>
              <w:spacing w:before="60" w:after="60" w:line="264" w:lineRule="auto"/>
              <w:rPr>
                <w:rFonts w:cs="Arial"/>
              </w:rPr>
            </w:pPr>
            <w:r w:rsidRPr="00794D0F">
              <w:rPr>
                <w:rFonts w:cs="Arial"/>
              </w:rPr>
              <w:t xml:space="preserve">Time reported under this output must be time which is directly associated with a Service User(s).  This includes time spent with Service Users, </w:t>
            </w:r>
            <w:r w:rsidR="00BA21AD" w:rsidRPr="00BA21AD">
              <w:rPr>
                <w:rFonts w:cs="Arial"/>
              </w:rPr>
              <w:t xml:space="preserve">updating records of Service Users, </w:t>
            </w:r>
            <w:r w:rsidRPr="00794D0F">
              <w:rPr>
                <w:rFonts w:cs="Arial"/>
              </w:rPr>
              <w:t>travel to meet a Service User, leading / participating in case conferences, undertaking tasks on behalf of Service Users, writing file recording Service User information into</w:t>
            </w:r>
            <w:r w:rsidR="00794D0F" w:rsidRPr="00794D0F">
              <w:rPr>
                <w:rFonts w:cs="Arial"/>
              </w:rPr>
              <w:t xml:space="preserve"> the</w:t>
            </w:r>
            <w:r w:rsidRPr="00794D0F">
              <w:rPr>
                <w:rFonts w:cs="Arial"/>
              </w:rPr>
              <w:t xml:space="preserve"> </w:t>
            </w:r>
            <w:r w:rsidR="00794D0F" w:rsidRPr="00794D0F">
              <w:rPr>
                <w:rFonts w:cs="Arial"/>
              </w:rPr>
              <w:t>YHARS SRS</w:t>
            </w:r>
            <w:r w:rsidRPr="00794D0F">
              <w:rPr>
                <w:rFonts w:cs="Arial"/>
              </w:rPr>
              <w:t xml:space="preserve">, and preparation for group activities with targeted Service Users.  </w:t>
            </w:r>
          </w:p>
          <w:p w14:paraId="3E42D273" w14:textId="77777777" w:rsidR="00C05D5A" w:rsidRPr="00794D0F" w:rsidRDefault="00C05D5A" w:rsidP="00BA21AD">
            <w:pPr>
              <w:tabs>
                <w:tab w:val="left" w:pos="2654"/>
              </w:tabs>
              <w:spacing w:before="60" w:after="60" w:line="264" w:lineRule="auto"/>
              <w:rPr>
                <w:rFonts w:cs="Arial"/>
              </w:rPr>
            </w:pPr>
            <w:r w:rsidRPr="00794D0F">
              <w:rPr>
                <w:rFonts w:cs="Arial"/>
              </w:rPr>
              <w:t xml:space="preserve">Activities not directly related to a Service User(s) such as community events, network meetings, service planning meetings, etc. are not counted as output hours.  </w:t>
            </w:r>
          </w:p>
          <w:p w14:paraId="18256680" w14:textId="0330663F" w:rsidR="00C05D5A" w:rsidRPr="00794D0F" w:rsidRDefault="00C05D5A" w:rsidP="00BA21AD">
            <w:pPr>
              <w:tabs>
                <w:tab w:val="left" w:pos="2654"/>
              </w:tabs>
              <w:spacing w:before="60" w:after="60" w:line="264" w:lineRule="auto"/>
              <w:rPr>
                <w:rFonts w:cs="Arial"/>
              </w:rPr>
            </w:pPr>
            <w:r w:rsidRPr="00794D0F">
              <w:rPr>
                <w:rFonts w:cs="Arial"/>
              </w:rPr>
              <w:t xml:space="preserve">All time under this service type is required to be recorded in the </w:t>
            </w:r>
            <w:r w:rsidR="00794D0F" w:rsidRPr="00794D0F">
              <w:rPr>
                <w:rFonts w:cs="Arial"/>
              </w:rPr>
              <w:t>YHARS SRS</w:t>
            </w:r>
            <w:r w:rsidRPr="00794D0F">
              <w:rPr>
                <w:rFonts w:cs="Arial"/>
              </w:rPr>
              <w:t xml:space="preserve">.  </w:t>
            </w:r>
          </w:p>
          <w:p w14:paraId="412C9284" w14:textId="713F1A91" w:rsidR="00D8049B" w:rsidRPr="00794D0F" w:rsidRDefault="00D8049B" w:rsidP="00BA21AD">
            <w:pPr>
              <w:tabs>
                <w:tab w:val="left" w:pos="2654"/>
              </w:tabs>
              <w:spacing w:before="60" w:after="60" w:line="264" w:lineRule="auto"/>
              <w:rPr>
                <w:rFonts w:cs="Arial"/>
              </w:rPr>
            </w:pPr>
            <w:r w:rsidRPr="00794D0F">
              <w:rPr>
                <w:rFonts w:cs="Arial"/>
              </w:rPr>
              <w:t xml:space="preserve">Examples – </w:t>
            </w:r>
          </w:p>
          <w:p w14:paraId="65FDB2D5" w14:textId="06EEC703" w:rsidR="00D8049B" w:rsidRPr="00794D0F" w:rsidRDefault="00D8049B" w:rsidP="00BA21AD">
            <w:pPr>
              <w:numPr>
                <w:ilvl w:val="0"/>
                <w:numId w:val="13"/>
              </w:numPr>
              <w:tabs>
                <w:tab w:val="left" w:pos="2654"/>
              </w:tabs>
              <w:spacing w:before="60" w:after="60" w:line="264" w:lineRule="auto"/>
              <w:rPr>
                <w:rFonts w:cs="Arial"/>
              </w:rPr>
            </w:pPr>
            <w:r w:rsidRPr="00794D0F">
              <w:rPr>
                <w:rFonts w:cs="Arial"/>
              </w:rPr>
              <w:t>A worker drives 30 minutes to meet a Service User.  2 hours is spent with the Service User undertaking an assessment of needs and seeking consent.  The worker drives 30 minutes back to the office and spends a further 2 hours organising emergency accommodation and recording information in</w:t>
            </w:r>
            <w:r w:rsidR="00794D0F" w:rsidRPr="00794D0F">
              <w:rPr>
                <w:rFonts w:cs="Arial"/>
              </w:rPr>
              <w:t xml:space="preserve"> the</w:t>
            </w:r>
            <w:r w:rsidRPr="00794D0F">
              <w:rPr>
                <w:rFonts w:cs="Arial"/>
              </w:rPr>
              <w:t xml:space="preserve"> </w:t>
            </w:r>
            <w:r w:rsidR="00794D0F" w:rsidRPr="00794D0F">
              <w:rPr>
                <w:rFonts w:cs="Arial"/>
              </w:rPr>
              <w:t>YHARS SRS</w:t>
            </w:r>
            <w:r w:rsidRPr="00794D0F">
              <w:rPr>
                <w:rFonts w:cs="Arial"/>
              </w:rPr>
              <w:t xml:space="preserve">.  Record 300 minutes in </w:t>
            </w:r>
            <w:r w:rsidR="00794D0F" w:rsidRPr="00794D0F">
              <w:rPr>
                <w:rFonts w:cs="Arial"/>
              </w:rPr>
              <w:t>the YHARS SRS</w:t>
            </w:r>
            <w:r w:rsidRPr="00794D0F">
              <w:rPr>
                <w:rFonts w:cs="Arial"/>
              </w:rPr>
              <w:t xml:space="preserve"> (Note) </w:t>
            </w:r>
            <w:proofErr w:type="gramStart"/>
            <w:r w:rsidRPr="00794D0F">
              <w:rPr>
                <w:rFonts w:cs="Arial"/>
              </w:rPr>
              <w:t>i.e.</w:t>
            </w:r>
            <w:proofErr w:type="gramEnd"/>
            <w:r w:rsidRPr="00794D0F">
              <w:rPr>
                <w:rFonts w:cs="Arial"/>
              </w:rPr>
              <w:t xml:space="preserve"> 180 minutes Contact, 180 minutes Case Work and 60 minutes Travel.</w:t>
            </w:r>
          </w:p>
          <w:p w14:paraId="50C29043" w14:textId="14E74561" w:rsidR="00D8049B" w:rsidRPr="00794D0F" w:rsidRDefault="00D8049B" w:rsidP="00BA21AD">
            <w:pPr>
              <w:numPr>
                <w:ilvl w:val="0"/>
                <w:numId w:val="13"/>
              </w:numPr>
              <w:tabs>
                <w:tab w:val="left" w:pos="2654"/>
              </w:tabs>
              <w:spacing w:before="60" w:after="60" w:line="264" w:lineRule="auto"/>
              <w:rPr>
                <w:rFonts w:cs="Arial"/>
              </w:rPr>
            </w:pPr>
            <w:r w:rsidRPr="00794D0F">
              <w:rPr>
                <w:rFonts w:cs="Arial"/>
              </w:rPr>
              <w:t xml:space="preserve">A worker spends one hour case planning with a Service User and a further 30 minutes writing the case plan. Count as 1 hour 30 minutes.  Record 90 minutes in </w:t>
            </w:r>
            <w:r w:rsidR="00794D0F" w:rsidRPr="00794D0F">
              <w:rPr>
                <w:rFonts w:cs="Arial"/>
              </w:rPr>
              <w:t>the YHARS SRS</w:t>
            </w:r>
            <w:r w:rsidRPr="00794D0F">
              <w:rPr>
                <w:rFonts w:cs="Arial"/>
              </w:rPr>
              <w:t xml:space="preserve"> (Note) </w:t>
            </w:r>
            <w:proofErr w:type="gramStart"/>
            <w:r w:rsidRPr="00794D0F">
              <w:rPr>
                <w:rFonts w:cs="Arial"/>
              </w:rPr>
              <w:t>i.e.</w:t>
            </w:r>
            <w:proofErr w:type="gramEnd"/>
            <w:r w:rsidRPr="00794D0F">
              <w:rPr>
                <w:rFonts w:cs="Arial"/>
              </w:rPr>
              <w:t xml:space="preserve"> 60 minutes Contact and 30 minutes Case Work.</w:t>
            </w:r>
          </w:p>
          <w:p w14:paraId="53252FFB" w14:textId="366D6F8D" w:rsidR="00D8049B" w:rsidRPr="00794D0F" w:rsidRDefault="00D8049B" w:rsidP="00BA21AD">
            <w:pPr>
              <w:numPr>
                <w:ilvl w:val="0"/>
                <w:numId w:val="13"/>
              </w:numPr>
              <w:tabs>
                <w:tab w:val="left" w:pos="2654"/>
              </w:tabs>
              <w:spacing w:before="60" w:after="60" w:line="264" w:lineRule="auto"/>
              <w:rPr>
                <w:rFonts w:cs="Arial"/>
              </w:rPr>
            </w:pPr>
            <w:r w:rsidRPr="00794D0F">
              <w:rPr>
                <w:rFonts w:cs="Arial"/>
              </w:rPr>
              <w:t>A service identifies 4 of their Service Users who require assistance preparing to enter the workforce, including development of resumes.  Two workers</w:t>
            </w:r>
            <w:r w:rsidR="00BA21AD">
              <w:rPr>
                <w:rFonts w:cs="Arial"/>
              </w:rPr>
              <w:t xml:space="preserve"> spend</w:t>
            </w:r>
            <w:r w:rsidRPr="00794D0F">
              <w:rPr>
                <w:rFonts w:cs="Arial"/>
              </w:rPr>
              <w:t xml:space="preserve"> 1 hour delivering a workshop to the Service Users.  Record 60 minutes in </w:t>
            </w:r>
            <w:r w:rsidR="00794D0F" w:rsidRPr="00794D0F">
              <w:rPr>
                <w:rFonts w:cs="Arial"/>
              </w:rPr>
              <w:t>the YHARS SRS</w:t>
            </w:r>
            <w:r w:rsidRPr="00794D0F">
              <w:rPr>
                <w:rFonts w:cs="Arial"/>
              </w:rPr>
              <w:t xml:space="preserve"> (Group Note) and record the names of both workers (will total 2 hours).  </w:t>
            </w:r>
          </w:p>
          <w:p w14:paraId="54AEA1A0" w14:textId="5D4445F1" w:rsidR="00D8049B" w:rsidRPr="00794D0F" w:rsidRDefault="00D8049B" w:rsidP="00BA21AD">
            <w:pPr>
              <w:numPr>
                <w:ilvl w:val="0"/>
                <w:numId w:val="13"/>
              </w:numPr>
              <w:tabs>
                <w:tab w:val="left" w:pos="2654"/>
              </w:tabs>
              <w:spacing w:before="60" w:after="60" w:line="264" w:lineRule="auto"/>
              <w:rPr>
                <w:rFonts w:cs="Arial"/>
              </w:rPr>
            </w:pPr>
            <w:r w:rsidRPr="00794D0F">
              <w:rPr>
                <w:rFonts w:cs="Arial"/>
              </w:rPr>
              <w:t xml:space="preserve">A worker meets with the youth shelter to discuss arrangements for client referrals and the form used by the shelter.  Do not count.  While the meeting will support future clients through more streamlined processes between the services, it is not captured in </w:t>
            </w:r>
            <w:r w:rsidR="00794D0F" w:rsidRPr="00794D0F">
              <w:rPr>
                <w:rFonts w:cs="Arial"/>
              </w:rPr>
              <w:t>the YHARS SRS</w:t>
            </w:r>
            <w:r w:rsidRPr="00794D0F">
              <w:rPr>
                <w:rFonts w:cs="Arial"/>
              </w:rPr>
              <w:t xml:space="preserve"> and is not attributed to a client of the service.</w:t>
            </w:r>
          </w:p>
          <w:p w14:paraId="4A7B511D" w14:textId="77777777" w:rsidR="00D8049B" w:rsidRPr="00794D0F" w:rsidRDefault="00D8049B" w:rsidP="00BA21AD">
            <w:pPr>
              <w:tabs>
                <w:tab w:val="left" w:pos="2654"/>
              </w:tabs>
              <w:spacing w:before="60" w:after="60" w:line="264" w:lineRule="auto"/>
              <w:rPr>
                <w:rFonts w:cs="Arial"/>
              </w:rPr>
            </w:pPr>
            <w:r w:rsidRPr="00794D0F">
              <w:rPr>
                <w:rFonts w:cs="Arial"/>
              </w:rPr>
              <w:t>Do not count time for activities that cannot be attributed to individual Service Users such as –</w:t>
            </w:r>
          </w:p>
          <w:p w14:paraId="77E3A524" w14:textId="77777777" w:rsidR="00D8049B" w:rsidRPr="00794D0F" w:rsidRDefault="00D8049B" w:rsidP="00BA21AD">
            <w:pPr>
              <w:numPr>
                <w:ilvl w:val="0"/>
                <w:numId w:val="12"/>
              </w:numPr>
              <w:tabs>
                <w:tab w:val="left" w:pos="2654"/>
              </w:tabs>
              <w:spacing w:before="60" w:after="60" w:line="264" w:lineRule="auto"/>
              <w:rPr>
                <w:rFonts w:cs="Arial"/>
              </w:rPr>
            </w:pPr>
            <w:r w:rsidRPr="00794D0F">
              <w:rPr>
                <w:rFonts w:cs="Arial"/>
              </w:rPr>
              <w:t>team meetings</w:t>
            </w:r>
          </w:p>
          <w:p w14:paraId="73434D96" w14:textId="77777777" w:rsidR="00D8049B" w:rsidRPr="00794D0F" w:rsidRDefault="00D8049B" w:rsidP="00BA21AD">
            <w:pPr>
              <w:numPr>
                <w:ilvl w:val="0"/>
                <w:numId w:val="12"/>
              </w:numPr>
              <w:tabs>
                <w:tab w:val="left" w:pos="2654"/>
              </w:tabs>
              <w:spacing w:before="60" w:after="60" w:line="264" w:lineRule="auto"/>
              <w:rPr>
                <w:rFonts w:cs="Arial"/>
              </w:rPr>
            </w:pPr>
            <w:r w:rsidRPr="00794D0F">
              <w:rPr>
                <w:rFonts w:cs="Arial"/>
              </w:rPr>
              <w:lastRenderedPageBreak/>
              <w:t>attending training / professional development</w:t>
            </w:r>
          </w:p>
          <w:p w14:paraId="780468E7" w14:textId="77777777" w:rsidR="00D8049B" w:rsidRPr="00794D0F" w:rsidRDefault="00D8049B" w:rsidP="00BA21AD">
            <w:pPr>
              <w:numPr>
                <w:ilvl w:val="0"/>
                <w:numId w:val="12"/>
              </w:numPr>
              <w:tabs>
                <w:tab w:val="left" w:pos="2654"/>
              </w:tabs>
              <w:spacing w:before="60" w:after="60" w:line="264" w:lineRule="auto"/>
              <w:rPr>
                <w:rFonts w:cs="Arial"/>
              </w:rPr>
            </w:pPr>
            <w:r w:rsidRPr="00794D0F">
              <w:rPr>
                <w:rFonts w:cs="Arial"/>
              </w:rPr>
              <w:t>network meetings / annual general meetings / board meetings</w:t>
            </w:r>
          </w:p>
          <w:p w14:paraId="5C395808" w14:textId="629D8A5A" w:rsidR="00D8049B" w:rsidRPr="00794D0F" w:rsidRDefault="00C05D5A" w:rsidP="00BA21AD">
            <w:pPr>
              <w:numPr>
                <w:ilvl w:val="0"/>
                <w:numId w:val="12"/>
              </w:numPr>
              <w:tabs>
                <w:tab w:val="left" w:pos="2654"/>
              </w:tabs>
              <w:spacing w:before="60" w:after="60" w:line="264" w:lineRule="auto"/>
              <w:rPr>
                <w:rFonts w:cs="Arial"/>
              </w:rPr>
            </w:pPr>
            <w:r w:rsidRPr="00794D0F">
              <w:rPr>
                <w:rFonts w:cs="Arial"/>
              </w:rPr>
              <w:t xml:space="preserve">worker </w:t>
            </w:r>
            <w:r w:rsidR="00D8049B" w:rsidRPr="00794D0F">
              <w:rPr>
                <w:rFonts w:cs="Arial"/>
              </w:rPr>
              <w:t>supervision</w:t>
            </w:r>
          </w:p>
          <w:p w14:paraId="4F863B08" w14:textId="55747944" w:rsidR="00C05D5A" w:rsidRPr="00794D0F" w:rsidRDefault="00C05D5A" w:rsidP="00BA21AD">
            <w:pPr>
              <w:numPr>
                <w:ilvl w:val="0"/>
                <w:numId w:val="12"/>
              </w:numPr>
              <w:tabs>
                <w:tab w:val="left" w:pos="2654"/>
              </w:tabs>
              <w:spacing w:before="60" w:after="60" w:line="264" w:lineRule="auto"/>
              <w:rPr>
                <w:rFonts w:cs="Arial"/>
              </w:rPr>
            </w:pPr>
            <w:r w:rsidRPr="00794D0F">
              <w:rPr>
                <w:rFonts w:cs="Arial"/>
              </w:rPr>
              <w:t>service system development activities</w:t>
            </w:r>
          </w:p>
          <w:p w14:paraId="1EF31D53" w14:textId="77777777" w:rsidR="00D8049B" w:rsidRPr="00794D0F" w:rsidRDefault="00D8049B" w:rsidP="00BA21AD">
            <w:pPr>
              <w:numPr>
                <w:ilvl w:val="0"/>
                <w:numId w:val="12"/>
              </w:numPr>
              <w:tabs>
                <w:tab w:val="left" w:pos="2654"/>
              </w:tabs>
              <w:spacing w:before="60" w:after="60" w:line="264" w:lineRule="auto"/>
              <w:rPr>
                <w:rFonts w:cs="Arial"/>
              </w:rPr>
            </w:pPr>
            <w:r w:rsidRPr="00794D0F">
              <w:rPr>
                <w:rFonts w:cs="Arial"/>
              </w:rPr>
              <w:t>data collection / reporting</w:t>
            </w:r>
          </w:p>
          <w:p w14:paraId="6FB8BAA3" w14:textId="77777777" w:rsidR="00D8049B" w:rsidRPr="00794D0F" w:rsidRDefault="00D8049B" w:rsidP="00BA21AD">
            <w:pPr>
              <w:numPr>
                <w:ilvl w:val="0"/>
                <w:numId w:val="12"/>
              </w:numPr>
              <w:tabs>
                <w:tab w:val="left" w:pos="2654"/>
              </w:tabs>
              <w:spacing w:before="60" w:after="60" w:line="264" w:lineRule="auto"/>
              <w:rPr>
                <w:rFonts w:cs="Arial"/>
              </w:rPr>
            </w:pPr>
            <w:r w:rsidRPr="00794D0F">
              <w:rPr>
                <w:rFonts w:cs="Arial"/>
              </w:rPr>
              <w:t xml:space="preserve">presentations to groups to raise awareness of the service or of a particular topic </w:t>
            </w:r>
            <w:proofErr w:type="gramStart"/>
            <w:r w:rsidRPr="00794D0F">
              <w:rPr>
                <w:rFonts w:cs="Arial"/>
              </w:rPr>
              <w:t>e.g.</w:t>
            </w:r>
            <w:proofErr w:type="gramEnd"/>
            <w:r w:rsidRPr="00794D0F">
              <w:rPr>
                <w:rFonts w:cs="Arial"/>
              </w:rPr>
              <w:t xml:space="preserve"> delivery of programs to school groups, attendance at community events, etc.</w:t>
            </w:r>
          </w:p>
          <w:p w14:paraId="4E52A864" w14:textId="1CDCF5FB" w:rsidR="002D7B6F" w:rsidRPr="00794D0F" w:rsidRDefault="00D8049B" w:rsidP="00BA21AD">
            <w:pPr>
              <w:pStyle w:val="ListParagraph"/>
              <w:numPr>
                <w:ilvl w:val="0"/>
                <w:numId w:val="12"/>
              </w:numPr>
              <w:tabs>
                <w:tab w:val="left" w:pos="2654"/>
              </w:tabs>
              <w:spacing w:before="60" w:after="60" w:line="264" w:lineRule="auto"/>
              <w:contextualSpacing w:val="0"/>
              <w:rPr>
                <w:rFonts w:cs="Arial"/>
                <w:b/>
                <w:bCs/>
              </w:rPr>
            </w:pPr>
            <w:r w:rsidRPr="00794D0F">
              <w:rPr>
                <w:rFonts w:ascii="Arial" w:hAnsi="Arial" w:cs="Arial"/>
              </w:rPr>
              <w:t xml:space="preserve">general activities accessible to the broader population </w:t>
            </w:r>
            <w:proofErr w:type="gramStart"/>
            <w:r w:rsidRPr="00794D0F">
              <w:rPr>
                <w:rFonts w:ascii="Arial" w:hAnsi="Arial" w:cs="Arial"/>
              </w:rPr>
              <w:t>e.g.</w:t>
            </w:r>
            <w:proofErr w:type="gramEnd"/>
            <w:r w:rsidRPr="00794D0F">
              <w:rPr>
                <w:rFonts w:ascii="Arial" w:hAnsi="Arial" w:cs="Arial"/>
              </w:rPr>
              <w:t xml:space="preserve"> sporting events, movie nights, etc.</w:t>
            </w:r>
          </w:p>
        </w:tc>
      </w:tr>
      <w:tr w:rsidR="002D7B6F" w14:paraId="183E39E6" w14:textId="77777777" w:rsidTr="000D170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6997DED" w14:textId="77777777" w:rsidR="002D7B6F" w:rsidRPr="00794D0F" w:rsidRDefault="002D7B6F" w:rsidP="00BA21AD">
            <w:pPr>
              <w:tabs>
                <w:tab w:val="left" w:pos="2654"/>
              </w:tabs>
              <w:spacing w:before="60" w:after="60" w:line="264" w:lineRule="auto"/>
              <w:rPr>
                <w:rFonts w:cs="Arial"/>
              </w:rPr>
            </w:pPr>
            <w:r w:rsidRPr="00794D0F">
              <w:rPr>
                <w:rFonts w:cs="Arial"/>
              </w:rPr>
              <w:lastRenderedPageBreak/>
              <w:t>IS63</w:t>
            </w:r>
          </w:p>
          <w:p w14:paraId="722711B2" w14:textId="4980AF42" w:rsidR="002D7B6F" w:rsidRPr="00794D0F" w:rsidRDefault="002D7B6F" w:rsidP="00BA21AD">
            <w:pPr>
              <w:tabs>
                <w:tab w:val="left" w:pos="2654"/>
              </w:tabs>
              <w:spacing w:before="60" w:after="60" w:line="264" w:lineRule="auto"/>
              <w:rPr>
                <w:rFonts w:cs="Arial"/>
              </w:rPr>
            </w:pPr>
            <w:r w:rsidRPr="00794D0F">
              <w:rPr>
                <w:rFonts w:cs="Arial"/>
              </w:rPr>
              <w:t>Upload a Case Study</w:t>
            </w:r>
          </w:p>
        </w:tc>
        <w:tc>
          <w:tcPr>
            <w:tcW w:w="1984" w:type="dxa"/>
            <w:tcBorders>
              <w:top w:val="single" w:sz="4" w:space="0" w:color="auto"/>
              <w:left w:val="nil"/>
              <w:bottom w:val="single" w:sz="4" w:space="0" w:color="auto"/>
              <w:right w:val="single" w:sz="4" w:space="0" w:color="auto"/>
            </w:tcBorders>
            <w:shd w:val="clear" w:color="auto" w:fill="auto"/>
            <w:vAlign w:val="center"/>
          </w:tcPr>
          <w:p w14:paraId="032DCD44" w14:textId="1AB3D172" w:rsidR="002D7B6F" w:rsidRPr="00794D0F" w:rsidRDefault="002D7B6F" w:rsidP="00BA21AD">
            <w:pPr>
              <w:tabs>
                <w:tab w:val="left" w:pos="2654"/>
              </w:tabs>
              <w:spacing w:before="60" w:after="60" w:line="264" w:lineRule="auto"/>
              <w:rPr>
                <w:rFonts w:cs="Arial"/>
                <w:b/>
                <w:bCs/>
              </w:rPr>
            </w:pPr>
            <w:r w:rsidRPr="00794D0F">
              <w:rPr>
                <w:rFonts w:cs="Arial"/>
              </w:rPr>
              <w:t>Complete and upload a case study.</w:t>
            </w:r>
          </w:p>
        </w:tc>
        <w:tc>
          <w:tcPr>
            <w:tcW w:w="10915" w:type="dxa"/>
            <w:vAlign w:val="center"/>
          </w:tcPr>
          <w:p w14:paraId="0F284DD2" w14:textId="32D6E617" w:rsidR="002D7B6F" w:rsidRPr="00794D0F" w:rsidRDefault="002D7B6F" w:rsidP="00BA21AD">
            <w:pPr>
              <w:tabs>
                <w:tab w:val="left" w:pos="2654"/>
              </w:tabs>
              <w:spacing w:before="60" w:after="60" w:line="264" w:lineRule="auto"/>
              <w:rPr>
                <w:rFonts w:cs="Arial"/>
                <w:b/>
                <w:bCs/>
              </w:rPr>
            </w:pPr>
            <w:r w:rsidRPr="00794D0F">
              <w:rPr>
                <w:rFonts w:cs="Arial"/>
              </w:rPr>
              <w:t>Complete and upload the case study template provided in Section 1</w:t>
            </w:r>
            <w:r w:rsidR="00794D0F" w:rsidRPr="00794D0F">
              <w:rPr>
                <w:rFonts w:cs="Arial"/>
              </w:rPr>
              <w:t>0</w:t>
            </w:r>
            <w:r w:rsidRPr="00794D0F">
              <w:rPr>
                <w:rFonts w:cs="Arial"/>
              </w:rPr>
              <w:t xml:space="preserve"> of this document.</w:t>
            </w:r>
          </w:p>
        </w:tc>
      </w:tr>
      <w:tr w:rsidR="002D7B6F" w:rsidRPr="00095124" w14:paraId="66A6C839" w14:textId="77777777" w:rsidTr="000D1700">
        <w:tc>
          <w:tcPr>
            <w:tcW w:w="1980" w:type="dxa"/>
            <w:vAlign w:val="center"/>
          </w:tcPr>
          <w:p w14:paraId="2982F574" w14:textId="77777777" w:rsidR="002D7B6F" w:rsidRPr="00794D0F" w:rsidRDefault="002D7B6F" w:rsidP="00BA21AD">
            <w:pPr>
              <w:tabs>
                <w:tab w:val="left" w:pos="2654"/>
              </w:tabs>
              <w:spacing w:before="60" w:after="60" w:line="264" w:lineRule="auto"/>
              <w:rPr>
                <w:rFonts w:cs="Arial"/>
              </w:rPr>
            </w:pPr>
            <w:r w:rsidRPr="00794D0F">
              <w:rPr>
                <w:rFonts w:cs="Arial"/>
              </w:rPr>
              <w:t>IS71</w:t>
            </w:r>
          </w:p>
          <w:p w14:paraId="263FF769" w14:textId="0F9210D5" w:rsidR="002D7B6F" w:rsidRPr="00794D0F" w:rsidRDefault="002D7B6F" w:rsidP="00BA21AD">
            <w:pPr>
              <w:tabs>
                <w:tab w:val="left" w:pos="2654"/>
              </w:tabs>
              <w:spacing w:before="60" w:after="60" w:line="264" w:lineRule="auto"/>
              <w:rPr>
                <w:rFonts w:cs="Arial"/>
              </w:rPr>
            </w:pPr>
            <w:r w:rsidRPr="00794D0F">
              <w:rPr>
                <w:rFonts w:cs="Arial"/>
              </w:rPr>
              <w:t>Upload a Contract Report exported from the Case Management System</w:t>
            </w:r>
          </w:p>
        </w:tc>
        <w:tc>
          <w:tcPr>
            <w:tcW w:w="1984" w:type="dxa"/>
            <w:vAlign w:val="center"/>
          </w:tcPr>
          <w:p w14:paraId="3A2A690B" w14:textId="3A5F9B6E" w:rsidR="002D7B6F" w:rsidRPr="00794D0F" w:rsidRDefault="002D7B6F" w:rsidP="00BA21AD">
            <w:pPr>
              <w:tabs>
                <w:tab w:val="left" w:pos="2654"/>
              </w:tabs>
              <w:spacing w:before="60" w:after="60" w:line="264" w:lineRule="auto"/>
              <w:rPr>
                <w:rFonts w:cs="Arial"/>
              </w:rPr>
            </w:pPr>
            <w:r w:rsidRPr="00794D0F">
              <w:rPr>
                <w:rFonts w:cs="Arial"/>
              </w:rPr>
              <w:t>Download the Contract Report and upload it to P2i.</w:t>
            </w:r>
          </w:p>
        </w:tc>
        <w:tc>
          <w:tcPr>
            <w:tcW w:w="10915" w:type="dxa"/>
            <w:vAlign w:val="center"/>
          </w:tcPr>
          <w:p w14:paraId="6E83C4AB" w14:textId="6AEC2CBC" w:rsidR="002D7B6F" w:rsidRPr="00794D0F" w:rsidRDefault="002D7B6F" w:rsidP="00BA21AD">
            <w:pPr>
              <w:tabs>
                <w:tab w:val="left" w:pos="2654"/>
              </w:tabs>
              <w:spacing w:before="60" w:after="60" w:line="264" w:lineRule="auto"/>
              <w:rPr>
                <w:rFonts w:cs="Arial"/>
              </w:rPr>
            </w:pPr>
            <w:r w:rsidRPr="00794D0F">
              <w:rPr>
                <w:rFonts w:cs="Arial"/>
              </w:rPr>
              <w:t xml:space="preserve">Download </w:t>
            </w:r>
            <w:r w:rsidR="00794D0F" w:rsidRPr="00794D0F">
              <w:rPr>
                <w:rFonts w:cs="Arial"/>
              </w:rPr>
              <w:t xml:space="preserve">the YHARS SRS </w:t>
            </w:r>
            <w:r w:rsidRPr="00794D0F">
              <w:rPr>
                <w:rFonts w:cs="Arial"/>
              </w:rPr>
              <w:t>Performance Report for the reporting period and upload to P2i.</w:t>
            </w:r>
          </w:p>
          <w:p w14:paraId="080C9B19" w14:textId="1933B255" w:rsidR="002D7B6F" w:rsidRPr="00794D0F" w:rsidRDefault="002D7B6F" w:rsidP="00BA21AD">
            <w:pPr>
              <w:tabs>
                <w:tab w:val="left" w:pos="2654"/>
              </w:tabs>
              <w:spacing w:before="60" w:after="60" w:line="264" w:lineRule="auto"/>
              <w:rPr>
                <w:rFonts w:cs="Arial"/>
              </w:rPr>
            </w:pPr>
            <w:r w:rsidRPr="00794D0F">
              <w:rPr>
                <w:rFonts w:cs="Arial"/>
              </w:rPr>
              <w:t xml:space="preserve">Any time spent by workers that is not recorded against Service Users in </w:t>
            </w:r>
            <w:r w:rsidR="00794D0F" w:rsidRPr="00794D0F">
              <w:rPr>
                <w:rFonts w:cs="Arial"/>
              </w:rPr>
              <w:t>the YHARS SRS</w:t>
            </w:r>
            <w:r w:rsidRPr="00794D0F">
              <w:rPr>
                <w:rFonts w:cs="Arial"/>
              </w:rPr>
              <w:t xml:space="preserve"> </w:t>
            </w:r>
            <w:r w:rsidR="00794D0F" w:rsidRPr="00794D0F">
              <w:rPr>
                <w:rFonts w:cs="Arial"/>
              </w:rPr>
              <w:t>is</w:t>
            </w:r>
            <w:r w:rsidRPr="00794D0F">
              <w:rPr>
                <w:rFonts w:cs="Arial"/>
              </w:rPr>
              <w:t xml:space="preserve"> not able to be counted.</w:t>
            </w:r>
          </w:p>
        </w:tc>
      </w:tr>
    </w:tbl>
    <w:p w14:paraId="6B47FD66" w14:textId="77777777" w:rsidR="00E540CA" w:rsidRDefault="00E540CA" w:rsidP="00501854">
      <w:pPr>
        <w:tabs>
          <w:tab w:val="left" w:pos="2654"/>
        </w:tabs>
        <w:spacing w:line="264" w:lineRule="auto"/>
        <w:rPr>
          <w:b/>
          <w:bCs/>
          <w:color w:val="00B0F0"/>
          <w:sz w:val="22"/>
          <w:szCs w:val="22"/>
        </w:rPr>
      </w:pPr>
    </w:p>
    <w:p w14:paraId="76F44BB4" w14:textId="25717E93" w:rsidR="00EB21F5" w:rsidRPr="00EB21F5" w:rsidRDefault="00EB21F5" w:rsidP="00501854">
      <w:pPr>
        <w:tabs>
          <w:tab w:val="left" w:pos="2654"/>
        </w:tabs>
        <w:spacing w:line="264" w:lineRule="auto"/>
        <w:rPr>
          <w:b/>
          <w:bCs/>
          <w:color w:val="00B0F0"/>
          <w:sz w:val="22"/>
          <w:szCs w:val="22"/>
        </w:rPr>
      </w:pPr>
    </w:p>
    <w:p w14:paraId="18AE2174" w14:textId="1541DFEB" w:rsidR="00C60170" w:rsidRPr="003D17AB" w:rsidRDefault="00C60170" w:rsidP="00936527">
      <w:pPr>
        <w:rPr>
          <w:b/>
          <w:bCs/>
        </w:rPr>
      </w:pPr>
    </w:p>
    <w:sectPr w:rsidR="00C60170" w:rsidRPr="003D17AB" w:rsidSect="00CA5B2E">
      <w:headerReference w:type="even" r:id="rId43"/>
      <w:headerReference w:type="default" r:id="rId44"/>
      <w:headerReference w:type="first" r:id="rId45"/>
      <w:footerReference w:type="first" r:id="rId46"/>
      <w:pgSz w:w="16838" w:h="11906" w:orient="landscape"/>
      <w:pgMar w:top="1259" w:right="964" w:bottom="1287" w:left="1077" w:header="709" w:footer="318"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4AA8D" w14:textId="77777777" w:rsidR="0052582D" w:rsidRDefault="0052582D" w:rsidP="00E731B3">
      <w:r>
        <w:separator/>
      </w:r>
    </w:p>
    <w:p w14:paraId="21AFB4D2" w14:textId="77777777" w:rsidR="0052582D" w:rsidRDefault="0052582D"/>
  </w:endnote>
  <w:endnote w:type="continuationSeparator" w:id="0">
    <w:p w14:paraId="04134E78" w14:textId="77777777" w:rsidR="0052582D" w:rsidRDefault="0052582D" w:rsidP="00E731B3">
      <w:r>
        <w:continuationSeparator/>
      </w:r>
    </w:p>
    <w:p w14:paraId="73B5F6AE" w14:textId="77777777" w:rsidR="0052582D" w:rsidRDefault="00525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4E02" w14:textId="77777777" w:rsidR="000235ED" w:rsidRDefault="000235ED" w:rsidP="00E731B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9F864D0" w14:textId="77777777" w:rsidR="000235ED" w:rsidRDefault="000235ED" w:rsidP="00E73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4344" w14:textId="4E74CD52" w:rsidR="00645F41" w:rsidRPr="00CB125F" w:rsidRDefault="002D7EA0" w:rsidP="00645F41">
    <w:pPr>
      <w:pStyle w:val="Footer"/>
      <w:tabs>
        <w:tab w:val="clear" w:pos="4153"/>
        <w:tab w:val="clear" w:pos="8306"/>
        <w:tab w:val="center" w:pos="4827"/>
      </w:tabs>
      <w:jc w:val="center"/>
      <w:rPr>
        <w:sz w:val="18"/>
        <w:szCs w:val="18"/>
      </w:rPr>
    </w:pPr>
    <w:r w:rsidRPr="00CB125F">
      <w:rPr>
        <w:sz w:val="18"/>
        <w:szCs w:val="18"/>
      </w:rPr>
      <w:t xml:space="preserve">Young People Investment Specification </w:t>
    </w:r>
    <w:r w:rsidRPr="00CB125F">
      <w:rPr>
        <w:sz w:val="18"/>
        <w:szCs w:val="18"/>
      </w:rPr>
      <w:br/>
    </w:r>
    <w:r w:rsidR="0045281D">
      <w:rPr>
        <w:sz w:val="18"/>
        <w:szCs w:val="18"/>
      </w:rPr>
      <w:t>December</w:t>
    </w:r>
    <w:r w:rsidR="00BC5F58" w:rsidRPr="00CB125F">
      <w:rPr>
        <w:sz w:val="18"/>
        <w:szCs w:val="18"/>
      </w:rPr>
      <w:t xml:space="preserve"> 2022</w:t>
    </w:r>
    <w:r w:rsidR="004E503E" w:rsidRPr="00CB125F">
      <w:rPr>
        <w:sz w:val="18"/>
        <w:szCs w:val="18"/>
      </w:rPr>
      <w:t>, version 5.0</w:t>
    </w:r>
  </w:p>
  <w:p w14:paraId="15E34862" w14:textId="37E5B706" w:rsidR="000235ED" w:rsidRPr="00CB125F" w:rsidRDefault="000235ED" w:rsidP="00645F41">
    <w:pPr>
      <w:pStyle w:val="Footer"/>
      <w:tabs>
        <w:tab w:val="clear" w:pos="4153"/>
        <w:tab w:val="clear" w:pos="8306"/>
        <w:tab w:val="center" w:pos="4827"/>
      </w:tabs>
      <w:jc w:val="center"/>
    </w:pPr>
    <w:r w:rsidRPr="00CB125F">
      <w:rPr>
        <w:sz w:val="18"/>
        <w:szCs w:val="18"/>
      </w:rPr>
      <w:t xml:space="preserve">Page </w:t>
    </w:r>
    <w:r w:rsidRPr="00CB125F">
      <w:rPr>
        <w:rStyle w:val="PageNumber"/>
        <w:sz w:val="18"/>
        <w:szCs w:val="18"/>
      </w:rPr>
      <w:fldChar w:fldCharType="begin"/>
    </w:r>
    <w:r w:rsidRPr="00CB125F">
      <w:rPr>
        <w:rStyle w:val="PageNumber"/>
        <w:sz w:val="18"/>
        <w:szCs w:val="18"/>
      </w:rPr>
      <w:instrText xml:space="preserve"> PAGE </w:instrText>
    </w:r>
    <w:r w:rsidRPr="00CB125F">
      <w:rPr>
        <w:rStyle w:val="PageNumber"/>
        <w:sz w:val="18"/>
        <w:szCs w:val="18"/>
      </w:rPr>
      <w:fldChar w:fldCharType="separate"/>
    </w:r>
    <w:r w:rsidR="001D416C" w:rsidRPr="00CB125F">
      <w:rPr>
        <w:rStyle w:val="PageNumber"/>
        <w:noProof/>
        <w:sz w:val="18"/>
        <w:szCs w:val="18"/>
      </w:rPr>
      <w:t>5</w:t>
    </w:r>
    <w:r w:rsidRPr="00CB125F">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30E4" w14:textId="77777777" w:rsidR="000235ED" w:rsidRDefault="000235ED" w:rsidP="00E731B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1108A3F" w14:textId="77777777" w:rsidR="000235ED" w:rsidRDefault="000235ED" w:rsidP="00E731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5B6F" w14:textId="77777777" w:rsidR="00645F41" w:rsidRPr="00CB125F" w:rsidRDefault="002D7EA0" w:rsidP="00645F41">
    <w:pPr>
      <w:pStyle w:val="BasicParagraph"/>
      <w:tabs>
        <w:tab w:val="left" w:pos="7286"/>
      </w:tabs>
      <w:jc w:val="center"/>
      <w:rPr>
        <w:color w:val="auto"/>
        <w:sz w:val="18"/>
        <w:szCs w:val="18"/>
      </w:rPr>
    </w:pPr>
    <w:r w:rsidRPr="00CB125F">
      <w:rPr>
        <w:color w:val="auto"/>
        <w:sz w:val="18"/>
        <w:szCs w:val="18"/>
      </w:rPr>
      <w:t xml:space="preserve">Young People Investment Specification </w:t>
    </w:r>
    <w:r w:rsidRPr="00CB125F">
      <w:rPr>
        <w:color w:val="auto"/>
        <w:sz w:val="18"/>
        <w:szCs w:val="18"/>
      </w:rPr>
      <w:br/>
    </w:r>
    <w:r w:rsidR="00645F41" w:rsidRPr="00CB125F">
      <w:rPr>
        <w:color w:val="auto"/>
        <w:sz w:val="18"/>
        <w:szCs w:val="18"/>
      </w:rPr>
      <w:t>January 2023</w:t>
    </w:r>
    <w:r w:rsidR="004E503E" w:rsidRPr="00CB125F">
      <w:rPr>
        <w:color w:val="auto"/>
        <w:sz w:val="18"/>
        <w:szCs w:val="18"/>
      </w:rPr>
      <w:t>, version 5.0</w:t>
    </w:r>
  </w:p>
  <w:p w14:paraId="7EB99EE3" w14:textId="4C8F03C4" w:rsidR="000235ED" w:rsidRPr="00CB125F" w:rsidRDefault="000235ED" w:rsidP="00645F41">
    <w:pPr>
      <w:pStyle w:val="BasicParagraph"/>
      <w:tabs>
        <w:tab w:val="left" w:pos="7286"/>
      </w:tabs>
      <w:jc w:val="center"/>
      <w:rPr>
        <w:color w:val="auto"/>
        <w:sz w:val="18"/>
        <w:szCs w:val="18"/>
      </w:rPr>
    </w:pPr>
    <w:r w:rsidRPr="00CB125F">
      <w:rPr>
        <w:color w:val="auto"/>
        <w:sz w:val="18"/>
        <w:szCs w:val="18"/>
      </w:rPr>
      <w:t xml:space="preserve">Page </w:t>
    </w:r>
    <w:r w:rsidRPr="00CB125F">
      <w:rPr>
        <w:rStyle w:val="PageNumber"/>
        <w:color w:val="auto"/>
        <w:sz w:val="18"/>
        <w:szCs w:val="18"/>
      </w:rPr>
      <w:fldChar w:fldCharType="begin"/>
    </w:r>
    <w:r w:rsidRPr="00CB125F">
      <w:rPr>
        <w:rStyle w:val="PageNumber"/>
        <w:color w:val="auto"/>
        <w:sz w:val="18"/>
        <w:szCs w:val="18"/>
      </w:rPr>
      <w:instrText xml:space="preserve"> PAGE </w:instrText>
    </w:r>
    <w:r w:rsidRPr="00CB125F">
      <w:rPr>
        <w:rStyle w:val="PageNumber"/>
        <w:color w:val="auto"/>
        <w:sz w:val="18"/>
        <w:szCs w:val="18"/>
      </w:rPr>
      <w:fldChar w:fldCharType="separate"/>
    </w:r>
    <w:r w:rsidR="001D416C" w:rsidRPr="00CB125F">
      <w:rPr>
        <w:rStyle w:val="PageNumber"/>
        <w:noProof/>
        <w:color w:val="auto"/>
        <w:sz w:val="18"/>
        <w:szCs w:val="18"/>
      </w:rPr>
      <w:t>24</w:t>
    </w:r>
    <w:r w:rsidRPr="00CB125F">
      <w:rPr>
        <w:rStyle w:val="PageNumber"/>
        <w:color w:val="auto"/>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CF9F" w14:textId="77777777" w:rsidR="00645F41" w:rsidRPr="00CB125F" w:rsidRDefault="002D7EA0" w:rsidP="00645F41">
    <w:pPr>
      <w:pStyle w:val="BasicParagraph"/>
      <w:tabs>
        <w:tab w:val="left" w:pos="7286"/>
      </w:tabs>
      <w:jc w:val="center"/>
      <w:rPr>
        <w:color w:val="auto"/>
        <w:sz w:val="18"/>
        <w:szCs w:val="18"/>
      </w:rPr>
    </w:pPr>
    <w:r w:rsidRPr="00CB125F">
      <w:rPr>
        <w:color w:val="auto"/>
        <w:sz w:val="18"/>
        <w:szCs w:val="18"/>
      </w:rPr>
      <w:t xml:space="preserve">Young People Investment Specification </w:t>
    </w:r>
    <w:r w:rsidRPr="00CB125F">
      <w:rPr>
        <w:color w:val="auto"/>
        <w:sz w:val="18"/>
        <w:szCs w:val="18"/>
      </w:rPr>
      <w:br/>
    </w:r>
    <w:r w:rsidR="00645F41" w:rsidRPr="00CB125F">
      <w:rPr>
        <w:color w:val="auto"/>
        <w:sz w:val="18"/>
        <w:szCs w:val="18"/>
      </w:rPr>
      <w:t>January 2023</w:t>
    </w:r>
    <w:r w:rsidR="004E503E" w:rsidRPr="00CB125F">
      <w:rPr>
        <w:color w:val="auto"/>
        <w:sz w:val="18"/>
        <w:szCs w:val="18"/>
      </w:rPr>
      <w:t>, version 5.0</w:t>
    </w:r>
  </w:p>
  <w:p w14:paraId="6751949B" w14:textId="6B565A4F" w:rsidR="000235ED" w:rsidRPr="00CB125F" w:rsidRDefault="00645F41" w:rsidP="00645F41">
    <w:pPr>
      <w:pStyle w:val="BasicParagraph"/>
      <w:tabs>
        <w:tab w:val="left" w:pos="7286"/>
      </w:tabs>
      <w:jc w:val="center"/>
      <w:rPr>
        <w:color w:val="auto"/>
        <w:sz w:val="18"/>
        <w:szCs w:val="18"/>
      </w:rPr>
    </w:pPr>
    <w:r w:rsidRPr="00CB125F">
      <w:rPr>
        <w:color w:val="auto"/>
        <w:sz w:val="18"/>
        <w:szCs w:val="18"/>
      </w:rPr>
      <w:t>Pa</w:t>
    </w:r>
    <w:r w:rsidR="000235ED" w:rsidRPr="00CB125F">
      <w:rPr>
        <w:color w:val="auto"/>
        <w:sz w:val="18"/>
        <w:szCs w:val="18"/>
      </w:rPr>
      <w:t xml:space="preserve">ge </w:t>
    </w:r>
    <w:r w:rsidR="000235ED" w:rsidRPr="00CB125F">
      <w:rPr>
        <w:rStyle w:val="PageNumber"/>
        <w:color w:val="auto"/>
        <w:sz w:val="18"/>
        <w:szCs w:val="18"/>
      </w:rPr>
      <w:fldChar w:fldCharType="begin"/>
    </w:r>
    <w:r w:rsidR="000235ED" w:rsidRPr="00CB125F">
      <w:rPr>
        <w:rStyle w:val="PageNumber"/>
        <w:color w:val="auto"/>
        <w:sz w:val="18"/>
        <w:szCs w:val="18"/>
      </w:rPr>
      <w:instrText xml:space="preserve"> PAGE </w:instrText>
    </w:r>
    <w:r w:rsidR="000235ED" w:rsidRPr="00CB125F">
      <w:rPr>
        <w:rStyle w:val="PageNumber"/>
        <w:color w:val="auto"/>
        <w:sz w:val="18"/>
        <w:szCs w:val="18"/>
      </w:rPr>
      <w:fldChar w:fldCharType="separate"/>
    </w:r>
    <w:r w:rsidR="001D416C" w:rsidRPr="00CB125F">
      <w:rPr>
        <w:rStyle w:val="PageNumber"/>
        <w:noProof/>
        <w:color w:val="auto"/>
        <w:sz w:val="18"/>
        <w:szCs w:val="18"/>
      </w:rPr>
      <w:t>28</w:t>
    </w:r>
    <w:r w:rsidR="000235ED" w:rsidRPr="00CB125F">
      <w:rPr>
        <w:rStyle w:val="PageNumber"/>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BFF6B" w14:textId="77777777" w:rsidR="0052582D" w:rsidRDefault="0052582D" w:rsidP="00E731B3">
      <w:r>
        <w:separator/>
      </w:r>
    </w:p>
    <w:p w14:paraId="6BC296F1" w14:textId="77777777" w:rsidR="0052582D" w:rsidRDefault="0052582D"/>
  </w:footnote>
  <w:footnote w:type="continuationSeparator" w:id="0">
    <w:p w14:paraId="7256E991" w14:textId="77777777" w:rsidR="0052582D" w:rsidRDefault="0052582D" w:rsidP="00E731B3">
      <w:r>
        <w:continuationSeparator/>
      </w:r>
    </w:p>
    <w:p w14:paraId="0B4B608E" w14:textId="77777777" w:rsidR="0052582D" w:rsidRDefault="005258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A81B" w14:textId="57C29A48" w:rsidR="000235ED" w:rsidRDefault="004763DA" w:rsidP="002D7EA0">
    <w:pPr>
      <w:pStyle w:val="Header"/>
      <w:tabs>
        <w:tab w:val="clear" w:pos="4153"/>
        <w:tab w:val="clear" w:pos="8306"/>
        <w:tab w:val="left" w:pos="7650"/>
      </w:tabs>
    </w:pPr>
    <w:r>
      <w:rPr>
        <w:noProof/>
      </w:rPr>
      <w:drawing>
        <wp:anchor distT="0" distB="0" distL="114300" distR="114300" simplePos="0" relativeHeight="251659264" behindDoc="1" locked="0" layoutInCell="1" allowOverlap="1" wp14:anchorId="5FA5A5F5" wp14:editId="6295832C">
          <wp:simplePos x="0" y="0"/>
          <wp:positionH relativeFrom="page">
            <wp:align>left</wp:align>
          </wp:positionH>
          <wp:positionV relativeFrom="paragraph">
            <wp:posOffset>-451897</wp:posOffset>
          </wp:positionV>
          <wp:extent cx="7553325" cy="106870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7050"/>
                  </a:xfrm>
                  <a:prstGeom prst="rect">
                    <a:avLst/>
                  </a:prstGeom>
                  <a:noFill/>
                </pic:spPr>
              </pic:pic>
            </a:graphicData>
          </a:graphic>
          <wp14:sizeRelH relativeFrom="margin">
            <wp14:pctWidth>0</wp14:pctWidth>
          </wp14:sizeRelH>
          <wp14:sizeRelV relativeFrom="margin">
            <wp14:pctHeight>0</wp14:pctHeight>
          </wp14:sizeRelV>
        </wp:anchor>
      </w:drawing>
    </w:r>
    <w:r w:rsidR="002D7EA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5CE3" w14:textId="0AD2F962" w:rsidR="000235ED" w:rsidRDefault="000235ED" w:rsidP="00E731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017F" w14:textId="5AB5D3E1" w:rsidR="000235ED" w:rsidRDefault="000235ED" w:rsidP="00E731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6685" w14:textId="797B50AD" w:rsidR="000235ED" w:rsidRDefault="000235ED" w:rsidP="00E731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F8BC" w14:textId="4AA6CEB3" w:rsidR="00B35B3B" w:rsidRDefault="00B35B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BF7E" w14:textId="7C5488A2" w:rsidR="00B35B3B" w:rsidRDefault="00B35B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710C" w14:textId="0C8E502F" w:rsidR="00B35B3B" w:rsidRDefault="00B35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21AF"/>
    <w:multiLevelType w:val="hybridMultilevel"/>
    <w:tmpl w:val="1EAE56B4"/>
    <w:lvl w:ilvl="0" w:tplc="0C090001">
      <w:start w:val="1"/>
      <w:numFmt w:val="bullet"/>
      <w:lvlText w:val=""/>
      <w:lvlJc w:val="left"/>
      <w:pPr>
        <w:ind w:left="720" w:hanging="360"/>
      </w:pPr>
      <w:rPr>
        <w:rFonts w:ascii="Symbol" w:hAnsi="Symbol" w:hint="default"/>
      </w:rPr>
    </w:lvl>
    <w:lvl w:ilvl="1" w:tplc="C9B4B68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24433C"/>
    <w:multiLevelType w:val="hybridMultilevel"/>
    <w:tmpl w:val="27763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C7656E"/>
    <w:multiLevelType w:val="hybridMultilevel"/>
    <w:tmpl w:val="A114F966"/>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0D1C86"/>
    <w:multiLevelType w:val="hybridMultilevel"/>
    <w:tmpl w:val="BB3455C6"/>
    <w:lvl w:ilvl="0" w:tplc="0C090001">
      <w:start w:val="1"/>
      <w:numFmt w:val="bullet"/>
      <w:lvlText w:val=""/>
      <w:lvlJc w:val="left"/>
      <w:pPr>
        <w:ind w:left="720" w:hanging="360"/>
      </w:pPr>
      <w:rPr>
        <w:rFonts w:ascii="Symbol" w:hAnsi="Symbol" w:hint="default"/>
      </w:rPr>
    </w:lvl>
    <w:lvl w:ilvl="1" w:tplc="DB04E08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87094C"/>
    <w:multiLevelType w:val="hybridMultilevel"/>
    <w:tmpl w:val="B6B499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6F8494F"/>
    <w:multiLevelType w:val="hybridMultilevel"/>
    <w:tmpl w:val="F45E45DA"/>
    <w:lvl w:ilvl="0" w:tplc="7534AE7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4C5F0E7A"/>
    <w:multiLevelType w:val="hybridMultilevel"/>
    <w:tmpl w:val="179895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20C61E9"/>
    <w:multiLevelType w:val="hybridMultilevel"/>
    <w:tmpl w:val="C7D48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3732CC"/>
    <w:multiLevelType w:val="hybridMultilevel"/>
    <w:tmpl w:val="43D6CD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778586D"/>
    <w:multiLevelType w:val="hybridMultilevel"/>
    <w:tmpl w:val="34F276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D6E0EE9"/>
    <w:multiLevelType w:val="multilevel"/>
    <w:tmpl w:val="8B606E28"/>
    <w:lvl w:ilvl="0">
      <w:start w:val="1"/>
      <w:numFmt w:val="decimal"/>
      <w:lvlText w:val="%1"/>
      <w:lvlJc w:val="left"/>
      <w:pPr>
        <w:ind w:left="432" w:hanging="432"/>
      </w:pPr>
    </w:lvl>
    <w:lvl w:ilvl="1">
      <w:start w:val="1"/>
      <w:numFmt w:val="decimal"/>
      <w:lvlText w:val="%1.%2"/>
      <w:lvlJc w:val="left"/>
      <w:pPr>
        <w:ind w:left="142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5E6D33D9"/>
    <w:multiLevelType w:val="hybridMultilevel"/>
    <w:tmpl w:val="92C41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EB1D65"/>
    <w:multiLevelType w:val="hybridMultilevel"/>
    <w:tmpl w:val="C61E1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CB6214"/>
    <w:multiLevelType w:val="multilevel"/>
    <w:tmpl w:val="1A00C85E"/>
    <w:lvl w:ilvl="0">
      <w:start w:val="4"/>
      <w:numFmt w:val="decimal"/>
      <w:pStyle w:val="Heading2"/>
      <w:lvlText w:val="%1.1"/>
      <w:lvlJc w:val="left"/>
      <w:pPr>
        <w:ind w:left="567" w:hanging="567"/>
      </w:pPr>
      <w:rPr>
        <w:rFonts w:hint="default"/>
        <w:b/>
        <w:i w:val="0"/>
        <w:sz w:val="32"/>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6757572"/>
    <w:multiLevelType w:val="hybridMultilevel"/>
    <w:tmpl w:val="BFA00A6E"/>
    <w:lvl w:ilvl="0" w:tplc="773CC222">
      <w:start w:val="14"/>
      <w:numFmt w:val="decimal"/>
      <w:pStyle w:val="Heading1"/>
      <w:lvlText w:val="%1"/>
      <w:lvlJc w:val="left"/>
      <w:pPr>
        <w:ind w:left="45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67B5191"/>
    <w:multiLevelType w:val="hybridMultilevel"/>
    <w:tmpl w:val="296EC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165127"/>
    <w:multiLevelType w:val="hybridMultilevel"/>
    <w:tmpl w:val="1A3E1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9A4686"/>
    <w:multiLevelType w:val="hybridMultilevel"/>
    <w:tmpl w:val="A2F2C2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BA12183"/>
    <w:multiLevelType w:val="hybridMultilevel"/>
    <w:tmpl w:val="5ACC99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3"/>
  </w:num>
  <w:num w:numId="3">
    <w:abstractNumId w:val="12"/>
  </w:num>
  <w:num w:numId="4">
    <w:abstractNumId w:val="7"/>
  </w:num>
  <w:num w:numId="5">
    <w:abstractNumId w:val="11"/>
  </w:num>
  <w:num w:numId="6">
    <w:abstractNumId w:val="1"/>
  </w:num>
  <w:num w:numId="7">
    <w:abstractNumId w:val="0"/>
  </w:num>
  <w:num w:numId="8">
    <w:abstractNumId w:val="3"/>
  </w:num>
  <w:num w:numId="9">
    <w:abstractNumId w:val="14"/>
  </w:num>
  <w:num w:numId="10">
    <w:abstractNumId w:val="1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9"/>
  </w:num>
  <w:num w:numId="14">
    <w:abstractNumId w:val="17"/>
  </w:num>
  <w:num w:numId="15">
    <w:abstractNumId w:val="8"/>
  </w:num>
  <w:num w:numId="16">
    <w:abstractNumId w:val="6"/>
  </w:num>
  <w:num w:numId="17">
    <w:abstractNumId w:val="16"/>
  </w:num>
  <w:num w:numId="18">
    <w:abstractNumId w:val="2"/>
  </w:num>
  <w:num w:numId="19">
    <w:abstractNumId w:val="4"/>
  </w:num>
  <w:num w:numId="2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4CE"/>
    <w:rsid w:val="00000764"/>
    <w:rsid w:val="000020B0"/>
    <w:rsid w:val="000021C4"/>
    <w:rsid w:val="0000258E"/>
    <w:rsid w:val="00002904"/>
    <w:rsid w:val="0000505D"/>
    <w:rsid w:val="00005B54"/>
    <w:rsid w:val="00005B69"/>
    <w:rsid w:val="00005F2E"/>
    <w:rsid w:val="0000672A"/>
    <w:rsid w:val="00006DEA"/>
    <w:rsid w:val="00006FF1"/>
    <w:rsid w:val="00010B62"/>
    <w:rsid w:val="00010B78"/>
    <w:rsid w:val="0001147A"/>
    <w:rsid w:val="000119BF"/>
    <w:rsid w:val="000119C1"/>
    <w:rsid w:val="00012064"/>
    <w:rsid w:val="00013EDB"/>
    <w:rsid w:val="000141EC"/>
    <w:rsid w:val="00014D8B"/>
    <w:rsid w:val="0001502E"/>
    <w:rsid w:val="000156A3"/>
    <w:rsid w:val="000156D7"/>
    <w:rsid w:val="00016424"/>
    <w:rsid w:val="00016550"/>
    <w:rsid w:val="0001770D"/>
    <w:rsid w:val="00017A59"/>
    <w:rsid w:val="00017EB6"/>
    <w:rsid w:val="00020AE5"/>
    <w:rsid w:val="00021F1C"/>
    <w:rsid w:val="0002320A"/>
    <w:rsid w:val="000235ED"/>
    <w:rsid w:val="00023D50"/>
    <w:rsid w:val="000241E8"/>
    <w:rsid w:val="0002477A"/>
    <w:rsid w:val="000253BB"/>
    <w:rsid w:val="000254AC"/>
    <w:rsid w:val="00025A5B"/>
    <w:rsid w:val="00026FC5"/>
    <w:rsid w:val="0002752A"/>
    <w:rsid w:val="00031262"/>
    <w:rsid w:val="000318F2"/>
    <w:rsid w:val="0003190E"/>
    <w:rsid w:val="00031A9D"/>
    <w:rsid w:val="00031AB2"/>
    <w:rsid w:val="00031E75"/>
    <w:rsid w:val="000321D4"/>
    <w:rsid w:val="0003274A"/>
    <w:rsid w:val="00032773"/>
    <w:rsid w:val="00033768"/>
    <w:rsid w:val="00035510"/>
    <w:rsid w:val="00035F28"/>
    <w:rsid w:val="0003646A"/>
    <w:rsid w:val="00037E44"/>
    <w:rsid w:val="00040535"/>
    <w:rsid w:val="00041261"/>
    <w:rsid w:val="00041D7B"/>
    <w:rsid w:val="000442EB"/>
    <w:rsid w:val="00044F78"/>
    <w:rsid w:val="0004611A"/>
    <w:rsid w:val="000464D1"/>
    <w:rsid w:val="00047804"/>
    <w:rsid w:val="00051348"/>
    <w:rsid w:val="000528FC"/>
    <w:rsid w:val="00053E8F"/>
    <w:rsid w:val="00053F80"/>
    <w:rsid w:val="00054F95"/>
    <w:rsid w:val="00055EA0"/>
    <w:rsid w:val="00056780"/>
    <w:rsid w:val="000570F3"/>
    <w:rsid w:val="0006025A"/>
    <w:rsid w:val="00060806"/>
    <w:rsid w:val="00060B5A"/>
    <w:rsid w:val="000610EA"/>
    <w:rsid w:val="00061396"/>
    <w:rsid w:val="00061AB0"/>
    <w:rsid w:val="00061B08"/>
    <w:rsid w:val="00062951"/>
    <w:rsid w:val="00062A60"/>
    <w:rsid w:val="00063EB9"/>
    <w:rsid w:val="00063F4D"/>
    <w:rsid w:val="000654DB"/>
    <w:rsid w:val="00065521"/>
    <w:rsid w:val="00065B95"/>
    <w:rsid w:val="00066C14"/>
    <w:rsid w:val="00067375"/>
    <w:rsid w:val="00070336"/>
    <w:rsid w:val="00070668"/>
    <w:rsid w:val="000708C2"/>
    <w:rsid w:val="00071725"/>
    <w:rsid w:val="00071814"/>
    <w:rsid w:val="00073031"/>
    <w:rsid w:val="00073F71"/>
    <w:rsid w:val="0007546D"/>
    <w:rsid w:val="0007559F"/>
    <w:rsid w:val="0007572D"/>
    <w:rsid w:val="0007574E"/>
    <w:rsid w:val="00075770"/>
    <w:rsid w:val="000758FE"/>
    <w:rsid w:val="00075CBD"/>
    <w:rsid w:val="00077346"/>
    <w:rsid w:val="00077D38"/>
    <w:rsid w:val="0008269D"/>
    <w:rsid w:val="00082764"/>
    <w:rsid w:val="000829FC"/>
    <w:rsid w:val="00083087"/>
    <w:rsid w:val="0008615F"/>
    <w:rsid w:val="00086B66"/>
    <w:rsid w:val="000879FF"/>
    <w:rsid w:val="00087D53"/>
    <w:rsid w:val="00090980"/>
    <w:rsid w:val="000909DD"/>
    <w:rsid w:val="000915B0"/>
    <w:rsid w:val="00091807"/>
    <w:rsid w:val="000925D9"/>
    <w:rsid w:val="00092B8A"/>
    <w:rsid w:val="00092DA0"/>
    <w:rsid w:val="00093226"/>
    <w:rsid w:val="000940F2"/>
    <w:rsid w:val="00094F1D"/>
    <w:rsid w:val="00095124"/>
    <w:rsid w:val="00095398"/>
    <w:rsid w:val="000957D1"/>
    <w:rsid w:val="000958D1"/>
    <w:rsid w:val="0009617A"/>
    <w:rsid w:val="000A0807"/>
    <w:rsid w:val="000A1A2A"/>
    <w:rsid w:val="000A38B5"/>
    <w:rsid w:val="000A3E02"/>
    <w:rsid w:val="000A4A30"/>
    <w:rsid w:val="000A4F39"/>
    <w:rsid w:val="000A5675"/>
    <w:rsid w:val="000A5A12"/>
    <w:rsid w:val="000A61BD"/>
    <w:rsid w:val="000A627A"/>
    <w:rsid w:val="000A6BEA"/>
    <w:rsid w:val="000A6DA1"/>
    <w:rsid w:val="000A7406"/>
    <w:rsid w:val="000A7FE5"/>
    <w:rsid w:val="000B0B9F"/>
    <w:rsid w:val="000B1249"/>
    <w:rsid w:val="000B1EAE"/>
    <w:rsid w:val="000B30A3"/>
    <w:rsid w:val="000B3390"/>
    <w:rsid w:val="000B4650"/>
    <w:rsid w:val="000B61AC"/>
    <w:rsid w:val="000B641C"/>
    <w:rsid w:val="000B66A3"/>
    <w:rsid w:val="000B6C5B"/>
    <w:rsid w:val="000B6FDF"/>
    <w:rsid w:val="000B6FE6"/>
    <w:rsid w:val="000B7A16"/>
    <w:rsid w:val="000B7B40"/>
    <w:rsid w:val="000C0F1C"/>
    <w:rsid w:val="000C0FF3"/>
    <w:rsid w:val="000C130A"/>
    <w:rsid w:val="000C17BA"/>
    <w:rsid w:val="000C21A5"/>
    <w:rsid w:val="000C3528"/>
    <w:rsid w:val="000C37C3"/>
    <w:rsid w:val="000C3D89"/>
    <w:rsid w:val="000C4655"/>
    <w:rsid w:val="000C47E0"/>
    <w:rsid w:val="000C511F"/>
    <w:rsid w:val="000C5EF9"/>
    <w:rsid w:val="000C65FD"/>
    <w:rsid w:val="000C6CC7"/>
    <w:rsid w:val="000D043D"/>
    <w:rsid w:val="000D04E0"/>
    <w:rsid w:val="000D0827"/>
    <w:rsid w:val="000D0974"/>
    <w:rsid w:val="000D1700"/>
    <w:rsid w:val="000D19B1"/>
    <w:rsid w:val="000D24F2"/>
    <w:rsid w:val="000D3398"/>
    <w:rsid w:val="000D511A"/>
    <w:rsid w:val="000D5AD3"/>
    <w:rsid w:val="000D5B90"/>
    <w:rsid w:val="000D71EF"/>
    <w:rsid w:val="000E1CA3"/>
    <w:rsid w:val="000E3449"/>
    <w:rsid w:val="000E4020"/>
    <w:rsid w:val="000E498B"/>
    <w:rsid w:val="000E4B4F"/>
    <w:rsid w:val="000E5BAA"/>
    <w:rsid w:val="000E69DA"/>
    <w:rsid w:val="000E6FD8"/>
    <w:rsid w:val="000E72FB"/>
    <w:rsid w:val="000E75D7"/>
    <w:rsid w:val="000F076F"/>
    <w:rsid w:val="000F0AFE"/>
    <w:rsid w:val="000F0D16"/>
    <w:rsid w:val="000F11AC"/>
    <w:rsid w:val="000F1C11"/>
    <w:rsid w:val="000F1C54"/>
    <w:rsid w:val="000F2441"/>
    <w:rsid w:val="000F2B0E"/>
    <w:rsid w:val="000F3B59"/>
    <w:rsid w:val="000F4320"/>
    <w:rsid w:val="000F49A2"/>
    <w:rsid w:val="000F5701"/>
    <w:rsid w:val="000F5DE0"/>
    <w:rsid w:val="000F6625"/>
    <w:rsid w:val="000F6AFE"/>
    <w:rsid w:val="000F73C2"/>
    <w:rsid w:val="00100220"/>
    <w:rsid w:val="00102380"/>
    <w:rsid w:val="001023B6"/>
    <w:rsid w:val="00103C40"/>
    <w:rsid w:val="00103E62"/>
    <w:rsid w:val="00104235"/>
    <w:rsid w:val="0010492D"/>
    <w:rsid w:val="00104FE0"/>
    <w:rsid w:val="0010628E"/>
    <w:rsid w:val="00106A08"/>
    <w:rsid w:val="00106CAC"/>
    <w:rsid w:val="0011106E"/>
    <w:rsid w:val="0011131C"/>
    <w:rsid w:val="00112FFB"/>
    <w:rsid w:val="00114278"/>
    <w:rsid w:val="001149B5"/>
    <w:rsid w:val="0011517B"/>
    <w:rsid w:val="00115766"/>
    <w:rsid w:val="00115E04"/>
    <w:rsid w:val="00117319"/>
    <w:rsid w:val="001173AF"/>
    <w:rsid w:val="0012336C"/>
    <w:rsid w:val="00123E7D"/>
    <w:rsid w:val="00125475"/>
    <w:rsid w:val="001258D6"/>
    <w:rsid w:val="00125A9E"/>
    <w:rsid w:val="00125CAE"/>
    <w:rsid w:val="00126250"/>
    <w:rsid w:val="001269A5"/>
    <w:rsid w:val="00127308"/>
    <w:rsid w:val="00130032"/>
    <w:rsid w:val="00130C1C"/>
    <w:rsid w:val="00132B08"/>
    <w:rsid w:val="00132B3F"/>
    <w:rsid w:val="00132FF1"/>
    <w:rsid w:val="00133095"/>
    <w:rsid w:val="0013414A"/>
    <w:rsid w:val="0013444A"/>
    <w:rsid w:val="00135734"/>
    <w:rsid w:val="00136206"/>
    <w:rsid w:val="0013646B"/>
    <w:rsid w:val="0013691F"/>
    <w:rsid w:val="001369EF"/>
    <w:rsid w:val="00137A26"/>
    <w:rsid w:val="001400BE"/>
    <w:rsid w:val="00142536"/>
    <w:rsid w:val="0014308D"/>
    <w:rsid w:val="001432B5"/>
    <w:rsid w:val="00143FD7"/>
    <w:rsid w:val="00144301"/>
    <w:rsid w:val="00144CEE"/>
    <w:rsid w:val="0014550D"/>
    <w:rsid w:val="00145A1D"/>
    <w:rsid w:val="00145CE9"/>
    <w:rsid w:val="00146364"/>
    <w:rsid w:val="00147312"/>
    <w:rsid w:val="001505BB"/>
    <w:rsid w:val="00150B3B"/>
    <w:rsid w:val="001520A7"/>
    <w:rsid w:val="00152969"/>
    <w:rsid w:val="001529A3"/>
    <w:rsid w:val="00153398"/>
    <w:rsid w:val="001539EC"/>
    <w:rsid w:val="0015407F"/>
    <w:rsid w:val="00154CAD"/>
    <w:rsid w:val="00154DD6"/>
    <w:rsid w:val="00155A54"/>
    <w:rsid w:val="00156502"/>
    <w:rsid w:val="00156F03"/>
    <w:rsid w:val="00157471"/>
    <w:rsid w:val="001603B1"/>
    <w:rsid w:val="001605F2"/>
    <w:rsid w:val="001608EA"/>
    <w:rsid w:val="00160B49"/>
    <w:rsid w:val="001620D5"/>
    <w:rsid w:val="001622E8"/>
    <w:rsid w:val="00162558"/>
    <w:rsid w:val="001625AA"/>
    <w:rsid w:val="00162AA5"/>
    <w:rsid w:val="00162D6D"/>
    <w:rsid w:val="0016302C"/>
    <w:rsid w:val="00163B6E"/>
    <w:rsid w:val="00163D90"/>
    <w:rsid w:val="001643CE"/>
    <w:rsid w:val="0016452F"/>
    <w:rsid w:val="00164542"/>
    <w:rsid w:val="00164D77"/>
    <w:rsid w:val="001655E3"/>
    <w:rsid w:val="00165715"/>
    <w:rsid w:val="0016696A"/>
    <w:rsid w:val="00166E5E"/>
    <w:rsid w:val="001672C1"/>
    <w:rsid w:val="001673CE"/>
    <w:rsid w:val="001673FC"/>
    <w:rsid w:val="00167CEE"/>
    <w:rsid w:val="00167F57"/>
    <w:rsid w:val="00170055"/>
    <w:rsid w:val="00170548"/>
    <w:rsid w:val="00170580"/>
    <w:rsid w:val="00170D0A"/>
    <w:rsid w:val="00171413"/>
    <w:rsid w:val="00172E7D"/>
    <w:rsid w:val="001731B9"/>
    <w:rsid w:val="001735DD"/>
    <w:rsid w:val="00173984"/>
    <w:rsid w:val="00175202"/>
    <w:rsid w:val="00175304"/>
    <w:rsid w:val="00176532"/>
    <w:rsid w:val="00177212"/>
    <w:rsid w:val="0018010B"/>
    <w:rsid w:val="0018163E"/>
    <w:rsid w:val="0018183B"/>
    <w:rsid w:val="00181B72"/>
    <w:rsid w:val="00182176"/>
    <w:rsid w:val="00182717"/>
    <w:rsid w:val="001838C5"/>
    <w:rsid w:val="001841EC"/>
    <w:rsid w:val="00184320"/>
    <w:rsid w:val="0018452C"/>
    <w:rsid w:val="0018468F"/>
    <w:rsid w:val="00184986"/>
    <w:rsid w:val="00184D78"/>
    <w:rsid w:val="00190BDD"/>
    <w:rsid w:val="00191078"/>
    <w:rsid w:val="001912D3"/>
    <w:rsid w:val="001916A9"/>
    <w:rsid w:val="001920CF"/>
    <w:rsid w:val="00192503"/>
    <w:rsid w:val="00192C25"/>
    <w:rsid w:val="001934E3"/>
    <w:rsid w:val="0019450E"/>
    <w:rsid w:val="00195ACD"/>
    <w:rsid w:val="001A1697"/>
    <w:rsid w:val="001A18B0"/>
    <w:rsid w:val="001A2237"/>
    <w:rsid w:val="001A25EE"/>
    <w:rsid w:val="001A2822"/>
    <w:rsid w:val="001A29E7"/>
    <w:rsid w:val="001A37C0"/>
    <w:rsid w:val="001A521D"/>
    <w:rsid w:val="001A5C9B"/>
    <w:rsid w:val="001A616B"/>
    <w:rsid w:val="001A7262"/>
    <w:rsid w:val="001B21CB"/>
    <w:rsid w:val="001B34C9"/>
    <w:rsid w:val="001B36FF"/>
    <w:rsid w:val="001B38C4"/>
    <w:rsid w:val="001B3A9C"/>
    <w:rsid w:val="001B42DD"/>
    <w:rsid w:val="001B4399"/>
    <w:rsid w:val="001B4A59"/>
    <w:rsid w:val="001B64EE"/>
    <w:rsid w:val="001B6F90"/>
    <w:rsid w:val="001B71B3"/>
    <w:rsid w:val="001B7F19"/>
    <w:rsid w:val="001B7FD2"/>
    <w:rsid w:val="001C0B09"/>
    <w:rsid w:val="001C0B79"/>
    <w:rsid w:val="001C213E"/>
    <w:rsid w:val="001C25B7"/>
    <w:rsid w:val="001C25E7"/>
    <w:rsid w:val="001C47C9"/>
    <w:rsid w:val="001C5775"/>
    <w:rsid w:val="001C7029"/>
    <w:rsid w:val="001C7882"/>
    <w:rsid w:val="001C7A7C"/>
    <w:rsid w:val="001D15F1"/>
    <w:rsid w:val="001D1D3D"/>
    <w:rsid w:val="001D234D"/>
    <w:rsid w:val="001D24E7"/>
    <w:rsid w:val="001D3131"/>
    <w:rsid w:val="001D416C"/>
    <w:rsid w:val="001D5559"/>
    <w:rsid w:val="001D5FC6"/>
    <w:rsid w:val="001D6F0D"/>
    <w:rsid w:val="001D7B03"/>
    <w:rsid w:val="001E02B6"/>
    <w:rsid w:val="001E043D"/>
    <w:rsid w:val="001E1EA5"/>
    <w:rsid w:val="001E2F30"/>
    <w:rsid w:val="001E3026"/>
    <w:rsid w:val="001E3BC3"/>
    <w:rsid w:val="001E4ED6"/>
    <w:rsid w:val="001E5C4C"/>
    <w:rsid w:val="001E62AC"/>
    <w:rsid w:val="001E67EB"/>
    <w:rsid w:val="001E7B7A"/>
    <w:rsid w:val="001F071B"/>
    <w:rsid w:val="001F07EE"/>
    <w:rsid w:val="001F07F7"/>
    <w:rsid w:val="001F0888"/>
    <w:rsid w:val="001F0F8B"/>
    <w:rsid w:val="001F1A76"/>
    <w:rsid w:val="001F1B8B"/>
    <w:rsid w:val="001F1E0A"/>
    <w:rsid w:val="001F1ED4"/>
    <w:rsid w:val="001F2430"/>
    <w:rsid w:val="001F313E"/>
    <w:rsid w:val="001F336A"/>
    <w:rsid w:val="001F3672"/>
    <w:rsid w:val="001F3E21"/>
    <w:rsid w:val="001F44A9"/>
    <w:rsid w:val="001F50F9"/>
    <w:rsid w:val="001F63DF"/>
    <w:rsid w:val="001F6D14"/>
    <w:rsid w:val="001F7063"/>
    <w:rsid w:val="001F7A51"/>
    <w:rsid w:val="00202FF5"/>
    <w:rsid w:val="0020536F"/>
    <w:rsid w:val="002056E6"/>
    <w:rsid w:val="00205967"/>
    <w:rsid w:val="00205BBC"/>
    <w:rsid w:val="00205DC9"/>
    <w:rsid w:val="0020637E"/>
    <w:rsid w:val="0020723F"/>
    <w:rsid w:val="002126FE"/>
    <w:rsid w:val="002140B9"/>
    <w:rsid w:val="002142E7"/>
    <w:rsid w:val="0021682A"/>
    <w:rsid w:val="002203A6"/>
    <w:rsid w:val="00220A4E"/>
    <w:rsid w:val="002220D0"/>
    <w:rsid w:val="00223DB2"/>
    <w:rsid w:val="002244A0"/>
    <w:rsid w:val="002244DD"/>
    <w:rsid w:val="00226598"/>
    <w:rsid w:val="00226951"/>
    <w:rsid w:val="00226BFA"/>
    <w:rsid w:val="00226D91"/>
    <w:rsid w:val="00230F7C"/>
    <w:rsid w:val="002313BE"/>
    <w:rsid w:val="002314C8"/>
    <w:rsid w:val="00231BF5"/>
    <w:rsid w:val="00232FAE"/>
    <w:rsid w:val="00233842"/>
    <w:rsid w:val="00234367"/>
    <w:rsid w:val="00234730"/>
    <w:rsid w:val="00234764"/>
    <w:rsid w:val="002351F6"/>
    <w:rsid w:val="002358C4"/>
    <w:rsid w:val="00236558"/>
    <w:rsid w:val="002368D3"/>
    <w:rsid w:val="0023694E"/>
    <w:rsid w:val="00240804"/>
    <w:rsid w:val="00240EC4"/>
    <w:rsid w:val="00241526"/>
    <w:rsid w:val="00241AE3"/>
    <w:rsid w:val="0024373A"/>
    <w:rsid w:val="00243CAC"/>
    <w:rsid w:val="0024416E"/>
    <w:rsid w:val="00245995"/>
    <w:rsid w:val="00246745"/>
    <w:rsid w:val="0024689F"/>
    <w:rsid w:val="0025261A"/>
    <w:rsid w:val="00252942"/>
    <w:rsid w:val="0025352A"/>
    <w:rsid w:val="00253854"/>
    <w:rsid w:val="00254821"/>
    <w:rsid w:val="002563CA"/>
    <w:rsid w:val="00257943"/>
    <w:rsid w:val="002579D4"/>
    <w:rsid w:val="00260A6D"/>
    <w:rsid w:val="00260CE9"/>
    <w:rsid w:val="00260D41"/>
    <w:rsid w:val="0026139F"/>
    <w:rsid w:val="00261630"/>
    <w:rsid w:val="00261A32"/>
    <w:rsid w:val="00262A44"/>
    <w:rsid w:val="00262FB9"/>
    <w:rsid w:val="0026369C"/>
    <w:rsid w:val="00264C4A"/>
    <w:rsid w:val="002651A6"/>
    <w:rsid w:val="002656D2"/>
    <w:rsid w:val="00265ED4"/>
    <w:rsid w:val="00266CE9"/>
    <w:rsid w:val="00266F37"/>
    <w:rsid w:val="002672F1"/>
    <w:rsid w:val="00267C6C"/>
    <w:rsid w:val="00267E34"/>
    <w:rsid w:val="00270865"/>
    <w:rsid w:val="00270A74"/>
    <w:rsid w:val="00270EFB"/>
    <w:rsid w:val="00271E3F"/>
    <w:rsid w:val="0027253D"/>
    <w:rsid w:val="002726F9"/>
    <w:rsid w:val="00272827"/>
    <w:rsid w:val="00275AD5"/>
    <w:rsid w:val="00275E42"/>
    <w:rsid w:val="0027625C"/>
    <w:rsid w:val="002765C2"/>
    <w:rsid w:val="0027697C"/>
    <w:rsid w:val="00276B2B"/>
    <w:rsid w:val="00277AF1"/>
    <w:rsid w:val="00277B38"/>
    <w:rsid w:val="00280DF6"/>
    <w:rsid w:val="00280F12"/>
    <w:rsid w:val="002811EA"/>
    <w:rsid w:val="002813D9"/>
    <w:rsid w:val="002816CF"/>
    <w:rsid w:val="00281A08"/>
    <w:rsid w:val="00281F84"/>
    <w:rsid w:val="00282463"/>
    <w:rsid w:val="00283014"/>
    <w:rsid w:val="00283026"/>
    <w:rsid w:val="00283208"/>
    <w:rsid w:val="00285023"/>
    <w:rsid w:val="00286E98"/>
    <w:rsid w:val="00287C1C"/>
    <w:rsid w:val="00287FAF"/>
    <w:rsid w:val="00290D88"/>
    <w:rsid w:val="00290EE2"/>
    <w:rsid w:val="0029248B"/>
    <w:rsid w:val="00293B16"/>
    <w:rsid w:val="00294153"/>
    <w:rsid w:val="002941D9"/>
    <w:rsid w:val="00294832"/>
    <w:rsid w:val="0029485F"/>
    <w:rsid w:val="00295094"/>
    <w:rsid w:val="00295197"/>
    <w:rsid w:val="00295A0C"/>
    <w:rsid w:val="0029647F"/>
    <w:rsid w:val="002965C0"/>
    <w:rsid w:val="00296B22"/>
    <w:rsid w:val="00296C2A"/>
    <w:rsid w:val="00297184"/>
    <w:rsid w:val="00297943"/>
    <w:rsid w:val="00297EBF"/>
    <w:rsid w:val="002A1021"/>
    <w:rsid w:val="002A25BB"/>
    <w:rsid w:val="002A31FE"/>
    <w:rsid w:val="002A3AFE"/>
    <w:rsid w:val="002A4350"/>
    <w:rsid w:val="002A4D7C"/>
    <w:rsid w:val="002A4E67"/>
    <w:rsid w:val="002A5249"/>
    <w:rsid w:val="002A5EAA"/>
    <w:rsid w:val="002A693C"/>
    <w:rsid w:val="002A6945"/>
    <w:rsid w:val="002A6B83"/>
    <w:rsid w:val="002A75DD"/>
    <w:rsid w:val="002B0BF4"/>
    <w:rsid w:val="002B3A02"/>
    <w:rsid w:val="002B409D"/>
    <w:rsid w:val="002B49FD"/>
    <w:rsid w:val="002B4FE5"/>
    <w:rsid w:val="002B5766"/>
    <w:rsid w:val="002B632D"/>
    <w:rsid w:val="002B68EB"/>
    <w:rsid w:val="002B79FA"/>
    <w:rsid w:val="002C00E2"/>
    <w:rsid w:val="002C031A"/>
    <w:rsid w:val="002C2056"/>
    <w:rsid w:val="002C3437"/>
    <w:rsid w:val="002C36FB"/>
    <w:rsid w:val="002C4A3F"/>
    <w:rsid w:val="002C5368"/>
    <w:rsid w:val="002C5B5D"/>
    <w:rsid w:val="002C5EE1"/>
    <w:rsid w:val="002C6264"/>
    <w:rsid w:val="002C6EEF"/>
    <w:rsid w:val="002D00A4"/>
    <w:rsid w:val="002D0721"/>
    <w:rsid w:val="002D1548"/>
    <w:rsid w:val="002D2330"/>
    <w:rsid w:val="002D362B"/>
    <w:rsid w:val="002D4343"/>
    <w:rsid w:val="002D5AE6"/>
    <w:rsid w:val="002D6700"/>
    <w:rsid w:val="002D6A05"/>
    <w:rsid w:val="002D6F94"/>
    <w:rsid w:val="002D723E"/>
    <w:rsid w:val="002D7384"/>
    <w:rsid w:val="002D7630"/>
    <w:rsid w:val="002D7B6F"/>
    <w:rsid w:val="002D7E4C"/>
    <w:rsid w:val="002D7EA0"/>
    <w:rsid w:val="002E0EF0"/>
    <w:rsid w:val="002E124C"/>
    <w:rsid w:val="002E189C"/>
    <w:rsid w:val="002E3144"/>
    <w:rsid w:val="002E369C"/>
    <w:rsid w:val="002E37C5"/>
    <w:rsid w:val="002E3AB9"/>
    <w:rsid w:val="002E5277"/>
    <w:rsid w:val="002E5FBF"/>
    <w:rsid w:val="002E67FA"/>
    <w:rsid w:val="002E772A"/>
    <w:rsid w:val="002F0390"/>
    <w:rsid w:val="002F03C8"/>
    <w:rsid w:val="002F05F6"/>
    <w:rsid w:val="002F06F7"/>
    <w:rsid w:val="002F0A8B"/>
    <w:rsid w:val="002F2BA7"/>
    <w:rsid w:val="002F3978"/>
    <w:rsid w:val="002F3F99"/>
    <w:rsid w:val="002F5736"/>
    <w:rsid w:val="002F5B62"/>
    <w:rsid w:val="002F7449"/>
    <w:rsid w:val="002F7B19"/>
    <w:rsid w:val="00300916"/>
    <w:rsid w:val="00300DDC"/>
    <w:rsid w:val="00302A75"/>
    <w:rsid w:val="003035B2"/>
    <w:rsid w:val="003039A9"/>
    <w:rsid w:val="00303DDD"/>
    <w:rsid w:val="0031009D"/>
    <w:rsid w:val="00310794"/>
    <w:rsid w:val="00310F28"/>
    <w:rsid w:val="0031120A"/>
    <w:rsid w:val="00311541"/>
    <w:rsid w:val="00311BAB"/>
    <w:rsid w:val="00311CA7"/>
    <w:rsid w:val="00311DA3"/>
    <w:rsid w:val="00311DFB"/>
    <w:rsid w:val="0031271C"/>
    <w:rsid w:val="00313427"/>
    <w:rsid w:val="00313BE3"/>
    <w:rsid w:val="00314963"/>
    <w:rsid w:val="00314B32"/>
    <w:rsid w:val="00314D75"/>
    <w:rsid w:val="00316199"/>
    <w:rsid w:val="0031675C"/>
    <w:rsid w:val="00317A94"/>
    <w:rsid w:val="00317B8E"/>
    <w:rsid w:val="00321EFE"/>
    <w:rsid w:val="00322263"/>
    <w:rsid w:val="00322C3D"/>
    <w:rsid w:val="00323C8B"/>
    <w:rsid w:val="0032527F"/>
    <w:rsid w:val="0032578E"/>
    <w:rsid w:val="00325B61"/>
    <w:rsid w:val="0032609C"/>
    <w:rsid w:val="00326E26"/>
    <w:rsid w:val="003273D0"/>
    <w:rsid w:val="003274B6"/>
    <w:rsid w:val="0033133F"/>
    <w:rsid w:val="00331C71"/>
    <w:rsid w:val="00333F9C"/>
    <w:rsid w:val="0033480A"/>
    <w:rsid w:val="00335982"/>
    <w:rsid w:val="00335E8D"/>
    <w:rsid w:val="0033675A"/>
    <w:rsid w:val="00340CF5"/>
    <w:rsid w:val="003417D2"/>
    <w:rsid w:val="003423A9"/>
    <w:rsid w:val="00342536"/>
    <w:rsid w:val="003434D6"/>
    <w:rsid w:val="00343A95"/>
    <w:rsid w:val="0034438C"/>
    <w:rsid w:val="00344A78"/>
    <w:rsid w:val="00344DB7"/>
    <w:rsid w:val="00346B55"/>
    <w:rsid w:val="00346C84"/>
    <w:rsid w:val="00351711"/>
    <w:rsid w:val="003526F8"/>
    <w:rsid w:val="00354602"/>
    <w:rsid w:val="00354793"/>
    <w:rsid w:val="00354795"/>
    <w:rsid w:val="00355BA9"/>
    <w:rsid w:val="00355ECD"/>
    <w:rsid w:val="00356007"/>
    <w:rsid w:val="0035627A"/>
    <w:rsid w:val="003563BF"/>
    <w:rsid w:val="00356A90"/>
    <w:rsid w:val="0035763A"/>
    <w:rsid w:val="0035764F"/>
    <w:rsid w:val="003576A5"/>
    <w:rsid w:val="0036015C"/>
    <w:rsid w:val="003628D1"/>
    <w:rsid w:val="0036295B"/>
    <w:rsid w:val="00363EF4"/>
    <w:rsid w:val="00364DBE"/>
    <w:rsid w:val="00365D84"/>
    <w:rsid w:val="00366052"/>
    <w:rsid w:val="0036638E"/>
    <w:rsid w:val="00366390"/>
    <w:rsid w:val="00366E7D"/>
    <w:rsid w:val="00367AE0"/>
    <w:rsid w:val="00367C00"/>
    <w:rsid w:val="003702EB"/>
    <w:rsid w:val="00370CE2"/>
    <w:rsid w:val="00371733"/>
    <w:rsid w:val="0037231E"/>
    <w:rsid w:val="00373602"/>
    <w:rsid w:val="0037396F"/>
    <w:rsid w:val="003744DC"/>
    <w:rsid w:val="003746BC"/>
    <w:rsid w:val="00374A9C"/>
    <w:rsid w:val="00374C93"/>
    <w:rsid w:val="00374EBA"/>
    <w:rsid w:val="0037519D"/>
    <w:rsid w:val="00375268"/>
    <w:rsid w:val="00375C1D"/>
    <w:rsid w:val="00375CA9"/>
    <w:rsid w:val="0037613F"/>
    <w:rsid w:val="00380002"/>
    <w:rsid w:val="00380D7B"/>
    <w:rsid w:val="0038110D"/>
    <w:rsid w:val="003812D6"/>
    <w:rsid w:val="00381811"/>
    <w:rsid w:val="00381BD9"/>
    <w:rsid w:val="00382067"/>
    <w:rsid w:val="00382412"/>
    <w:rsid w:val="00382980"/>
    <w:rsid w:val="00382DC4"/>
    <w:rsid w:val="00383517"/>
    <w:rsid w:val="0038399A"/>
    <w:rsid w:val="003839CF"/>
    <w:rsid w:val="00383AB3"/>
    <w:rsid w:val="00383CE8"/>
    <w:rsid w:val="00384E35"/>
    <w:rsid w:val="003851D4"/>
    <w:rsid w:val="00385392"/>
    <w:rsid w:val="00386445"/>
    <w:rsid w:val="00386D55"/>
    <w:rsid w:val="00387977"/>
    <w:rsid w:val="00387E72"/>
    <w:rsid w:val="003908EA"/>
    <w:rsid w:val="00390EA2"/>
    <w:rsid w:val="00390F37"/>
    <w:rsid w:val="00391042"/>
    <w:rsid w:val="00392C7D"/>
    <w:rsid w:val="00393B3D"/>
    <w:rsid w:val="00393B64"/>
    <w:rsid w:val="00394A26"/>
    <w:rsid w:val="00394B87"/>
    <w:rsid w:val="00394CE2"/>
    <w:rsid w:val="00395A72"/>
    <w:rsid w:val="00396A40"/>
    <w:rsid w:val="003975E5"/>
    <w:rsid w:val="003A080A"/>
    <w:rsid w:val="003A0968"/>
    <w:rsid w:val="003A0C94"/>
    <w:rsid w:val="003A1A60"/>
    <w:rsid w:val="003A2839"/>
    <w:rsid w:val="003A2F16"/>
    <w:rsid w:val="003A37BE"/>
    <w:rsid w:val="003A3B06"/>
    <w:rsid w:val="003A4067"/>
    <w:rsid w:val="003A438C"/>
    <w:rsid w:val="003A4A8D"/>
    <w:rsid w:val="003A4D43"/>
    <w:rsid w:val="003A4EB2"/>
    <w:rsid w:val="003A50C7"/>
    <w:rsid w:val="003A53E4"/>
    <w:rsid w:val="003A66BA"/>
    <w:rsid w:val="003A67B7"/>
    <w:rsid w:val="003A69F2"/>
    <w:rsid w:val="003A6C0E"/>
    <w:rsid w:val="003A7755"/>
    <w:rsid w:val="003A77D8"/>
    <w:rsid w:val="003A7E49"/>
    <w:rsid w:val="003A7F4F"/>
    <w:rsid w:val="003B04B6"/>
    <w:rsid w:val="003B07F1"/>
    <w:rsid w:val="003B10A5"/>
    <w:rsid w:val="003B1815"/>
    <w:rsid w:val="003B1A9E"/>
    <w:rsid w:val="003B3D4E"/>
    <w:rsid w:val="003B3E16"/>
    <w:rsid w:val="003B3FBC"/>
    <w:rsid w:val="003B47F3"/>
    <w:rsid w:val="003B4B4E"/>
    <w:rsid w:val="003B598F"/>
    <w:rsid w:val="003B5E6B"/>
    <w:rsid w:val="003B689E"/>
    <w:rsid w:val="003C0CD6"/>
    <w:rsid w:val="003C0FC6"/>
    <w:rsid w:val="003C18AA"/>
    <w:rsid w:val="003C247B"/>
    <w:rsid w:val="003C2511"/>
    <w:rsid w:val="003C3165"/>
    <w:rsid w:val="003C3299"/>
    <w:rsid w:val="003C558F"/>
    <w:rsid w:val="003C60AF"/>
    <w:rsid w:val="003C62C9"/>
    <w:rsid w:val="003C6891"/>
    <w:rsid w:val="003C78F0"/>
    <w:rsid w:val="003D17AB"/>
    <w:rsid w:val="003D25AA"/>
    <w:rsid w:val="003D2EF5"/>
    <w:rsid w:val="003D3245"/>
    <w:rsid w:val="003D3801"/>
    <w:rsid w:val="003D3C7B"/>
    <w:rsid w:val="003D3E04"/>
    <w:rsid w:val="003D5897"/>
    <w:rsid w:val="003D5A21"/>
    <w:rsid w:val="003D6158"/>
    <w:rsid w:val="003D64FB"/>
    <w:rsid w:val="003D6598"/>
    <w:rsid w:val="003D6890"/>
    <w:rsid w:val="003E00F6"/>
    <w:rsid w:val="003E0877"/>
    <w:rsid w:val="003E0EA6"/>
    <w:rsid w:val="003E19A3"/>
    <w:rsid w:val="003E1E05"/>
    <w:rsid w:val="003E2518"/>
    <w:rsid w:val="003E266B"/>
    <w:rsid w:val="003E2E71"/>
    <w:rsid w:val="003E4263"/>
    <w:rsid w:val="003E44B5"/>
    <w:rsid w:val="003E5710"/>
    <w:rsid w:val="003E57A0"/>
    <w:rsid w:val="003E5DB7"/>
    <w:rsid w:val="003E656D"/>
    <w:rsid w:val="003E6C58"/>
    <w:rsid w:val="003E6D97"/>
    <w:rsid w:val="003E78BC"/>
    <w:rsid w:val="003E791B"/>
    <w:rsid w:val="003F0A94"/>
    <w:rsid w:val="003F0D3D"/>
    <w:rsid w:val="003F12D9"/>
    <w:rsid w:val="003F23A0"/>
    <w:rsid w:val="003F311C"/>
    <w:rsid w:val="003F41E0"/>
    <w:rsid w:val="003F43AA"/>
    <w:rsid w:val="003F585C"/>
    <w:rsid w:val="003F598C"/>
    <w:rsid w:val="003F5FFA"/>
    <w:rsid w:val="003F6637"/>
    <w:rsid w:val="003F6ECD"/>
    <w:rsid w:val="003F732D"/>
    <w:rsid w:val="003F7835"/>
    <w:rsid w:val="003F78B9"/>
    <w:rsid w:val="003F7C1C"/>
    <w:rsid w:val="00401566"/>
    <w:rsid w:val="004029BB"/>
    <w:rsid w:val="00402D67"/>
    <w:rsid w:val="00402FF0"/>
    <w:rsid w:val="0040424D"/>
    <w:rsid w:val="00404398"/>
    <w:rsid w:val="0040542C"/>
    <w:rsid w:val="00405BBC"/>
    <w:rsid w:val="00405FA8"/>
    <w:rsid w:val="00407088"/>
    <w:rsid w:val="00407B5D"/>
    <w:rsid w:val="00410CD9"/>
    <w:rsid w:val="00412587"/>
    <w:rsid w:val="00412A88"/>
    <w:rsid w:val="0041513B"/>
    <w:rsid w:val="004160F7"/>
    <w:rsid w:val="00416834"/>
    <w:rsid w:val="00416E91"/>
    <w:rsid w:val="004175F3"/>
    <w:rsid w:val="00417CC1"/>
    <w:rsid w:val="004200C6"/>
    <w:rsid w:val="0042010A"/>
    <w:rsid w:val="004203CF"/>
    <w:rsid w:val="00420DA5"/>
    <w:rsid w:val="0042192A"/>
    <w:rsid w:val="00422B14"/>
    <w:rsid w:val="0042322F"/>
    <w:rsid w:val="00423575"/>
    <w:rsid w:val="00423825"/>
    <w:rsid w:val="0042530D"/>
    <w:rsid w:val="00425CB5"/>
    <w:rsid w:val="00425FA4"/>
    <w:rsid w:val="00426052"/>
    <w:rsid w:val="00430015"/>
    <w:rsid w:val="004301CC"/>
    <w:rsid w:val="004312B8"/>
    <w:rsid w:val="004313A1"/>
    <w:rsid w:val="00431A11"/>
    <w:rsid w:val="00431D35"/>
    <w:rsid w:val="0043226F"/>
    <w:rsid w:val="004346FA"/>
    <w:rsid w:val="0043474D"/>
    <w:rsid w:val="00435369"/>
    <w:rsid w:val="00435490"/>
    <w:rsid w:val="0043550B"/>
    <w:rsid w:val="00435529"/>
    <w:rsid w:val="00435569"/>
    <w:rsid w:val="00435B5A"/>
    <w:rsid w:val="004366A2"/>
    <w:rsid w:val="00436E37"/>
    <w:rsid w:val="00441904"/>
    <w:rsid w:val="00441907"/>
    <w:rsid w:val="00441A36"/>
    <w:rsid w:val="00441C7E"/>
    <w:rsid w:val="0044309A"/>
    <w:rsid w:val="004430A1"/>
    <w:rsid w:val="00443728"/>
    <w:rsid w:val="00443771"/>
    <w:rsid w:val="00443858"/>
    <w:rsid w:val="00443AB1"/>
    <w:rsid w:val="0044494A"/>
    <w:rsid w:val="00445F7F"/>
    <w:rsid w:val="0044657C"/>
    <w:rsid w:val="004477E4"/>
    <w:rsid w:val="004477FE"/>
    <w:rsid w:val="00447CE7"/>
    <w:rsid w:val="00450344"/>
    <w:rsid w:val="00450E5B"/>
    <w:rsid w:val="0045216C"/>
    <w:rsid w:val="0045281D"/>
    <w:rsid w:val="00452823"/>
    <w:rsid w:val="0045286A"/>
    <w:rsid w:val="00454795"/>
    <w:rsid w:val="00454AD2"/>
    <w:rsid w:val="00456F37"/>
    <w:rsid w:val="00460670"/>
    <w:rsid w:val="00461540"/>
    <w:rsid w:val="00462DFB"/>
    <w:rsid w:val="00463665"/>
    <w:rsid w:val="00463953"/>
    <w:rsid w:val="00464047"/>
    <w:rsid w:val="00465284"/>
    <w:rsid w:val="004656A1"/>
    <w:rsid w:val="0046600D"/>
    <w:rsid w:val="00466620"/>
    <w:rsid w:val="004674A3"/>
    <w:rsid w:val="0046758A"/>
    <w:rsid w:val="004713FE"/>
    <w:rsid w:val="004721A1"/>
    <w:rsid w:val="004721FC"/>
    <w:rsid w:val="004731EC"/>
    <w:rsid w:val="00473CDC"/>
    <w:rsid w:val="0047419E"/>
    <w:rsid w:val="00474537"/>
    <w:rsid w:val="004746CD"/>
    <w:rsid w:val="004759A4"/>
    <w:rsid w:val="004763DA"/>
    <w:rsid w:val="00476B61"/>
    <w:rsid w:val="00477190"/>
    <w:rsid w:val="00477865"/>
    <w:rsid w:val="0048169E"/>
    <w:rsid w:val="00481C76"/>
    <w:rsid w:val="0048305E"/>
    <w:rsid w:val="004834A5"/>
    <w:rsid w:val="004848B6"/>
    <w:rsid w:val="00484BD9"/>
    <w:rsid w:val="00486191"/>
    <w:rsid w:val="004863D7"/>
    <w:rsid w:val="004864D9"/>
    <w:rsid w:val="004865DF"/>
    <w:rsid w:val="004878B9"/>
    <w:rsid w:val="00487AD4"/>
    <w:rsid w:val="004906BD"/>
    <w:rsid w:val="00491FBA"/>
    <w:rsid w:val="00492082"/>
    <w:rsid w:val="004939BF"/>
    <w:rsid w:val="004952AC"/>
    <w:rsid w:val="0049552A"/>
    <w:rsid w:val="00495E9E"/>
    <w:rsid w:val="00495F66"/>
    <w:rsid w:val="00497988"/>
    <w:rsid w:val="00497EAB"/>
    <w:rsid w:val="004A126A"/>
    <w:rsid w:val="004A15FE"/>
    <w:rsid w:val="004A1F0B"/>
    <w:rsid w:val="004A2014"/>
    <w:rsid w:val="004A2D31"/>
    <w:rsid w:val="004A2F0B"/>
    <w:rsid w:val="004A3ABE"/>
    <w:rsid w:val="004A68C4"/>
    <w:rsid w:val="004A7F3C"/>
    <w:rsid w:val="004B0012"/>
    <w:rsid w:val="004B0843"/>
    <w:rsid w:val="004B0CDA"/>
    <w:rsid w:val="004B1644"/>
    <w:rsid w:val="004B2634"/>
    <w:rsid w:val="004B2771"/>
    <w:rsid w:val="004B27C9"/>
    <w:rsid w:val="004B2A87"/>
    <w:rsid w:val="004B42CA"/>
    <w:rsid w:val="004B6E7F"/>
    <w:rsid w:val="004C2043"/>
    <w:rsid w:val="004C2A22"/>
    <w:rsid w:val="004C308E"/>
    <w:rsid w:val="004C3C0D"/>
    <w:rsid w:val="004C52F3"/>
    <w:rsid w:val="004C5C34"/>
    <w:rsid w:val="004C5DC6"/>
    <w:rsid w:val="004C60E9"/>
    <w:rsid w:val="004C6282"/>
    <w:rsid w:val="004C64E0"/>
    <w:rsid w:val="004C7906"/>
    <w:rsid w:val="004D05E5"/>
    <w:rsid w:val="004D08CC"/>
    <w:rsid w:val="004D0A3D"/>
    <w:rsid w:val="004D1003"/>
    <w:rsid w:val="004D155C"/>
    <w:rsid w:val="004D2087"/>
    <w:rsid w:val="004D2653"/>
    <w:rsid w:val="004D2940"/>
    <w:rsid w:val="004D349D"/>
    <w:rsid w:val="004D3897"/>
    <w:rsid w:val="004D3A62"/>
    <w:rsid w:val="004D50C2"/>
    <w:rsid w:val="004D51D1"/>
    <w:rsid w:val="004D53AF"/>
    <w:rsid w:val="004D5A2E"/>
    <w:rsid w:val="004D5D2F"/>
    <w:rsid w:val="004D624E"/>
    <w:rsid w:val="004D66F8"/>
    <w:rsid w:val="004D77FF"/>
    <w:rsid w:val="004D7D53"/>
    <w:rsid w:val="004E0210"/>
    <w:rsid w:val="004E08CC"/>
    <w:rsid w:val="004E0C11"/>
    <w:rsid w:val="004E0C55"/>
    <w:rsid w:val="004E2383"/>
    <w:rsid w:val="004E35C8"/>
    <w:rsid w:val="004E412B"/>
    <w:rsid w:val="004E503E"/>
    <w:rsid w:val="004E526A"/>
    <w:rsid w:val="004E52C4"/>
    <w:rsid w:val="004E5D7A"/>
    <w:rsid w:val="004E62DE"/>
    <w:rsid w:val="004E68E9"/>
    <w:rsid w:val="004E71AC"/>
    <w:rsid w:val="004E7444"/>
    <w:rsid w:val="004E761F"/>
    <w:rsid w:val="004E7FFE"/>
    <w:rsid w:val="004F0E79"/>
    <w:rsid w:val="004F165D"/>
    <w:rsid w:val="004F19A9"/>
    <w:rsid w:val="004F1F21"/>
    <w:rsid w:val="004F2A08"/>
    <w:rsid w:val="004F2E11"/>
    <w:rsid w:val="004F3611"/>
    <w:rsid w:val="004F40EF"/>
    <w:rsid w:val="004F548E"/>
    <w:rsid w:val="004F557C"/>
    <w:rsid w:val="004F56D4"/>
    <w:rsid w:val="004F5F5A"/>
    <w:rsid w:val="004F640F"/>
    <w:rsid w:val="004F674A"/>
    <w:rsid w:val="004F765F"/>
    <w:rsid w:val="005015EC"/>
    <w:rsid w:val="00501854"/>
    <w:rsid w:val="00501E37"/>
    <w:rsid w:val="005032D0"/>
    <w:rsid w:val="005036FD"/>
    <w:rsid w:val="00504929"/>
    <w:rsid w:val="0050497C"/>
    <w:rsid w:val="00505399"/>
    <w:rsid w:val="0050549A"/>
    <w:rsid w:val="005054A9"/>
    <w:rsid w:val="00505563"/>
    <w:rsid w:val="005056CC"/>
    <w:rsid w:val="005059D0"/>
    <w:rsid w:val="00505AF0"/>
    <w:rsid w:val="00505C16"/>
    <w:rsid w:val="00505E48"/>
    <w:rsid w:val="00506B14"/>
    <w:rsid w:val="00506D3C"/>
    <w:rsid w:val="00506DFC"/>
    <w:rsid w:val="005076B4"/>
    <w:rsid w:val="005076C4"/>
    <w:rsid w:val="00507A94"/>
    <w:rsid w:val="00507EE7"/>
    <w:rsid w:val="005110CA"/>
    <w:rsid w:val="00512DFD"/>
    <w:rsid w:val="00512F1F"/>
    <w:rsid w:val="00513884"/>
    <w:rsid w:val="00514601"/>
    <w:rsid w:val="00514BEE"/>
    <w:rsid w:val="00514D1A"/>
    <w:rsid w:val="00515395"/>
    <w:rsid w:val="005155D3"/>
    <w:rsid w:val="00515CD9"/>
    <w:rsid w:val="00515F08"/>
    <w:rsid w:val="005168B7"/>
    <w:rsid w:val="005168B9"/>
    <w:rsid w:val="00517409"/>
    <w:rsid w:val="0051797B"/>
    <w:rsid w:val="00517D59"/>
    <w:rsid w:val="005214B5"/>
    <w:rsid w:val="00521762"/>
    <w:rsid w:val="00521C0C"/>
    <w:rsid w:val="00522CC0"/>
    <w:rsid w:val="00523A43"/>
    <w:rsid w:val="0052457A"/>
    <w:rsid w:val="005249BA"/>
    <w:rsid w:val="00524DC3"/>
    <w:rsid w:val="0052582D"/>
    <w:rsid w:val="00525AF3"/>
    <w:rsid w:val="00526029"/>
    <w:rsid w:val="00526412"/>
    <w:rsid w:val="00526F4C"/>
    <w:rsid w:val="00527608"/>
    <w:rsid w:val="005278BF"/>
    <w:rsid w:val="00527FAB"/>
    <w:rsid w:val="00530178"/>
    <w:rsid w:val="005303BE"/>
    <w:rsid w:val="00530757"/>
    <w:rsid w:val="00530E6E"/>
    <w:rsid w:val="0053110F"/>
    <w:rsid w:val="00531490"/>
    <w:rsid w:val="00532902"/>
    <w:rsid w:val="00532DA9"/>
    <w:rsid w:val="0053337C"/>
    <w:rsid w:val="005346F8"/>
    <w:rsid w:val="0053581D"/>
    <w:rsid w:val="00535A34"/>
    <w:rsid w:val="00535FED"/>
    <w:rsid w:val="0053659A"/>
    <w:rsid w:val="00536C89"/>
    <w:rsid w:val="00537510"/>
    <w:rsid w:val="00541633"/>
    <w:rsid w:val="005420A2"/>
    <w:rsid w:val="0054232E"/>
    <w:rsid w:val="00542E90"/>
    <w:rsid w:val="005430CF"/>
    <w:rsid w:val="0054338B"/>
    <w:rsid w:val="00544C81"/>
    <w:rsid w:val="005458E1"/>
    <w:rsid w:val="00545C9B"/>
    <w:rsid w:val="00545CAF"/>
    <w:rsid w:val="00546079"/>
    <w:rsid w:val="0054609D"/>
    <w:rsid w:val="005460D0"/>
    <w:rsid w:val="0054715D"/>
    <w:rsid w:val="00547A43"/>
    <w:rsid w:val="0055139A"/>
    <w:rsid w:val="0055178A"/>
    <w:rsid w:val="00551E8E"/>
    <w:rsid w:val="00551F9A"/>
    <w:rsid w:val="005523D4"/>
    <w:rsid w:val="00552B35"/>
    <w:rsid w:val="00553918"/>
    <w:rsid w:val="00555257"/>
    <w:rsid w:val="00555DA1"/>
    <w:rsid w:val="00555EEE"/>
    <w:rsid w:val="00557939"/>
    <w:rsid w:val="0055795F"/>
    <w:rsid w:val="00560060"/>
    <w:rsid w:val="005604E8"/>
    <w:rsid w:val="00560C05"/>
    <w:rsid w:val="00560F1A"/>
    <w:rsid w:val="005611BA"/>
    <w:rsid w:val="00561458"/>
    <w:rsid w:val="005617F2"/>
    <w:rsid w:val="0056187A"/>
    <w:rsid w:val="005619F2"/>
    <w:rsid w:val="00562BBB"/>
    <w:rsid w:val="00563723"/>
    <w:rsid w:val="0056381D"/>
    <w:rsid w:val="005655FC"/>
    <w:rsid w:val="00565B18"/>
    <w:rsid w:val="00565BD3"/>
    <w:rsid w:val="00566686"/>
    <w:rsid w:val="00566733"/>
    <w:rsid w:val="005672CC"/>
    <w:rsid w:val="005678AF"/>
    <w:rsid w:val="00567A3F"/>
    <w:rsid w:val="00570468"/>
    <w:rsid w:val="00570C99"/>
    <w:rsid w:val="005712E9"/>
    <w:rsid w:val="005728F0"/>
    <w:rsid w:val="00572AB1"/>
    <w:rsid w:val="00573032"/>
    <w:rsid w:val="00577583"/>
    <w:rsid w:val="0057782F"/>
    <w:rsid w:val="005800C0"/>
    <w:rsid w:val="00581BFA"/>
    <w:rsid w:val="00581EC7"/>
    <w:rsid w:val="005822CB"/>
    <w:rsid w:val="00582CA0"/>
    <w:rsid w:val="00583995"/>
    <w:rsid w:val="00584979"/>
    <w:rsid w:val="00585815"/>
    <w:rsid w:val="00586A1C"/>
    <w:rsid w:val="00587104"/>
    <w:rsid w:val="005872D8"/>
    <w:rsid w:val="005874CA"/>
    <w:rsid w:val="0059017B"/>
    <w:rsid w:val="005907C1"/>
    <w:rsid w:val="00590D0C"/>
    <w:rsid w:val="00592779"/>
    <w:rsid w:val="00592C1A"/>
    <w:rsid w:val="0059406B"/>
    <w:rsid w:val="005955DB"/>
    <w:rsid w:val="00596B83"/>
    <w:rsid w:val="005A21C3"/>
    <w:rsid w:val="005A2BE6"/>
    <w:rsid w:val="005A358A"/>
    <w:rsid w:val="005A3C21"/>
    <w:rsid w:val="005A4518"/>
    <w:rsid w:val="005A46A8"/>
    <w:rsid w:val="005A4D5D"/>
    <w:rsid w:val="005A4F5B"/>
    <w:rsid w:val="005A64D3"/>
    <w:rsid w:val="005A6740"/>
    <w:rsid w:val="005A6FD8"/>
    <w:rsid w:val="005A70E5"/>
    <w:rsid w:val="005A7F4C"/>
    <w:rsid w:val="005B04B2"/>
    <w:rsid w:val="005B04FE"/>
    <w:rsid w:val="005B09E5"/>
    <w:rsid w:val="005B209B"/>
    <w:rsid w:val="005B29F6"/>
    <w:rsid w:val="005B3392"/>
    <w:rsid w:val="005B3427"/>
    <w:rsid w:val="005B3C68"/>
    <w:rsid w:val="005B3CA6"/>
    <w:rsid w:val="005B4861"/>
    <w:rsid w:val="005B4B35"/>
    <w:rsid w:val="005B4F19"/>
    <w:rsid w:val="005B5215"/>
    <w:rsid w:val="005B6C8F"/>
    <w:rsid w:val="005B7ADA"/>
    <w:rsid w:val="005C0308"/>
    <w:rsid w:val="005C3351"/>
    <w:rsid w:val="005C36AF"/>
    <w:rsid w:val="005C3877"/>
    <w:rsid w:val="005C3AD9"/>
    <w:rsid w:val="005C498C"/>
    <w:rsid w:val="005C62C5"/>
    <w:rsid w:val="005C6478"/>
    <w:rsid w:val="005C6D12"/>
    <w:rsid w:val="005C6E87"/>
    <w:rsid w:val="005C717B"/>
    <w:rsid w:val="005D2EDE"/>
    <w:rsid w:val="005D5192"/>
    <w:rsid w:val="005D56C8"/>
    <w:rsid w:val="005D58F7"/>
    <w:rsid w:val="005D5996"/>
    <w:rsid w:val="005D62F5"/>
    <w:rsid w:val="005D64E0"/>
    <w:rsid w:val="005D6DBA"/>
    <w:rsid w:val="005D6F9D"/>
    <w:rsid w:val="005D735C"/>
    <w:rsid w:val="005D7494"/>
    <w:rsid w:val="005D7565"/>
    <w:rsid w:val="005E1325"/>
    <w:rsid w:val="005E23F9"/>
    <w:rsid w:val="005E2C05"/>
    <w:rsid w:val="005E3813"/>
    <w:rsid w:val="005E3DAD"/>
    <w:rsid w:val="005E4E3E"/>
    <w:rsid w:val="005E50EC"/>
    <w:rsid w:val="005E5591"/>
    <w:rsid w:val="005E5E22"/>
    <w:rsid w:val="005E6573"/>
    <w:rsid w:val="005E6707"/>
    <w:rsid w:val="005E6995"/>
    <w:rsid w:val="005E7068"/>
    <w:rsid w:val="005E73B1"/>
    <w:rsid w:val="005F01BF"/>
    <w:rsid w:val="005F3793"/>
    <w:rsid w:val="005F38A4"/>
    <w:rsid w:val="005F3D14"/>
    <w:rsid w:val="005F3EC6"/>
    <w:rsid w:val="005F41E0"/>
    <w:rsid w:val="005F4AF8"/>
    <w:rsid w:val="005F4CE5"/>
    <w:rsid w:val="005F63A3"/>
    <w:rsid w:val="005F6474"/>
    <w:rsid w:val="005F6F29"/>
    <w:rsid w:val="00600712"/>
    <w:rsid w:val="00601653"/>
    <w:rsid w:val="0060340E"/>
    <w:rsid w:val="00603543"/>
    <w:rsid w:val="006044EF"/>
    <w:rsid w:val="00604DD6"/>
    <w:rsid w:val="00604F89"/>
    <w:rsid w:val="0060540D"/>
    <w:rsid w:val="00605A82"/>
    <w:rsid w:val="006064FC"/>
    <w:rsid w:val="006067E8"/>
    <w:rsid w:val="00607408"/>
    <w:rsid w:val="00607F6D"/>
    <w:rsid w:val="00610A98"/>
    <w:rsid w:val="00610BDE"/>
    <w:rsid w:val="00611BE9"/>
    <w:rsid w:val="00611D80"/>
    <w:rsid w:val="00612084"/>
    <w:rsid w:val="00613947"/>
    <w:rsid w:val="00614127"/>
    <w:rsid w:val="0061496E"/>
    <w:rsid w:val="00615328"/>
    <w:rsid w:val="0061671E"/>
    <w:rsid w:val="006167A6"/>
    <w:rsid w:val="006173D4"/>
    <w:rsid w:val="00617EDB"/>
    <w:rsid w:val="00620367"/>
    <w:rsid w:val="00621815"/>
    <w:rsid w:val="0062185B"/>
    <w:rsid w:val="006220FE"/>
    <w:rsid w:val="0062244B"/>
    <w:rsid w:val="0062267C"/>
    <w:rsid w:val="00623218"/>
    <w:rsid w:val="0062331F"/>
    <w:rsid w:val="00623463"/>
    <w:rsid w:val="0062449B"/>
    <w:rsid w:val="006247E7"/>
    <w:rsid w:val="006250D4"/>
    <w:rsid w:val="006275F8"/>
    <w:rsid w:val="00627C93"/>
    <w:rsid w:val="00630709"/>
    <w:rsid w:val="00630978"/>
    <w:rsid w:val="00631D34"/>
    <w:rsid w:val="00631E1E"/>
    <w:rsid w:val="00632F8F"/>
    <w:rsid w:val="00633B9B"/>
    <w:rsid w:val="00633CAB"/>
    <w:rsid w:val="006355D9"/>
    <w:rsid w:val="0063563D"/>
    <w:rsid w:val="00635F8E"/>
    <w:rsid w:val="00636246"/>
    <w:rsid w:val="0063788F"/>
    <w:rsid w:val="006379A8"/>
    <w:rsid w:val="00640743"/>
    <w:rsid w:val="00640F77"/>
    <w:rsid w:val="0064155C"/>
    <w:rsid w:val="006418E2"/>
    <w:rsid w:val="00641EA1"/>
    <w:rsid w:val="00642E05"/>
    <w:rsid w:val="006430C4"/>
    <w:rsid w:val="006443F5"/>
    <w:rsid w:val="0064525C"/>
    <w:rsid w:val="0064537F"/>
    <w:rsid w:val="00645F41"/>
    <w:rsid w:val="00646940"/>
    <w:rsid w:val="00646EDE"/>
    <w:rsid w:val="00650256"/>
    <w:rsid w:val="00650723"/>
    <w:rsid w:val="00650B89"/>
    <w:rsid w:val="00651FDA"/>
    <w:rsid w:val="00652F12"/>
    <w:rsid w:val="0065301F"/>
    <w:rsid w:val="00654153"/>
    <w:rsid w:val="006546DF"/>
    <w:rsid w:val="00655239"/>
    <w:rsid w:val="006563E8"/>
    <w:rsid w:val="0065671E"/>
    <w:rsid w:val="00656ECF"/>
    <w:rsid w:val="006609C0"/>
    <w:rsid w:val="00660F23"/>
    <w:rsid w:val="006619BB"/>
    <w:rsid w:val="00661A6C"/>
    <w:rsid w:val="00661BDE"/>
    <w:rsid w:val="00662DB3"/>
    <w:rsid w:val="00663BEE"/>
    <w:rsid w:val="00665207"/>
    <w:rsid w:val="006652CD"/>
    <w:rsid w:val="006654CE"/>
    <w:rsid w:val="0066689B"/>
    <w:rsid w:val="00666D90"/>
    <w:rsid w:val="0066728C"/>
    <w:rsid w:val="006705CF"/>
    <w:rsid w:val="0067064D"/>
    <w:rsid w:val="006715C4"/>
    <w:rsid w:val="006735EE"/>
    <w:rsid w:val="00673FDF"/>
    <w:rsid w:val="00674540"/>
    <w:rsid w:val="006764CD"/>
    <w:rsid w:val="00676B12"/>
    <w:rsid w:val="00676CAF"/>
    <w:rsid w:val="006771E9"/>
    <w:rsid w:val="0067778E"/>
    <w:rsid w:val="00677C0F"/>
    <w:rsid w:val="00680461"/>
    <w:rsid w:val="006804DF"/>
    <w:rsid w:val="0068080C"/>
    <w:rsid w:val="00680F9C"/>
    <w:rsid w:val="00681A46"/>
    <w:rsid w:val="006820A0"/>
    <w:rsid w:val="006839CE"/>
    <w:rsid w:val="00684D10"/>
    <w:rsid w:val="00685840"/>
    <w:rsid w:val="00685DEE"/>
    <w:rsid w:val="0068662F"/>
    <w:rsid w:val="00687024"/>
    <w:rsid w:val="00687A7A"/>
    <w:rsid w:val="00690A4C"/>
    <w:rsid w:val="00692A07"/>
    <w:rsid w:val="00693384"/>
    <w:rsid w:val="00694A9B"/>
    <w:rsid w:val="00694E00"/>
    <w:rsid w:val="00694FDB"/>
    <w:rsid w:val="006953F5"/>
    <w:rsid w:val="0069598F"/>
    <w:rsid w:val="00695F35"/>
    <w:rsid w:val="0069643F"/>
    <w:rsid w:val="00696638"/>
    <w:rsid w:val="00696864"/>
    <w:rsid w:val="00697271"/>
    <w:rsid w:val="0069782B"/>
    <w:rsid w:val="00697FBD"/>
    <w:rsid w:val="006A06BD"/>
    <w:rsid w:val="006A09C1"/>
    <w:rsid w:val="006A1DDF"/>
    <w:rsid w:val="006A1FE2"/>
    <w:rsid w:val="006A2B45"/>
    <w:rsid w:val="006A3FA7"/>
    <w:rsid w:val="006A4258"/>
    <w:rsid w:val="006A4AFF"/>
    <w:rsid w:val="006A5B16"/>
    <w:rsid w:val="006A60DB"/>
    <w:rsid w:val="006A6CB1"/>
    <w:rsid w:val="006A7C14"/>
    <w:rsid w:val="006B01C6"/>
    <w:rsid w:val="006B0DA8"/>
    <w:rsid w:val="006B2F0B"/>
    <w:rsid w:val="006B38CE"/>
    <w:rsid w:val="006B4416"/>
    <w:rsid w:val="006B5183"/>
    <w:rsid w:val="006B5B47"/>
    <w:rsid w:val="006B5F51"/>
    <w:rsid w:val="006B7E8F"/>
    <w:rsid w:val="006C0DCF"/>
    <w:rsid w:val="006C18D7"/>
    <w:rsid w:val="006C2DE1"/>
    <w:rsid w:val="006C2E2A"/>
    <w:rsid w:val="006C2FE5"/>
    <w:rsid w:val="006C3F7E"/>
    <w:rsid w:val="006C402E"/>
    <w:rsid w:val="006C4FBC"/>
    <w:rsid w:val="006C5F1E"/>
    <w:rsid w:val="006C6050"/>
    <w:rsid w:val="006C6530"/>
    <w:rsid w:val="006C7FEE"/>
    <w:rsid w:val="006D0FBE"/>
    <w:rsid w:val="006D140B"/>
    <w:rsid w:val="006D1812"/>
    <w:rsid w:val="006D2809"/>
    <w:rsid w:val="006D3682"/>
    <w:rsid w:val="006D45D6"/>
    <w:rsid w:val="006D68E6"/>
    <w:rsid w:val="006D6E90"/>
    <w:rsid w:val="006D765C"/>
    <w:rsid w:val="006D7E06"/>
    <w:rsid w:val="006E0469"/>
    <w:rsid w:val="006E171A"/>
    <w:rsid w:val="006E1BEE"/>
    <w:rsid w:val="006E25D3"/>
    <w:rsid w:val="006E2EA3"/>
    <w:rsid w:val="006E310D"/>
    <w:rsid w:val="006E3D3B"/>
    <w:rsid w:val="006E3EBA"/>
    <w:rsid w:val="006E437A"/>
    <w:rsid w:val="006E46AD"/>
    <w:rsid w:val="006E518A"/>
    <w:rsid w:val="006E6814"/>
    <w:rsid w:val="006E6A62"/>
    <w:rsid w:val="006E6C65"/>
    <w:rsid w:val="006E7743"/>
    <w:rsid w:val="006E7C82"/>
    <w:rsid w:val="006F04D3"/>
    <w:rsid w:val="006F1E9A"/>
    <w:rsid w:val="006F1EEB"/>
    <w:rsid w:val="006F20F5"/>
    <w:rsid w:val="006F263D"/>
    <w:rsid w:val="006F3577"/>
    <w:rsid w:val="006F51AC"/>
    <w:rsid w:val="006F5D5A"/>
    <w:rsid w:val="006F7BFA"/>
    <w:rsid w:val="00701225"/>
    <w:rsid w:val="00701A86"/>
    <w:rsid w:val="00701B65"/>
    <w:rsid w:val="00701ED4"/>
    <w:rsid w:val="00704DC2"/>
    <w:rsid w:val="007053D9"/>
    <w:rsid w:val="0070605F"/>
    <w:rsid w:val="00707566"/>
    <w:rsid w:val="007079D9"/>
    <w:rsid w:val="00710178"/>
    <w:rsid w:val="007102D9"/>
    <w:rsid w:val="00710CBE"/>
    <w:rsid w:val="00713427"/>
    <w:rsid w:val="00713F81"/>
    <w:rsid w:val="00713F9E"/>
    <w:rsid w:val="007152E6"/>
    <w:rsid w:val="00715A66"/>
    <w:rsid w:val="00715B91"/>
    <w:rsid w:val="0071602D"/>
    <w:rsid w:val="007177B2"/>
    <w:rsid w:val="007205AB"/>
    <w:rsid w:val="0072179A"/>
    <w:rsid w:val="007225BE"/>
    <w:rsid w:val="00722B95"/>
    <w:rsid w:val="00724AF6"/>
    <w:rsid w:val="00726045"/>
    <w:rsid w:val="00731D9C"/>
    <w:rsid w:val="00731F8F"/>
    <w:rsid w:val="00732B4B"/>
    <w:rsid w:val="007332B1"/>
    <w:rsid w:val="00733823"/>
    <w:rsid w:val="00733C40"/>
    <w:rsid w:val="00734F01"/>
    <w:rsid w:val="00735225"/>
    <w:rsid w:val="00736CC9"/>
    <w:rsid w:val="00737DFA"/>
    <w:rsid w:val="00737F7F"/>
    <w:rsid w:val="0074002E"/>
    <w:rsid w:val="00740FC0"/>
    <w:rsid w:val="00742DC7"/>
    <w:rsid w:val="007430DB"/>
    <w:rsid w:val="00744188"/>
    <w:rsid w:val="00745996"/>
    <w:rsid w:val="0074685F"/>
    <w:rsid w:val="00750DB6"/>
    <w:rsid w:val="0075120E"/>
    <w:rsid w:val="0075199C"/>
    <w:rsid w:val="00753320"/>
    <w:rsid w:val="0075459F"/>
    <w:rsid w:val="00754EE8"/>
    <w:rsid w:val="00755756"/>
    <w:rsid w:val="0075588A"/>
    <w:rsid w:val="00755B41"/>
    <w:rsid w:val="00755C5B"/>
    <w:rsid w:val="00755FCA"/>
    <w:rsid w:val="00756140"/>
    <w:rsid w:val="00756B74"/>
    <w:rsid w:val="00757439"/>
    <w:rsid w:val="00757E67"/>
    <w:rsid w:val="0076206D"/>
    <w:rsid w:val="00762077"/>
    <w:rsid w:val="007623AC"/>
    <w:rsid w:val="007628BE"/>
    <w:rsid w:val="00763406"/>
    <w:rsid w:val="007645C6"/>
    <w:rsid w:val="00765F4F"/>
    <w:rsid w:val="007677D9"/>
    <w:rsid w:val="00767B66"/>
    <w:rsid w:val="00767D37"/>
    <w:rsid w:val="007702DC"/>
    <w:rsid w:val="00771529"/>
    <w:rsid w:val="00772012"/>
    <w:rsid w:val="00772442"/>
    <w:rsid w:val="00772A28"/>
    <w:rsid w:val="00773078"/>
    <w:rsid w:val="007731B8"/>
    <w:rsid w:val="00773731"/>
    <w:rsid w:val="00774F72"/>
    <w:rsid w:val="00774FE4"/>
    <w:rsid w:val="00775765"/>
    <w:rsid w:val="00775ADB"/>
    <w:rsid w:val="00777040"/>
    <w:rsid w:val="00777506"/>
    <w:rsid w:val="00777AD9"/>
    <w:rsid w:val="00777B8C"/>
    <w:rsid w:val="0078185F"/>
    <w:rsid w:val="00781BDD"/>
    <w:rsid w:val="00781DF2"/>
    <w:rsid w:val="00781F6D"/>
    <w:rsid w:val="00781FC4"/>
    <w:rsid w:val="00782A0D"/>
    <w:rsid w:val="00784149"/>
    <w:rsid w:val="0078428A"/>
    <w:rsid w:val="00784879"/>
    <w:rsid w:val="00785098"/>
    <w:rsid w:val="00785220"/>
    <w:rsid w:val="00785F5C"/>
    <w:rsid w:val="00786103"/>
    <w:rsid w:val="00787C7D"/>
    <w:rsid w:val="0079001B"/>
    <w:rsid w:val="0079015A"/>
    <w:rsid w:val="007903A3"/>
    <w:rsid w:val="00790C5F"/>
    <w:rsid w:val="007911A0"/>
    <w:rsid w:val="007913B5"/>
    <w:rsid w:val="007919CE"/>
    <w:rsid w:val="00791AB5"/>
    <w:rsid w:val="00791AE5"/>
    <w:rsid w:val="0079285C"/>
    <w:rsid w:val="007929AE"/>
    <w:rsid w:val="00792F9C"/>
    <w:rsid w:val="007930C4"/>
    <w:rsid w:val="007933F0"/>
    <w:rsid w:val="00794D0F"/>
    <w:rsid w:val="00795076"/>
    <w:rsid w:val="00795960"/>
    <w:rsid w:val="00795C48"/>
    <w:rsid w:val="00795D10"/>
    <w:rsid w:val="007963C3"/>
    <w:rsid w:val="00796776"/>
    <w:rsid w:val="00796AD9"/>
    <w:rsid w:val="007A0BEE"/>
    <w:rsid w:val="007A12B4"/>
    <w:rsid w:val="007A13E6"/>
    <w:rsid w:val="007A266C"/>
    <w:rsid w:val="007A2A5E"/>
    <w:rsid w:val="007A2BEF"/>
    <w:rsid w:val="007A2D21"/>
    <w:rsid w:val="007A3834"/>
    <w:rsid w:val="007A3D8B"/>
    <w:rsid w:val="007A3F79"/>
    <w:rsid w:val="007A401A"/>
    <w:rsid w:val="007A42F4"/>
    <w:rsid w:val="007A535D"/>
    <w:rsid w:val="007A57FA"/>
    <w:rsid w:val="007A5855"/>
    <w:rsid w:val="007A7C47"/>
    <w:rsid w:val="007B0C49"/>
    <w:rsid w:val="007B1197"/>
    <w:rsid w:val="007B2537"/>
    <w:rsid w:val="007B28EA"/>
    <w:rsid w:val="007B2AFC"/>
    <w:rsid w:val="007B371E"/>
    <w:rsid w:val="007B446F"/>
    <w:rsid w:val="007B559A"/>
    <w:rsid w:val="007B6AAC"/>
    <w:rsid w:val="007B75E2"/>
    <w:rsid w:val="007B7723"/>
    <w:rsid w:val="007B7910"/>
    <w:rsid w:val="007C0036"/>
    <w:rsid w:val="007C09E9"/>
    <w:rsid w:val="007C102C"/>
    <w:rsid w:val="007C1452"/>
    <w:rsid w:val="007C2657"/>
    <w:rsid w:val="007C281C"/>
    <w:rsid w:val="007C434A"/>
    <w:rsid w:val="007C4613"/>
    <w:rsid w:val="007C5254"/>
    <w:rsid w:val="007C54B5"/>
    <w:rsid w:val="007C5B65"/>
    <w:rsid w:val="007C625E"/>
    <w:rsid w:val="007C65BE"/>
    <w:rsid w:val="007C6D24"/>
    <w:rsid w:val="007C71F1"/>
    <w:rsid w:val="007D0055"/>
    <w:rsid w:val="007D1B6F"/>
    <w:rsid w:val="007D2A5C"/>
    <w:rsid w:val="007D2D52"/>
    <w:rsid w:val="007D33E6"/>
    <w:rsid w:val="007D39AF"/>
    <w:rsid w:val="007D43CF"/>
    <w:rsid w:val="007D4440"/>
    <w:rsid w:val="007D48B8"/>
    <w:rsid w:val="007D5A9C"/>
    <w:rsid w:val="007D688E"/>
    <w:rsid w:val="007D7DC5"/>
    <w:rsid w:val="007E005B"/>
    <w:rsid w:val="007E1A86"/>
    <w:rsid w:val="007E2FC7"/>
    <w:rsid w:val="007E3051"/>
    <w:rsid w:val="007E3390"/>
    <w:rsid w:val="007E3B33"/>
    <w:rsid w:val="007E3FE0"/>
    <w:rsid w:val="007E46FA"/>
    <w:rsid w:val="007E6051"/>
    <w:rsid w:val="007E66BF"/>
    <w:rsid w:val="007E6D51"/>
    <w:rsid w:val="007E6D88"/>
    <w:rsid w:val="007E746F"/>
    <w:rsid w:val="007F1061"/>
    <w:rsid w:val="007F3188"/>
    <w:rsid w:val="007F33EA"/>
    <w:rsid w:val="007F346D"/>
    <w:rsid w:val="007F34E7"/>
    <w:rsid w:val="007F3EE5"/>
    <w:rsid w:val="007F60E6"/>
    <w:rsid w:val="007F67AA"/>
    <w:rsid w:val="007F6D99"/>
    <w:rsid w:val="007F6F47"/>
    <w:rsid w:val="007F6FA2"/>
    <w:rsid w:val="007F7701"/>
    <w:rsid w:val="007F7F54"/>
    <w:rsid w:val="0080091F"/>
    <w:rsid w:val="00800C0E"/>
    <w:rsid w:val="00801098"/>
    <w:rsid w:val="008020DC"/>
    <w:rsid w:val="008026D3"/>
    <w:rsid w:val="0080462C"/>
    <w:rsid w:val="00805621"/>
    <w:rsid w:val="0080695D"/>
    <w:rsid w:val="00806966"/>
    <w:rsid w:val="00806BAD"/>
    <w:rsid w:val="00806E6A"/>
    <w:rsid w:val="0081005D"/>
    <w:rsid w:val="00811199"/>
    <w:rsid w:val="00811DC7"/>
    <w:rsid w:val="00812FF7"/>
    <w:rsid w:val="008136D9"/>
    <w:rsid w:val="00813D57"/>
    <w:rsid w:val="00813F77"/>
    <w:rsid w:val="00813FAF"/>
    <w:rsid w:val="00814C8C"/>
    <w:rsid w:val="0081624B"/>
    <w:rsid w:val="00820562"/>
    <w:rsid w:val="00820CB5"/>
    <w:rsid w:val="00821DEB"/>
    <w:rsid w:val="008224EC"/>
    <w:rsid w:val="00822694"/>
    <w:rsid w:val="00822E44"/>
    <w:rsid w:val="0082310B"/>
    <w:rsid w:val="00823E9E"/>
    <w:rsid w:val="00824263"/>
    <w:rsid w:val="008246DC"/>
    <w:rsid w:val="00824853"/>
    <w:rsid w:val="008256CF"/>
    <w:rsid w:val="00825B39"/>
    <w:rsid w:val="00825BDA"/>
    <w:rsid w:val="00825EF8"/>
    <w:rsid w:val="00825FBB"/>
    <w:rsid w:val="008261E7"/>
    <w:rsid w:val="00826827"/>
    <w:rsid w:val="00826D5F"/>
    <w:rsid w:val="00826F29"/>
    <w:rsid w:val="00827576"/>
    <w:rsid w:val="00830731"/>
    <w:rsid w:val="00830AD5"/>
    <w:rsid w:val="008310EF"/>
    <w:rsid w:val="00831906"/>
    <w:rsid w:val="0083213E"/>
    <w:rsid w:val="008325DA"/>
    <w:rsid w:val="00833259"/>
    <w:rsid w:val="00833F28"/>
    <w:rsid w:val="0083400D"/>
    <w:rsid w:val="008347F4"/>
    <w:rsid w:val="0083511E"/>
    <w:rsid w:val="00835CC0"/>
    <w:rsid w:val="00835CED"/>
    <w:rsid w:val="0083721F"/>
    <w:rsid w:val="00837E32"/>
    <w:rsid w:val="00837F84"/>
    <w:rsid w:val="0084043C"/>
    <w:rsid w:val="0084060F"/>
    <w:rsid w:val="008408EA"/>
    <w:rsid w:val="00840AA4"/>
    <w:rsid w:val="008412FE"/>
    <w:rsid w:val="00841DD1"/>
    <w:rsid w:val="008427ED"/>
    <w:rsid w:val="008428FC"/>
    <w:rsid w:val="0084358E"/>
    <w:rsid w:val="008449AD"/>
    <w:rsid w:val="00844CEB"/>
    <w:rsid w:val="00846170"/>
    <w:rsid w:val="00846352"/>
    <w:rsid w:val="008468AC"/>
    <w:rsid w:val="00846B38"/>
    <w:rsid w:val="0084721A"/>
    <w:rsid w:val="00847CA4"/>
    <w:rsid w:val="00850839"/>
    <w:rsid w:val="00850902"/>
    <w:rsid w:val="00850AB0"/>
    <w:rsid w:val="00850F75"/>
    <w:rsid w:val="008517AE"/>
    <w:rsid w:val="00851B6A"/>
    <w:rsid w:val="00851E52"/>
    <w:rsid w:val="008529F0"/>
    <w:rsid w:val="00852CF8"/>
    <w:rsid w:val="00852D17"/>
    <w:rsid w:val="0085331B"/>
    <w:rsid w:val="00855D32"/>
    <w:rsid w:val="00856342"/>
    <w:rsid w:val="00856C90"/>
    <w:rsid w:val="008571F6"/>
    <w:rsid w:val="008572A0"/>
    <w:rsid w:val="00860218"/>
    <w:rsid w:val="00860267"/>
    <w:rsid w:val="00861A73"/>
    <w:rsid w:val="0086202D"/>
    <w:rsid w:val="0086250F"/>
    <w:rsid w:val="00863899"/>
    <w:rsid w:val="008639A2"/>
    <w:rsid w:val="008641E5"/>
    <w:rsid w:val="00866096"/>
    <w:rsid w:val="00866EB4"/>
    <w:rsid w:val="0086709F"/>
    <w:rsid w:val="0086739B"/>
    <w:rsid w:val="008675B4"/>
    <w:rsid w:val="008704BD"/>
    <w:rsid w:val="00870796"/>
    <w:rsid w:val="00871110"/>
    <w:rsid w:val="00872CD3"/>
    <w:rsid w:val="00872EDC"/>
    <w:rsid w:val="0087325B"/>
    <w:rsid w:val="008732DC"/>
    <w:rsid w:val="00873B0F"/>
    <w:rsid w:val="00873BA0"/>
    <w:rsid w:val="00874952"/>
    <w:rsid w:val="00875BDF"/>
    <w:rsid w:val="00875E7D"/>
    <w:rsid w:val="008765E5"/>
    <w:rsid w:val="0087730C"/>
    <w:rsid w:val="00880216"/>
    <w:rsid w:val="008803B7"/>
    <w:rsid w:val="00880E55"/>
    <w:rsid w:val="00881E63"/>
    <w:rsid w:val="00884653"/>
    <w:rsid w:val="0088498C"/>
    <w:rsid w:val="008849A2"/>
    <w:rsid w:val="00884E7C"/>
    <w:rsid w:val="0088555C"/>
    <w:rsid w:val="00886D67"/>
    <w:rsid w:val="00886E38"/>
    <w:rsid w:val="00886F69"/>
    <w:rsid w:val="00887010"/>
    <w:rsid w:val="0088737B"/>
    <w:rsid w:val="00887496"/>
    <w:rsid w:val="008874B3"/>
    <w:rsid w:val="00887555"/>
    <w:rsid w:val="0088758F"/>
    <w:rsid w:val="0088785B"/>
    <w:rsid w:val="00887B40"/>
    <w:rsid w:val="00890644"/>
    <w:rsid w:val="00890DEE"/>
    <w:rsid w:val="00890DF3"/>
    <w:rsid w:val="00891466"/>
    <w:rsid w:val="0089279D"/>
    <w:rsid w:val="00893254"/>
    <w:rsid w:val="00893855"/>
    <w:rsid w:val="008946A1"/>
    <w:rsid w:val="00894C81"/>
    <w:rsid w:val="0089542F"/>
    <w:rsid w:val="00895500"/>
    <w:rsid w:val="00895917"/>
    <w:rsid w:val="008970E7"/>
    <w:rsid w:val="0089796F"/>
    <w:rsid w:val="008A0702"/>
    <w:rsid w:val="008A09F1"/>
    <w:rsid w:val="008A0B52"/>
    <w:rsid w:val="008A119F"/>
    <w:rsid w:val="008A2005"/>
    <w:rsid w:val="008A261E"/>
    <w:rsid w:val="008A30BC"/>
    <w:rsid w:val="008A34AD"/>
    <w:rsid w:val="008A3656"/>
    <w:rsid w:val="008A414F"/>
    <w:rsid w:val="008A525C"/>
    <w:rsid w:val="008A5A89"/>
    <w:rsid w:val="008A6580"/>
    <w:rsid w:val="008A6A7B"/>
    <w:rsid w:val="008A7BAA"/>
    <w:rsid w:val="008B3058"/>
    <w:rsid w:val="008B351C"/>
    <w:rsid w:val="008B378D"/>
    <w:rsid w:val="008B3922"/>
    <w:rsid w:val="008B3C0F"/>
    <w:rsid w:val="008B556D"/>
    <w:rsid w:val="008B5D06"/>
    <w:rsid w:val="008B6206"/>
    <w:rsid w:val="008B6BFF"/>
    <w:rsid w:val="008B7341"/>
    <w:rsid w:val="008C0916"/>
    <w:rsid w:val="008C0ABC"/>
    <w:rsid w:val="008C1135"/>
    <w:rsid w:val="008C115F"/>
    <w:rsid w:val="008C1515"/>
    <w:rsid w:val="008C3A1C"/>
    <w:rsid w:val="008C45CB"/>
    <w:rsid w:val="008C4E39"/>
    <w:rsid w:val="008C5AE1"/>
    <w:rsid w:val="008C5B53"/>
    <w:rsid w:val="008C5DD0"/>
    <w:rsid w:val="008C6E8E"/>
    <w:rsid w:val="008D1FC2"/>
    <w:rsid w:val="008D3CE3"/>
    <w:rsid w:val="008D47E7"/>
    <w:rsid w:val="008D481E"/>
    <w:rsid w:val="008D521E"/>
    <w:rsid w:val="008D5225"/>
    <w:rsid w:val="008D6D98"/>
    <w:rsid w:val="008E005D"/>
    <w:rsid w:val="008E0BD0"/>
    <w:rsid w:val="008E1B21"/>
    <w:rsid w:val="008E22AD"/>
    <w:rsid w:val="008E245C"/>
    <w:rsid w:val="008E2732"/>
    <w:rsid w:val="008E298A"/>
    <w:rsid w:val="008E2EB5"/>
    <w:rsid w:val="008E3952"/>
    <w:rsid w:val="008E3CB5"/>
    <w:rsid w:val="008E4204"/>
    <w:rsid w:val="008E4873"/>
    <w:rsid w:val="008E4A6E"/>
    <w:rsid w:val="008E5613"/>
    <w:rsid w:val="008E58D4"/>
    <w:rsid w:val="008E5AB5"/>
    <w:rsid w:val="008E6DBA"/>
    <w:rsid w:val="008E7082"/>
    <w:rsid w:val="008F0777"/>
    <w:rsid w:val="008F0A41"/>
    <w:rsid w:val="008F0F76"/>
    <w:rsid w:val="008F115F"/>
    <w:rsid w:val="008F3E9F"/>
    <w:rsid w:val="008F55AB"/>
    <w:rsid w:val="008F600F"/>
    <w:rsid w:val="008F6190"/>
    <w:rsid w:val="008F634D"/>
    <w:rsid w:val="008F6A56"/>
    <w:rsid w:val="00901560"/>
    <w:rsid w:val="00901D6C"/>
    <w:rsid w:val="00901EE5"/>
    <w:rsid w:val="009027D4"/>
    <w:rsid w:val="00902C0C"/>
    <w:rsid w:val="00903E57"/>
    <w:rsid w:val="0090472F"/>
    <w:rsid w:val="009054D8"/>
    <w:rsid w:val="009062E4"/>
    <w:rsid w:val="00906434"/>
    <w:rsid w:val="0090647A"/>
    <w:rsid w:val="0090669C"/>
    <w:rsid w:val="009067A8"/>
    <w:rsid w:val="009071FC"/>
    <w:rsid w:val="009113AC"/>
    <w:rsid w:val="0091153A"/>
    <w:rsid w:val="00911A43"/>
    <w:rsid w:val="00911E27"/>
    <w:rsid w:val="009121E7"/>
    <w:rsid w:val="009127D5"/>
    <w:rsid w:val="009134DE"/>
    <w:rsid w:val="00913BA9"/>
    <w:rsid w:val="00916B0F"/>
    <w:rsid w:val="00917931"/>
    <w:rsid w:val="0092230A"/>
    <w:rsid w:val="009229CC"/>
    <w:rsid w:val="00922B2D"/>
    <w:rsid w:val="00923072"/>
    <w:rsid w:val="00923681"/>
    <w:rsid w:val="0092524B"/>
    <w:rsid w:val="009254A7"/>
    <w:rsid w:val="00925694"/>
    <w:rsid w:val="009259FE"/>
    <w:rsid w:val="0092633E"/>
    <w:rsid w:val="00926417"/>
    <w:rsid w:val="00926A36"/>
    <w:rsid w:val="00926AAD"/>
    <w:rsid w:val="009303FD"/>
    <w:rsid w:val="0093117B"/>
    <w:rsid w:val="00931420"/>
    <w:rsid w:val="0093147B"/>
    <w:rsid w:val="00931E51"/>
    <w:rsid w:val="009321CE"/>
    <w:rsid w:val="009327F9"/>
    <w:rsid w:val="0093291B"/>
    <w:rsid w:val="0093444D"/>
    <w:rsid w:val="00934BE8"/>
    <w:rsid w:val="00936009"/>
    <w:rsid w:val="0093632F"/>
    <w:rsid w:val="00936527"/>
    <w:rsid w:val="0093685B"/>
    <w:rsid w:val="00936997"/>
    <w:rsid w:val="00936F38"/>
    <w:rsid w:val="00937238"/>
    <w:rsid w:val="009377F0"/>
    <w:rsid w:val="00937B17"/>
    <w:rsid w:val="00941A21"/>
    <w:rsid w:val="00941D79"/>
    <w:rsid w:val="009421DC"/>
    <w:rsid w:val="00943993"/>
    <w:rsid w:val="00943A63"/>
    <w:rsid w:val="00943F7A"/>
    <w:rsid w:val="0094448C"/>
    <w:rsid w:val="00944A84"/>
    <w:rsid w:val="009452F8"/>
    <w:rsid w:val="009455D6"/>
    <w:rsid w:val="009462EE"/>
    <w:rsid w:val="00946703"/>
    <w:rsid w:val="00946C36"/>
    <w:rsid w:val="00947B77"/>
    <w:rsid w:val="00947E61"/>
    <w:rsid w:val="0095182C"/>
    <w:rsid w:val="00951F5B"/>
    <w:rsid w:val="009528C8"/>
    <w:rsid w:val="00952B88"/>
    <w:rsid w:val="00954CB5"/>
    <w:rsid w:val="00955A9B"/>
    <w:rsid w:val="00955CB2"/>
    <w:rsid w:val="009579FC"/>
    <w:rsid w:val="0096038F"/>
    <w:rsid w:val="00960C4C"/>
    <w:rsid w:val="00961ABE"/>
    <w:rsid w:val="009621E2"/>
    <w:rsid w:val="00962570"/>
    <w:rsid w:val="009630C3"/>
    <w:rsid w:val="0096492F"/>
    <w:rsid w:val="00964E50"/>
    <w:rsid w:val="009655ED"/>
    <w:rsid w:val="00966553"/>
    <w:rsid w:val="009702D6"/>
    <w:rsid w:val="0097074D"/>
    <w:rsid w:val="00972A76"/>
    <w:rsid w:val="00974484"/>
    <w:rsid w:val="009748BA"/>
    <w:rsid w:val="009756E5"/>
    <w:rsid w:val="00976440"/>
    <w:rsid w:val="00976E80"/>
    <w:rsid w:val="00976F44"/>
    <w:rsid w:val="00977D81"/>
    <w:rsid w:val="009800A3"/>
    <w:rsid w:val="00980717"/>
    <w:rsid w:val="00980E31"/>
    <w:rsid w:val="00981812"/>
    <w:rsid w:val="00981E91"/>
    <w:rsid w:val="00982117"/>
    <w:rsid w:val="00982606"/>
    <w:rsid w:val="00982E81"/>
    <w:rsid w:val="00982FF4"/>
    <w:rsid w:val="00983393"/>
    <w:rsid w:val="009838B3"/>
    <w:rsid w:val="009847E8"/>
    <w:rsid w:val="00984AD5"/>
    <w:rsid w:val="00985928"/>
    <w:rsid w:val="00985AE7"/>
    <w:rsid w:val="00985B91"/>
    <w:rsid w:val="0098744E"/>
    <w:rsid w:val="009879EA"/>
    <w:rsid w:val="00990206"/>
    <w:rsid w:val="00990DDA"/>
    <w:rsid w:val="00991985"/>
    <w:rsid w:val="0099325B"/>
    <w:rsid w:val="00993DF3"/>
    <w:rsid w:val="00994173"/>
    <w:rsid w:val="00995B59"/>
    <w:rsid w:val="00996DDB"/>
    <w:rsid w:val="00997767"/>
    <w:rsid w:val="00997B6D"/>
    <w:rsid w:val="009A0F5B"/>
    <w:rsid w:val="009A230D"/>
    <w:rsid w:val="009A3E9D"/>
    <w:rsid w:val="009A43E8"/>
    <w:rsid w:val="009A4AF9"/>
    <w:rsid w:val="009A592C"/>
    <w:rsid w:val="009A5FF6"/>
    <w:rsid w:val="009A62D1"/>
    <w:rsid w:val="009A6712"/>
    <w:rsid w:val="009A7055"/>
    <w:rsid w:val="009A77E5"/>
    <w:rsid w:val="009B030D"/>
    <w:rsid w:val="009B0A97"/>
    <w:rsid w:val="009B118E"/>
    <w:rsid w:val="009B11B3"/>
    <w:rsid w:val="009B305D"/>
    <w:rsid w:val="009B3376"/>
    <w:rsid w:val="009B3B6D"/>
    <w:rsid w:val="009B4134"/>
    <w:rsid w:val="009B4612"/>
    <w:rsid w:val="009B4742"/>
    <w:rsid w:val="009B5134"/>
    <w:rsid w:val="009B5B61"/>
    <w:rsid w:val="009B70E9"/>
    <w:rsid w:val="009C0859"/>
    <w:rsid w:val="009C196F"/>
    <w:rsid w:val="009C1B79"/>
    <w:rsid w:val="009C271B"/>
    <w:rsid w:val="009C28F6"/>
    <w:rsid w:val="009C44B2"/>
    <w:rsid w:val="009C5179"/>
    <w:rsid w:val="009C56E7"/>
    <w:rsid w:val="009C57F9"/>
    <w:rsid w:val="009C588B"/>
    <w:rsid w:val="009C5A18"/>
    <w:rsid w:val="009C6261"/>
    <w:rsid w:val="009C62F5"/>
    <w:rsid w:val="009C682A"/>
    <w:rsid w:val="009C6AD5"/>
    <w:rsid w:val="009C7212"/>
    <w:rsid w:val="009C7E4F"/>
    <w:rsid w:val="009D3309"/>
    <w:rsid w:val="009D45AB"/>
    <w:rsid w:val="009D4B35"/>
    <w:rsid w:val="009D56B3"/>
    <w:rsid w:val="009D687A"/>
    <w:rsid w:val="009D6B17"/>
    <w:rsid w:val="009D704E"/>
    <w:rsid w:val="009D76A4"/>
    <w:rsid w:val="009D7997"/>
    <w:rsid w:val="009D7B6A"/>
    <w:rsid w:val="009D7D13"/>
    <w:rsid w:val="009E05C7"/>
    <w:rsid w:val="009E1209"/>
    <w:rsid w:val="009E19D5"/>
    <w:rsid w:val="009E240E"/>
    <w:rsid w:val="009E277E"/>
    <w:rsid w:val="009E2E80"/>
    <w:rsid w:val="009E327D"/>
    <w:rsid w:val="009E3A63"/>
    <w:rsid w:val="009E42C9"/>
    <w:rsid w:val="009E499C"/>
    <w:rsid w:val="009E4E93"/>
    <w:rsid w:val="009E545D"/>
    <w:rsid w:val="009E5E4F"/>
    <w:rsid w:val="009E6F1E"/>
    <w:rsid w:val="009E73B5"/>
    <w:rsid w:val="009E7559"/>
    <w:rsid w:val="009F06BB"/>
    <w:rsid w:val="009F0CF2"/>
    <w:rsid w:val="009F2014"/>
    <w:rsid w:val="009F2A39"/>
    <w:rsid w:val="009F3AAE"/>
    <w:rsid w:val="009F3ABA"/>
    <w:rsid w:val="009F49E7"/>
    <w:rsid w:val="009F503F"/>
    <w:rsid w:val="009F667E"/>
    <w:rsid w:val="009F6971"/>
    <w:rsid w:val="00A01078"/>
    <w:rsid w:val="00A0152E"/>
    <w:rsid w:val="00A01C47"/>
    <w:rsid w:val="00A01C84"/>
    <w:rsid w:val="00A01EB9"/>
    <w:rsid w:val="00A02B09"/>
    <w:rsid w:val="00A03D81"/>
    <w:rsid w:val="00A040C6"/>
    <w:rsid w:val="00A04882"/>
    <w:rsid w:val="00A04D86"/>
    <w:rsid w:val="00A0606D"/>
    <w:rsid w:val="00A06BD2"/>
    <w:rsid w:val="00A07EF2"/>
    <w:rsid w:val="00A1080B"/>
    <w:rsid w:val="00A10FBF"/>
    <w:rsid w:val="00A11D90"/>
    <w:rsid w:val="00A12574"/>
    <w:rsid w:val="00A140CF"/>
    <w:rsid w:val="00A1640A"/>
    <w:rsid w:val="00A20155"/>
    <w:rsid w:val="00A201BE"/>
    <w:rsid w:val="00A20720"/>
    <w:rsid w:val="00A20B8E"/>
    <w:rsid w:val="00A21D0E"/>
    <w:rsid w:val="00A23052"/>
    <w:rsid w:val="00A231EE"/>
    <w:rsid w:val="00A23876"/>
    <w:rsid w:val="00A23A2F"/>
    <w:rsid w:val="00A23C64"/>
    <w:rsid w:val="00A244B0"/>
    <w:rsid w:val="00A247F2"/>
    <w:rsid w:val="00A27292"/>
    <w:rsid w:val="00A31221"/>
    <w:rsid w:val="00A312C4"/>
    <w:rsid w:val="00A32E6B"/>
    <w:rsid w:val="00A340FE"/>
    <w:rsid w:val="00A3443F"/>
    <w:rsid w:val="00A346EC"/>
    <w:rsid w:val="00A34CAC"/>
    <w:rsid w:val="00A364D6"/>
    <w:rsid w:val="00A3690D"/>
    <w:rsid w:val="00A36A35"/>
    <w:rsid w:val="00A36A55"/>
    <w:rsid w:val="00A36DCD"/>
    <w:rsid w:val="00A4005D"/>
    <w:rsid w:val="00A40622"/>
    <w:rsid w:val="00A42ED4"/>
    <w:rsid w:val="00A456C5"/>
    <w:rsid w:val="00A45B77"/>
    <w:rsid w:val="00A45BEB"/>
    <w:rsid w:val="00A467F5"/>
    <w:rsid w:val="00A46992"/>
    <w:rsid w:val="00A50100"/>
    <w:rsid w:val="00A503FA"/>
    <w:rsid w:val="00A50BCC"/>
    <w:rsid w:val="00A51E82"/>
    <w:rsid w:val="00A5248E"/>
    <w:rsid w:val="00A539A4"/>
    <w:rsid w:val="00A55525"/>
    <w:rsid w:val="00A56E83"/>
    <w:rsid w:val="00A57131"/>
    <w:rsid w:val="00A57CB5"/>
    <w:rsid w:val="00A57F4A"/>
    <w:rsid w:val="00A6040B"/>
    <w:rsid w:val="00A61769"/>
    <w:rsid w:val="00A632F5"/>
    <w:rsid w:val="00A6346E"/>
    <w:rsid w:val="00A63538"/>
    <w:rsid w:val="00A653E6"/>
    <w:rsid w:val="00A6611E"/>
    <w:rsid w:val="00A67063"/>
    <w:rsid w:val="00A675FF"/>
    <w:rsid w:val="00A67C4E"/>
    <w:rsid w:val="00A67F44"/>
    <w:rsid w:val="00A700E9"/>
    <w:rsid w:val="00A71CCC"/>
    <w:rsid w:val="00A7268A"/>
    <w:rsid w:val="00A72AD1"/>
    <w:rsid w:val="00A72B58"/>
    <w:rsid w:val="00A73D29"/>
    <w:rsid w:val="00A74685"/>
    <w:rsid w:val="00A751E1"/>
    <w:rsid w:val="00A753D2"/>
    <w:rsid w:val="00A755C6"/>
    <w:rsid w:val="00A75C27"/>
    <w:rsid w:val="00A7629C"/>
    <w:rsid w:val="00A7686D"/>
    <w:rsid w:val="00A76C04"/>
    <w:rsid w:val="00A775AF"/>
    <w:rsid w:val="00A802DF"/>
    <w:rsid w:val="00A82E0E"/>
    <w:rsid w:val="00A834BE"/>
    <w:rsid w:val="00A8351E"/>
    <w:rsid w:val="00A85454"/>
    <w:rsid w:val="00A877B3"/>
    <w:rsid w:val="00A90088"/>
    <w:rsid w:val="00A90598"/>
    <w:rsid w:val="00A91211"/>
    <w:rsid w:val="00A91BA9"/>
    <w:rsid w:val="00A929B8"/>
    <w:rsid w:val="00A92FFA"/>
    <w:rsid w:val="00A94627"/>
    <w:rsid w:val="00A946A2"/>
    <w:rsid w:val="00A9531F"/>
    <w:rsid w:val="00A956A9"/>
    <w:rsid w:val="00A95941"/>
    <w:rsid w:val="00A96164"/>
    <w:rsid w:val="00A969E0"/>
    <w:rsid w:val="00A96BD3"/>
    <w:rsid w:val="00AA003F"/>
    <w:rsid w:val="00AA0F15"/>
    <w:rsid w:val="00AA22AC"/>
    <w:rsid w:val="00AA52D3"/>
    <w:rsid w:val="00AA533D"/>
    <w:rsid w:val="00AA55C3"/>
    <w:rsid w:val="00AA60A2"/>
    <w:rsid w:val="00AA65F4"/>
    <w:rsid w:val="00AA68D6"/>
    <w:rsid w:val="00AB0A10"/>
    <w:rsid w:val="00AB19BC"/>
    <w:rsid w:val="00AB1E7A"/>
    <w:rsid w:val="00AB2630"/>
    <w:rsid w:val="00AB2D8E"/>
    <w:rsid w:val="00AB2F7C"/>
    <w:rsid w:val="00AB35BD"/>
    <w:rsid w:val="00AB3A8A"/>
    <w:rsid w:val="00AB3D26"/>
    <w:rsid w:val="00AB5D54"/>
    <w:rsid w:val="00AB5F46"/>
    <w:rsid w:val="00AB6591"/>
    <w:rsid w:val="00AB6833"/>
    <w:rsid w:val="00AB70A2"/>
    <w:rsid w:val="00AB730E"/>
    <w:rsid w:val="00AB7915"/>
    <w:rsid w:val="00AB7E5E"/>
    <w:rsid w:val="00AC0676"/>
    <w:rsid w:val="00AC2A68"/>
    <w:rsid w:val="00AC3433"/>
    <w:rsid w:val="00AC544A"/>
    <w:rsid w:val="00AC5887"/>
    <w:rsid w:val="00AC5EE0"/>
    <w:rsid w:val="00AC61AB"/>
    <w:rsid w:val="00AC676F"/>
    <w:rsid w:val="00AC6E7D"/>
    <w:rsid w:val="00AC6EB0"/>
    <w:rsid w:val="00AC73ED"/>
    <w:rsid w:val="00AD0599"/>
    <w:rsid w:val="00AD071F"/>
    <w:rsid w:val="00AD16DB"/>
    <w:rsid w:val="00AD2EC4"/>
    <w:rsid w:val="00AD57FB"/>
    <w:rsid w:val="00AD6214"/>
    <w:rsid w:val="00AD6F72"/>
    <w:rsid w:val="00AE03C9"/>
    <w:rsid w:val="00AE1B5C"/>
    <w:rsid w:val="00AE2AD7"/>
    <w:rsid w:val="00AE3651"/>
    <w:rsid w:val="00AE3700"/>
    <w:rsid w:val="00AE3C73"/>
    <w:rsid w:val="00AE41AD"/>
    <w:rsid w:val="00AE4239"/>
    <w:rsid w:val="00AE424A"/>
    <w:rsid w:val="00AE4498"/>
    <w:rsid w:val="00AE4787"/>
    <w:rsid w:val="00AE54E0"/>
    <w:rsid w:val="00AE551B"/>
    <w:rsid w:val="00AE61E2"/>
    <w:rsid w:val="00AE6B99"/>
    <w:rsid w:val="00AE6C19"/>
    <w:rsid w:val="00AE6D22"/>
    <w:rsid w:val="00AE6F8A"/>
    <w:rsid w:val="00AE6FDE"/>
    <w:rsid w:val="00AF0F41"/>
    <w:rsid w:val="00AF1635"/>
    <w:rsid w:val="00AF1BEF"/>
    <w:rsid w:val="00AF26CD"/>
    <w:rsid w:val="00AF29D8"/>
    <w:rsid w:val="00AF3602"/>
    <w:rsid w:val="00AF3C02"/>
    <w:rsid w:val="00AF4C30"/>
    <w:rsid w:val="00AF4EDA"/>
    <w:rsid w:val="00AF56B1"/>
    <w:rsid w:val="00AF5B7C"/>
    <w:rsid w:val="00AF5E0A"/>
    <w:rsid w:val="00AF66DA"/>
    <w:rsid w:val="00AF6824"/>
    <w:rsid w:val="00AF6CE2"/>
    <w:rsid w:val="00AF6EDE"/>
    <w:rsid w:val="00AF702B"/>
    <w:rsid w:val="00B00802"/>
    <w:rsid w:val="00B00968"/>
    <w:rsid w:val="00B01A99"/>
    <w:rsid w:val="00B01DFC"/>
    <w:rsid w:val="00B0218C"/>
    <w:rsid w:val="00B02203"/>
    <w:rsid w:val="00B0276A"/>
    <w:rsid w:val="00B0285A"/>
    <w:rsid w:val="00B03191"/>
    <w:rsid w:val="00B0336C"/>
    <w:rsid w:val="00B03630"/>
    <w:rsid w:val="00B04445"/>
    <w:rsid w:val="00B04BE4"/>
    <w:rsid w:val="00B06552"/>
    <w:rsid w:val="00B06EC7"/>
    <w:rsid w:val="00B07947"/>
    <w:rsid w:val="00B1061F"/>
    <w:rsid w:val="00B11439"/>
    <w:rsid w:val="00B12288"/>
    <w:rsid w:val="00B125F0"/>
    <w:rsid w:val="00B12F03"/>
    <w:rsid w:val="00B1364B"/>
    <w:rsid w:val="00B13D15"/>
    <w:rsid w:val="00B15B48"/>
    <w:rsid w:val="00B16A63"/>
    <w:rsid w:val="00B16F38"/>
    <w:rsid w:val="00B17320"/>
    <w:rsid w:val="00B17546"/>
    <w:rsid w:val="00B176B8"/>
    <w:rsid w:val="00B1792D"/>
    <w:rsid w:val="00B17CAA"/>
    <w:rsid w:val="00B200A8"/>
    <w:rsid w:val="00B20ABE"/>
    <w:rsid w:val="00B20E84"/>
    <w:rsid w:val="00B21246"/>
    <w:rsid w:val="00B22BF9"/>
    <w:rsid w:val="00B22E58"/>
    <w:rsid w:val="00B230CA"/>
    <w:rsid w:val="00B2344F"/>
    <w:rsid w:val="00B235A5"/>
    <w:rsid w:val="00B23EEE"/>
    <w:rsid w:val="00B242A1"/>
    <w:rsid w:val="00B249B9"/>
    <w:rsid w:val="00B24D34"/>
    <w:rsid w:val="00B25877"/>
    <w:rsid w:val="00B265ED"/>
    <w:rsid w:val="00B278F2"/>
    <w:rsid w:val="00B31112"/>
    <w:rsid w:val="00B31EEC"/>
    <w:rsid w:val="00B3283B"/>
    <w:rsid w:val="00B3428E"/>
    <w:rsid w:val="00B34662"/>
    <w:rsid w:val="00B35B3B"/>
    <w:rsid w:val="00B361A5"/>
    <w:rsid w:val="00B36519"/>
    <w:rsid w:val="00B36A8A"/>
    <w:rsid w:val="00B3753D"/>
    <w:rsid w:val="00B401AA"/>
    <w:rsid w:val="00B40DCC"/>
    <w:rsid w:val="00B40F1B"/>
    <w:rsid w:val="00B4103C"/>
    <w:rsid w:val="00B41118"/>
    <w:rsid w:val="00B41FAC"/>
    <w:rsid w:val="00B421E7"/>
    <w:rsid w:val="00B42CA5"/>
    <w:rsid w:val="00B43970"/>
    <w:rsid w:val="00B45162"/>
    <w:rsid w:val="00B45FAB"/>
    <w:rsid w:val="00B45FCD"/>
    <w:rsid w:val="00B473CC"/>
    <w:rsid w:val="00B47684"/>
    <w:rsid w:val="00B512B5"/>
    <w:rsid w:val="00B51D7A"/>
    <w:rsid w:val="00B52C0E"/>
    <w:rsid w:val="00B5331C"/>
    <w:rsid w:val="00B540D4"/>
    <w:rsid w:val="00B54170"/>
    <w:rsid w:val="00B54622"/>
    <w:rsid w:val="00B549B6"/>
    <w:rsid w:val="00B54E5C"/>
    <w:rsid w:val="00B55C0B"/>
    <w:rsid w:val="00B572C8"/>
    <w:rsid w:val="00B61812"/>
    <w:rsid w:val="00B626C8"/>
    <w:rsid w:val="00B62F06"/>
    <w:rsid w:val="00B632EF"/>
    <w:rsid w:val="00B64085"/>
    <w:rsid w:val="00B659BB"/>
    <w:rsid w:val="00B65C49"/>
    <w:rsid w:val="00B6674C"/>
    <w:rsid w:val="00B66B8C"/>
    <w:rsid w:val="00B66EA7"/>
    <w:rsid w:val="00B67084"/>
    <w:rsid w:val="00B70838"/>
    <w:rsid w:val="00B71B36"/>
    <w:rsid w:val="00B72BAE"/>
    <w:rsid w:val="00B72BF2"/>
    <w:rsid w:val="00B72DCA"/>
    <w:rsid w:val="00B73DEE"/>
    <w:rsid w:val="00B74300"/>
    <w:rsid w:val="00B746AB"/>
    <w:rsid w:val="00B74714"/>
    <w:rsid w:val="00B74C9B"/>
    <w:rsid w:val="00B74FF2"/>
    <w:rsid w:val="00B75052"/>
    <w:rsid w:val="00B759B6"/>
    <w:rsid w:val="00B75FAE"/>
    <w:rsid w:val="00B76BEC"/>
    <w:rsid w:val="00B77412"/>
    <w:rsid w:val="00B80544"/>
    <w:rsid w:val="00B80863"/>
    <w:rsid w:val="00B80C36"/>
    <w:rsid w:val="00B81328"/>
    <w:rsid w:val="00B82C43"/>
    <w:rsid w:val="00B82C7E"/>
    <w:rsid w:val="00B82CFE"/>
    <w:rsid w:val="00B83AE6"/>
    <w:rsid w:val="00B8439A"/>
    <w:rsid w:val="00B867F4"/>
    <w:rsid w:val="00B8749B"/>
    <w:rsid w:val="00B9011B"/>
    <w:rsid w:val="00B9029C"/>
    <w:rsid w:val="00B903EE"/>
    <w:rsid w:val="00B90A91"/>
    <w:rsid w:val="00B91B2F"/>
    <w:rsid w:val="00B91D6E"/>
    <w:rsid w:val="00B921C6"/>
    <w:rsid w:val="00B922C7"/>
    <w:rsid w:val="00B92749"/>
    <w:rsid w:val="00B933CA"/>
    <w:rsid w:val="00B934FF"/>
    <w:rsid w:val="00B9371E"/>
    <w:rsid w:val="00B93A20"/>
    <w:rsid w:val="00B93FB0"/>
    <w:rsid w:val="00B94132"/>
    <w:rsid w:val="00B9456A"/>
    <w:rsid w:val="00B94C7F"/>
    <w:rsid w:val="00B95697"/>
    <w:rsid w:val="00B960C0"/>
    <w:rsid w:val="00B96AA2"/>
    <w:rsid w:val="00B96CE8"/>
    <w:rsid w:val="00B97B42"/>
    <w:rsid w:val="00B97FED"/>
    <w:rsid w:val="00BA0320"/>
    <w:rsid w:val="00BA0382"/>
    <w:rsid w:val="00BA21AD"/>
    <w:rsid w:val="00BA2575"/>
    <w:rsid w:val="00BA309C"/>
    <w:rsid w:val="00BA4B33"/>
    <w:rsid w:val="00BA64B7"/>
    <w:rsid w:val="00BA6C30"/>
    <w:rsid w:val="00BA7D54"/>
    <w:rsid w:val="00BB0321"/>
    <w:rsid w:val="00BB0B0C"/>
    <w:rsid w:val="00BB14B4"/>
    <w:rsid w:val="00BB3AE9"/>
    <w:rsid w:val="00BB4C93"/>
    <w:rsid w:val="00BB5483"/>
    <w:rsid w:val="00BB578B"/>
    <w:rsid w:val="00BB6D5A"/>
    <w:rsid w:val="00BB779E"/>
    <w:rsid w:val="00BB7B4A"/>
    <w:rsid w:val="00BC0744"/>
    <w:rsid w:val="00BC15C0"/>
    <w:rsid w:val="00BC171F"/>
    <w:rsid w:val="00BC1D1C"/>
    <w:rsid w:val="00BC1E79"/>
    <w:rsid w:val="00BC3E47"/>
    <w:rsid w:val="00BC40AB"/>
    <w:rsid w:val="00BC4323"/>
    <w:rsid w:val="00BC466B"/>
    <w:rsid w:val="00BC59E8"/>
    <w:rsid w:val="00BC5F58"/>
    <w:rsid w:val="00BC5FC1"/>
    <w:rsid w:val="00BC5FDB"/>
    <w:rsid w:val="00BC6AE3"/>
    <w:rsid w:val="00BC72D4"/>
    <w:rsid w:val="00BD0694"/>
    <w:rsid w:val="00BD0C6C"/>
    <w:rsid w:val="00BD1500"/>
    <w:rsid w:val="00BD18C2"/>
    <w:rsid w:val="00BD1F47"/>
    <w:rsid w:val="00BD272B"/>
    <w:rsid w:val="00BD2ADA"/>
    <w:rsid w:val="00BD3C44"/>
    <w:rsid w:val="00BD3DE2"/>
    <w:rsid w:val="00BD403B"/>
    <w:rsid w:val="00BD4139"/>
    <w:rsid w:val="00BD4D19"/>
    <w:rsid w:val="00BD4FCD"/>
    <w:rsid w:val="00BD55B3"/>
    <w:rsid w:val="00BD55C3"/>
    <w:rsid w:val="00BD677F"/>
    <w:rsid w:val="00BD766A"/>
    <w:rsid w:val="00BD7FF5"/>
    <w:rsid w:val="00BE03D7"/>
    <w:rsid w:val="00BE0655"/>
    <w:rsid w:val="00BE0697"/>
    <w:rsid w:val="00BE09D3"/>
    <w:rsid w:val="00BE0EEA"/>
    <w:rsid w:val="00BE0FAA"/>
    <w:rsid w:val="00BE1119"/>
    <w:rsid w:val="00BE15C3"/>
    <w:rsid w:val="00BE286A"/>
    <w:rsid w:val="00BE39B7"/>
    <w:rsid w:val="00BE4867"/>
    <w:rsid w:val="00BE5274"/>
    <w:rsid w:val="00BE6C92"/>
    <w:rsid w:val="00BE6C96"/>
    <w:rsid w:val="00BE6DBF"/>
    <w:rsid w:val="00BE6EFF"/>
    <w:rsid w:val="00BF09FF"/>
    <w:rsid w:val="00BF1C59"/>
    <w:rsid w:val="00BF1F16"/>
    <w:rsid w:val="00BF22C1"/>
    <w:rsid w:val="00BF29AB"/>
    <w:rsid w:val="00BF3FCC"/>
    <w:rsid w:val="00BF466D"/>
    <w:rsid w:val="00BF4CAE"/>
    <w:rsid w:val="00BF5D38"/>
    <w:rsid w:val="00BF7EE7"/>
    <w:rsid w:val="00C01066"/>
    <w:rsid w:val="00C01B98"/>
    <w:rsid w:val="00C026D3"/>
    <w:rsid w:val="00C0274D"/>
    <w:rsid w:val="00C02CF7"/>
    <w:rsid w:val="00C03292"/>
    <w:rsid w:val="00C03643"/>
    <w:rsid w:val="00C03D56"/>
    <w:rsid w:val="00C048DA"/>
    <w:rsid w:val="00C049B6"/>
    <w:rsid w:val="00C04CDF"/>
    <w:rsid w:val="00C05D5A"/>
    <w:rsid w:val="00C06104"/>
    <w:rsid w:val="00C0642C"/>
    <w:rsid w:val="00C078F8"/>
    <w:rsid w:val="00C07B93"/>
    <w:rsid w:val="00C10186"/>
    <w:rsid w:val="00C10DF1"/>
    <w:rsid w:val="00C12FA1"/>
    <w:rsid w:val="00C131EC"/>
    <w:rsid w:val="00C139CF"/>
    <w:rsid w:val="00C14F1E"/>
    <w:rsid w:val="00C1539C"/>
    <w:rsid w:val="00C16576"/>
    <w:rsid w:val="00C165EA"/>
    <w:rsid w:val="00C16D34"/>
    <w:rsid w:val="00C17081"/>
    <w:rsid w:val="00C177F1"/>
    <w:rsid w:val="00C17BF0"/>
    <w:rsid w:val="00C2034F"/>
    <w:rsid w:val="00C21FC2"/>
    <w:rsid w:val="00C23B41"/>
    <w:rsid w:val="00C24C1D"/>
    <w:rsid w:val="00C25738"/>
    <w:rsid w:val="00C257E3"/>
    <w:rsid w:val="00C25974"/>
    <w:rsid w:val="00C25A07"/>
    <w:rsid w:val="00C26C63"/>
    <w:rsid w:val="00C2751C"/>
    <w:rsid w:val="00C30B97"/>
    <w:rsid w:val="00C31981"/>
    <w:rsid w:val="00C31F16"/>
    <w:rsid w:val="00C33A80"/>
    <w:rsid w:val="00C34684"/>
    <w:rsid w:val="00C3510D"/>
    <w:rsid w:val="00C35702"/>
    <w:rsid w:val="00C3593E"/>
    <w:rsid w:val="00C360B6"/>
    <w:rsid w:val="00C364AB"/>
    <w:rsid w:val="00C37636"/>
    <w:rsid w:val="00C37C1B"/>
    <w:rsid w:val="00C37D63"/>
    <w:rsid w:val="00C40F84"/>
    <w:rsid w:val="00C41084"/>
    <w:rsid w:val="00C425D2"/>
    <w:rsid w:val="00C42729"/>
    <w:rsid w:val="00C428D2"/>
    <w:rsid w:val="00C43069"/>
    <w:rsid w:val="00C43AD6"/>
    <w:rsid w:val="00C44618"/>
    <w:rsid w:val="00C45319"/>
    <w:rsid w:val="00C45747"/>
    <w:rsid w:val="00C46533"/>
    <w:rsid w:val="00C467D2"/>
    <w:rsid w:val="00C501B8"/>
    <w:rsid w:val="00C50623"/>
    <w:rsid w:val="00C521D8"/>
    <w:rsid w:val="00C52D87"/>
    <w:rsid w:val="00C52DBF"/>
    <w:rsid w:val="00C5399C"/>
    <w:rsid w:val="00C53E75"/>
    <w:rsid w:val="00C549EC"/>
    <w:rsid w:val="00C54EC0"/>
    <w:rsid w:val="00C55434"/>
    <w:rsid w:val="00C55B5C"/>
    <w:rsid w:val="00C55D2C"/>
    <w:rsid w:val="00C56738"/>
    <w:rsid w:val="00C56961"/>
    <w:rsid w:val="00C56F02"/>
    <w:rsid w:val="00C57B44"/>
    <w:rsid w:val="00C60170"/>
    <w:rsid w:val="00C6056C"/>
    <w:rsid w:val="00C60A98"/>
    <w:rsid w:val="00C61852"/>
    <w:rsid w:val="00C61B08"/>
    <w:rsid w:val="00C627BA"/>
    <w:rsid w:val="00C63073"/>
    <w:rsid w:val="00C63BD9"/>
    <w:rsid w:val="00C66398"/>
    <w:rsid w:val="00C6660D"/>
    <w:rsid w:val="00C66671"/>
    <w:rsid w:val="00C66F39"/>
    <w:rsid w:val="00C7117F"/>
    <w:rsid w:val="00C71781"/>
    <w:rsid w:val="00C7202F"/>
    <w:rsid w:val="00C73020"/>
    <w:rsid w:val="00C74500"/>
    <w:rsid w:val="00C74BE7"/>
    <w:rsid w:val="00C75574"/>
    <w:rsid w:val="00C75A39"/>
    <w:rsid w:val="00C76AB2"/>
    <w:rsid w:val="00C80BF1"/>
    <w:rsid w:val="00C8283E"/>
    <w:rsid w:val="00C83283"/>
    <w:rsid w:val="00C847D5"/>
    <w:rsid w:val="00C8485B"/>
    <w:rsid w:val="00C849F1"/>
    <w:rsid w:val="00C85FFC"/>
    <w:rsid w:val="00C87460"/>
    <w:rsid w:val="00C9077B"/>
    <w:rsid w:val="00C91962"/>
    <w:rsid w:val="00C91E96"/>
    <w:rsid w:val="00C937FA"/>
    <w:rsid w:val="00C93C52"/>
    <w:rsid w:val="00C9406D"/>
    <w:rsid w:val="00C94813"/>
    <w:rsid w:val="00C9528D"/>
    <w:rsid w:val="00C960C7"/>
    <w:rsid w:val="00C96353"/>
    <w:rsid w:val="00C964D5"/>
    <w:rsid w:val="00C96655"/>
    <w:rsid w:val="00C966EB"/>
    <w:rsid w:val="00C970DC"/>
    <w:rsid w:val="00C972F3"/>
    <w:rsid w:val="00C9738C"/>
    <w:rsid w:val="00CA0C5A"/>
    <w:rsid w:val="00CA0FB1"/>
    <w:rsid w:val="00CA22A3"/>
    <w:rsid w:val="00CA2418"/>
    <w:rsid w:val="00CA28B6"/>
    <w:rsid w:val="00CA3D72"/>
    <w:rsid w:val="00CA4E83"/>
    <w:rsid w:val="00CA527D"/>
    <w:rsid w:val="00CA54E0"/>
    <w:rsid w:val="00CA5B2E"/>
    <w:rsid w:val="00CA5CC6"/>
    <w:rsid w:val="00CA696E"/>
    <w:rsid w:val="00CB125F"/>
    <w:rsid w:val="00CB253F"/>
    <w:rsid w:val="00CB2D98"/>
    <w:rsid w:val="00CB37DA"/>
    <w:rsid w:val="00CB440F"/>
    <w:rsid w:val="00CB49FA"/>
    <w:rsid w:val="00CB5307"/>
    <w:rsid w:val="00CB5D8D"/>
    <w:rsid w:val="00CB5E5E"/>
    <w:rsid w:val="00CB7A6B"/>
    <w:rsid w:val="00CB7A86"/>
    <w:rsid w:val="00CB7E85"/>
    <w:rsid w:val="00CC151F"/>
    <w:rsid w:val="00CC2FFE"/>
    <w:rsid w:val="00CC31F1"/>
    <w:rsid w:val="00CC4468"/>
    <w:rsid w:val="00CC52D2"/>
    <w:rsid w:val="00CC611C"/>
    <w:rsid w:val="00CC794F"/>
    <w:rsid w:val="00CD00FD"/>
    <w:rsid w:val="00CD0933"/>
    <w:rsid w:val="00CD09F7"/>
    <w:rsid w:val="00CD184E"/>
    <w:rsid w:val="00CD1B40"/>
    <w:rsid w:val="00CD1C2E"/>
    <w:rsid w:val="00CD35D7"/>
    <w:rsid w:val="00CD3E17"/>
    <w:rsid w:val="00CD52BB"/>
    <w:rsid w:val="00CD75B0"/>
    <w:rsid w:val="00CD7622"/>
    <w:rsid w:val="00CD782A"/>
    <w:rsid w:val="00CE0EE7"/>
    <w:rsid w:val="00CE1E75"/>
    <w:rsid w:val="00CE3460"/>
    <w:rsid w:val="00CE44FA"/>
    <w:rsid w:val="00CE4968"/>
    <w:rsid w:val="00CE4BAC"/>
    <w:rsid w:val="00CE6036"/>
    <w:rsid w:val="00CE650F"/>
    <w:rsid w:val="00CE6B9C"/>
    <w:rsid w:val="00CE6BC3"/>
    <w:rsid w:val="00CE71AA"/>
    <w:rsid w:val="00CE7438"/>
    <w:rsid w:val="00CE79A3"/>
    <w:rsid w:val="00CE7D31"/>
    <w:rsid w:val="00CF011F"/>
    <w:rsid w:val="00CF0169"/>
    <w:rsid w:val="00CF09DA"/>
    <w:rsid w:val="00CF0C27"/>
    <w:rsid w:val="00CF10FC"/>
    <w:rsid w:val="00CF1E63"/>
    <w:rsid w:val="00CF2166"/>
    <w:rsid w:val="00CF2B6C"/>
    <w:rsid w:val="00CF459A"/>
    <w:rsid w:val="00CF494C"/>
    <w:rsid w:val="00CF4CCD"/>
    <w:rsid w:val="00CF5EAA"/>
    <w:rsid w:val="00CF67EC"/>
    <w:rsid w:val="00CF6841"/>
    <w:rsid w:val="00CF6D0F"/>
    <w:rsid w:val="00CF6E62"/>
    <w:rsid w:val="00CF6F5F"/>
    <w:rsid w:val="00CF7185"/>
    <w:rsid w:val="00CF7879"/>
    <w:rsid w:val="00D003D7"/>
    <w:rsid w:val="00D0061F"/>
    <w:rsid w:val="00D00BDE"/>
    <w:rsid w:val="00D018CC"/>
    <w:rsid w:val="00D03395"/>
    <w:rsid w:val="00D034E9"/>
    <w:rsid w:val="00D04FDE"/>
    <w:rsid w:val="00D0643B"/>
    <w:rsid w:val="00D06F34"/>
    <w:rsid w:val="00D125FC"/>
    <w:rsid w:val="00D12BA4"/>
    <w:rsid w:val="00D12CAF"/>
    <w:rsid w:val="00D1339D"/>
    <w:rsid w:val="00D1399A"/>
    <w:rsid w:val="00D13E2C"/>
    <w:rsid w:val="00D14AE9"/>
    <w:rsid w:val="00D14B36"/>
    <w:rsid w:val="00D150C2"/>
    <w:rsid w:val="00D15621"/>
    <w:rsid w:val="00D15C6C"/>
    <w:rsid w:val="00D164D0"/>
    <w:rsid w:val="00D166FD"/>
    <w:rsid w:val="00D176B6"/>
    <w:rsid w:val="00D2221E"/>
    <w:rsid w:val="00D229C4"/>
    <w:rsid w:val="00D23E62"/>
    <w:rsid w:val="00D25BAC"/>
    <w:rsid w:val="00D260EC"/>
    <w:rsid w:val="00D2614D"/>
    <w:rsid w:val="00D26E49"/>
    <w:rsid w:val="00D31225"/>
    <w:rsid w:val="00D31B90"/>
    <w:rsid w:val="00D31D42"/>
    <w:rsid w:val="00D32600"/>
    <w:rsid w:val="00D33E42"/>
    <w:rsid w:val="00D35797"/>
    <w:rsid w:val="00D35DFB"/>
    <w:rsid w:val="00D36397"/>
    <w:rsid w:val="00D3679D"/>
    <w:rsid w:val="00D36CEE"/>
    <w:rsid w:val="00D36F0D"/>
    <w:rsid w:val="00D37095"/>
    <w:rsid w:val="00D3799C"/>
    <w:rsid w:val="00D405C7"/>
    <w:rsid w:val="00D4202C"/>
    <w:rsid w:val="00D42867"/>
    <w:rsid w:val="00D42955"/>
    <w:rsid w:val="00D429A3"/>
    <w:rsid w:val="00D445D6"/>
    <w:rsid w:val="00D44FCB"/>
    <w:rsid w:val="00D45163"/>
    <w:rsid w:val="00D45505"/>
    <w:rsid w:val="00D45BA1"/>
    <w:rsid w:val="00D45DB5"/>
    <w:rsid w:val="00D469BD"/>
    <w:rsid w:val="00D46DFE"/>
    <w:rsid w:val="00D47852"/>
    <w:rsid w:val="00D5011A"/>
    <w:rsid w:val="00D51A30"/>
    <w:rsid w:val="00D52A96"/>
    <w:rsid w:val="00D534A4"/>
    <w:rsid w:val="00D54E3E"/>
    <w:rsid w:val="00D54E4C"/>
    <w:rsid w:val="00D54E4E"/>
    <w:rsid w:val="00D557F7"/>
    <w:rsid w:val="00D572C4"/>
    <w:rsid w:val="00D6077A"/>
    <w:rsid w:val="00D60D53"/>
    <w:rsid w:val="00D6133A"/>
    <w:rsid w:val="00D61FAD"/>
    <w:rsid w:val="00D62B2B"/>
    <w:rsid w:val="00D62BBB"/>
    <w:rsid w:val="00D6405F"/>
    <w:rsid w:val="00D64366"/>
    <w:rsid w:val="00D64C7B"/>
    <w:rsid w:val="00D65909"/>
    <w:rsid w:val="00D65C72"/>
    <w:rsid w:val="00D666A3"/>
    <w:rsid w:val="00D67184"/>
    <w:rsid w:val="00D67C25"/>
    <w:rsid w:val="00D67F82"/>
    <w:rsid w:val="00D67F97"/>
    <w:rsid w:val="00D70720"/>
    <w:rsid w:val="00D72883"/>
    <w:rsid w:val="00D72ED7"/>
    <w:rsid w:val="00D73689"/>
    <w:rsid w:val="00D73B0D"/>
    <w:rsid w:val="00D74BD7"/>
    <w:rsid w:val="00D74C98"/>
    <w:rsid w:val="00D74D64"/>
    <w:rsid w:val="00D76F66"/>
    <w:rsid w:val="00D77831"/>
    <w:rsid w:val="00D77BE6"/>
    <w:rsid w:val="00D803CE"/>
    <w:rsid w:val="00D8049B"/>
    <w:rsid w:val="00D80BF5"/>
    <w:rsid w:val="00D81ADE"/>
    <w:rsid w:val="00D8327A"/>
    <w:rsid w:val="00D83E3C"/>
    <w:rsid w:val="00D83EBB"/>
    <w:rsid w:val="00D841F7"/>
    <w:rsid w:val="00D848D6"/>
    <w:rsid w:val="00D8518B"/>
    <w:rsid w:val="00D857A1"/>
    <w:rsid w:val="00D85B3E"/>
    <w:rsid w:val="00D85F73"/>
    <w:rsid w:val="00D86102"/>
    <w:rsid w:val="00D86605"/>
    <w:rsid w:val="00D866C9"/>
    <w:rsid w:val="00D86E9A"/>
    <w:rsid w:val="00D87624"/>
    <w:rsid w:val="00D8766A"/>
    <w:rsid w:val="00D8785E"/>
    <w:rsid w:val="00D909C5"/>
    <w:rsid w:val="00D91B79"/>
    <w:rsid w:val="00D94DE9"/>
    <w:rsid w:val="00D9588D"/>
    <w:rsid w:val="00D9591F"/>
    <w:rsid w:val="00D963F4"/>
    <w:rsid w:val="00D97FDB"/>
    <w:rsid w:val="00DA191A"/>
    <w:rsid w:val="00DA1F58"/>
    <w:rsid w:val="00DA2172"/>
    <w:rsid w:val="00DA289F"/>
    <w:rsid w:val="00DA44C5"/>
    <w:rsid w:val="00DA45CE"/>
    <w:rsid w:val="00DA5425"/>
    <w:rsid w:val="00DA54B6"/>
    <w:rsid w:val="00DA6204"/>
    <w:rsid w:val="00DA75EF"/>
    <w:rsid w:val="00DA7885"/>
    <w:rsid w:val="00DB08F5"/>
    <w:rsid w:val="00DB2395"/>
    <w:rsid w:val="00DB3AC1"/>
    <w:rsid w:val="00DB71E7"/>
    <w:rsid w:val="00DC20CD"/>
    <w:rsid w:val="00DC47D7"/>
    <w:rsid w:val="00DC4E87"/>
    <w:rsid w:val="00DC4F1D"/>
    <w:rsid w:val="00DC5179"/>
    <w:rsid w:val="00DC52B0"/>
    <w:rsid w:val="00DC6DD4"/>
    <w:rsid w:val="00DC7E16"/>
    <w:rsid w:val="00DD02D6"/>
    <w:rsid w:val="00DD090D"/>
    <w:rsid w:val="00DD170D"/>
    <w:rsid w:val="00DD181D"/>
    <w:rsid w:val="00DD3EA9"/>
    <w:rsid w:val="00DD4914"/>
    <w:rsid w:val="00DD4CDD"/>
    <w:rsid w:val="00DD5530"/>
    <w:rsid w:val="00DE0082"/>
    <w:rsid w:val="00DE1323"/>
    <w:rsid w:val="00DE19CA"/>
    <w:rsid w:val="00DE5448"/>
    <w:rsid w:val="00DE6235"/>
    <w:rsid w:val="00DE6240"/>
    <w:rsid w:val="00DE728B"/>
    <w:rsid w:val="00DE734C"/>
    <w:rsid w:val="00DE7F6C"/>
    <w:rsid w:val="00DF1243"/>
    <w:rsid w:val="00DF135B"/>
    <w:rsid w:val="00DF16A3"/>
    <w:rsid w:val="00DF1EA7"/>
    <w:rsid w:val="00DF1FB5"/>
    <w:rsid w:val="00DF2073"/>
    <w:rsid w:val="00DF29B4"/>
    <w:rsid w:val="00DF3981"/>
    <w:rsid w:val="00DF3D99"/>
    <w:rsid w:val="00DF4290"/>
    <w:rsid w:val="00DF5402"/>
    <w:rsid w:val="00DF5447"/>
    <w:rsid w:val="00DF5BF2"/>
    <w:rsid w:val="00E00405"/>
    <w:rsid w:val="00E00DE2"/>
    <w:rsid w:val="00E012D8"/>
    <w:rsid w:val="00E0162C"/>
    <w:rsid w:val="00E01798"/>
    <w:rsid w:val="00E01D98"/>
    <w:rsid w:val="00E03B5F"/>
    <w:rsid w:val="00E04A86"/>
    <w:rsid w:val="00E04EAD"/>
    <w:rsid w:val="00E04F3C"/>
    <w:rsid w:val="00E05A20"/>
    <w:rsid w:val="00E0675C"/>
    <w:rsid w:val="00E067C7"/>
    <w:rsid w:val="00E06A09"/>
    <w:rsid w:val="00E071FA"/>
    <w:rsid w:val="00E072B6"/>
    <w:rsid w:val="00E072C3"/>
    <w:rsid w:val="00E076B7"/>
    <w:rsid w:val="00E112EE"/>
    <w:rsid w:val="00E11FFC"/>
    <w:rsid w:val="00E123DE"/>
    <w:rsid w:val="00E13BD1"/>
    <w:rsid w:val="00E13D12"/>
    <w:rsid w:val="00E13ECD"/>
    <w:rsid w:val="00E14D60"/>
    <w:rsid w:val="00E16BEC"/>
    <w:rsid w:val="00E203E1"/>
    <w:rsid w:val="00E213CF"/>
    <w:rsid w:val="00E2156E"/>
    <w:rsid w:val="00E223BB"/>
    <w:rsid w:val="00E22891"/>
    <w:rsid w:val="00E22A6E"/>
    <w:rsid w:val="00E23106"/>
    <w:rsid w:val="00E231DC"/>
    <w:rsid w:val="00E2412D"/>
    <w:rsid w:val="00E254FA"/>
    <w:rsid w:val="00E256FE"/>
    <w:rsid w:val="00E26C31"/>
    <w:rsid w:val="00E26DA9"/>
    <w:rsid w:val="00E2797B"/>
    <w:rsid w:val="00E279F5"/>
    <w:rsid w:val="00E27B6C"/>
    <w:rsid w:val="00E30521"/>
    <w:rsid w:val="00E31FD9"/>
    <w:rsid w:val="00E328B5"/>
    <w:rsid w:val="00E330CE"/>
    <w:rsid w:val="00E33D1A"/>
    <w:rsid w:val="00E341DD"/>
    <w:rsid w:val="00E34F4B"/>
    <w:rsid w:val="00E351F4"/>
    <w:rsid w:val="00E367E5"/>
    <w:rsid w:val="00E37CBA"/>
    <w:rsid w:val="00E4179E"/>
    <w:rsid w:val="00E41D86"/>
    <w:rsid w:val="00E42651"/>
    <w:rsid w:val="00E44F67"/>
    <w:rsid w:val="00E45EDE"/>
    <w:rsid w:val="00E45F73"/>
    <w:rsid w:val="00E460F9"/>
    <w:rsid w:val="00E46F3A"/>
    <w:rsid w:val="00E47FB7"/>
    <w:rsid w:val="00E50AE9"/>
    <w:rsid w:val="00E512E7"/>
    <w:rsid w:val="00E5210F"/>
    <w:rsid w:val="00E52123"/>
    <w:rsid w:val="00E526AC"/>
    <w:rsid w:val="00E540CA"/>
    <w:rsid w:val="00E54C31"/>
    <w:rsid w:val="00E54D7D"/>
    <w:rsid w:val="00E54F65"/>
    <w:rsid w:val="00E55CCD"/>
    <w:rsid w:val="00E56197"/>
    <w:rsid w:val="00E56B0D"/>
    <w:rsid w:val="00E56DCD"/>
    <w:rsid w:val="00E56FD9"/>
    <w:rsid w:val="00E576E9"/>
    <w:rsid w:val="00E6005B"/>
    <w:rsid w:val="00E60090"/>
    <w:rsid w:val="00E604C5"/>
    <w:rsid w:val="00E60E6A"/>
    <w:rsid w:val="00E61781"/>
    <w:rsid w:val="00E61DF2"/>
    <w:rsid w:val="00E624B0"/>
    <w:rsid w:val="00E62AD4"/>
    <w:rsid w:val="00E62E07"/>
    <w:rsid w:val="00E62E8B"/>
    <w:rsid w:val="00E62FBC"/>
    <w:rsid w:val="00E630B2"/>
    <w:rsid w:val="00E63769"/>
    <w:rsid w:val="00E641A9"/>
    <w:rsid w:val="00E64A54"/>
    <w:rsid w:val="00E64C22"/>
    <w:rsid w:val="00E64D13"/>
    <w:rsid w:val="00E65413"/>
    <w:rsid w:val="00E65967"/>
    <w:rsid w:val="00E65A10"/>
    <w:rsid w:val="00E66924"/>
    <w:rsid w:val="00E6710A"/>
    <w:rsid w:val="00E67628"/>
    <w:rsid w:val="00E67D64"/>
    <w:rsid w:val="00E714D0"/>
    <w:rsid w:val="00E71C9E"/>
    <w:rsid w:val="00E726A6"/>
    <w:rsid w:val="00E72CEB"/>
    <w:rsid w:val="00E731B3"/>
    <w:rsid w:val="00E73528"/>
    <w:rsid w:val="00E751E9"/>
    <w:rsid w:val="00E7533D"/>
    <w:rsid w:val="00E75EBB"/>
    <w:rsid w:val="00E77643"/>
    <w:rsid w:val="00E805B3"/>
    <w:rsid w:val="00E81E1B"/>
    <w:rsid w:val="00E833D2"/>
    <w:rsid w:val="00E83A9A"/>
    <w:rsid w:val="00E83B43"/>
    <w:rsid w:val="00E83CD9"/>
    <w:rsid w:val="00E85BC9"/>
    <w:rsid w:val="00E85E0F"/>
    <w:rsid w:val="00E85E73"/>
    <w:rsid w:val="00E862A4"/>
    <w:rsid w:val="00E8665B"/>
    <w:rsid w:val="00E86F93"/>
    <w:rsid w:val="00E87AD2"/>
    <w:rsid w:val="00E9006A"/>
    <w:rsid w:val="00E9033A"/>
    <w:rsid w:val="00E9089C"/>
    <w:rsid w:val="00E90E38"/>
    <w:rsid w:val="00E91322"/>
    <w:rsid w:val="00E91AD3"/>
    <w:rsid w:val="00E930AB"/>
    <w:rsid w:val="00E93257"/>
    <w:rsid w:val="00E96131"/>
    <w:rsid w:val="00E96917"/>
    <w:rsid w:val="00EA02E7"/>
    <w:rsid w:val="00EA12A7"/>
    <w:rsid w:val="00EA12F5"/>
    <w:rsid w:val="00EA2189"/>
    <w:rsid w:val="00EA2535"/>
    <w:rsid w:val="00EA3278"/>
    <w:rsid w:val="00EA3642"/>
    <w:rsid w:val="00EA3B3E"/>
    <w:rsid w:val="00EA4537"/>
    <w:rsid w:val="00EA6678"/>
    <w:rsid w:val="00EA713E"/>
    <w:rsid w:val="00EA7954"/>
    <w:rsid w:val="00EB03A3"/>
    <w:rsid w:val="00EB0480"/>
    <w:rsid w:val="00EB04DC"/>
    <w:rsid w:val="00EB0530"/>
    <w:rsid w:val="00EB0F0D"/>
    <w:rsid w:val="00EB0F4E"/>
    <w:rsid w:val="00EB21F5"/>
    <w:rsid w:val="00EB22F7"/>
    <w:rsid w:val="00EB4155"/>
    <w:rsid w:val="00EB5B58"/>
    <w:rsid w:val="00EB5CE8"/>
    <w:rsid w:val="00EB6158"/>
    <w:rsid w:val="00EB671E"/>
    <w:rsid w:val="00EB6BAB"/>
    <w:rsid w:val="00EB6FF6"/>
    <w:rsid w:val="00EB743E"/>
    <w:rsid w:val="00EB7E45"/>
    <w:rsid w:val="00EC14F9"/>
    <w:rsid w:val="00EC1BC6"/>
    <w:rsid w:val="00EC28E7"/>
    <w:rsid w:val="00EC2BDF"/>
    <w:rsid w:val="00EC33AF"/>
    <w:rsid w:val="00EC4052"/>
    <w:rsid w:val="00EC56FD"/>
    <w:rsid w:val="00EC5EAE"/>
    <w:rsid w:val="00ED0B77"/>
    <w:rsid w:val="00ED1032"/>
    <w:rsid w:val="00ED22D9"/>
    <w:rsid w:val="00ED2D0D"/>
    <w:rsid w:val="00ED2E46"/>
    <w:rsid w:val="00ED3052"/>
    <w:rsid w:val="00ED36EB"/>
    <w:rsid w:val="00ED3ADD"/>
    <w:rsid w:val="00ED4A40"/>
    <w:rsid w:val="00ED4DA8"/>
    <w:rsid w:val="00ED5249"/>
    <w:rsid w:val="00ED5CAB"/>
    <w:rsid w:val="00ED75E4"/>
    <w:rsid w:val="00ED7EAC"/>
    <w:rsid w:val="00EE0351"/>
    <w:rsid w:val="00EE1265"/>
    <w:rsid w:val="00EE14A1"/>
    <w:rsid w:val="00EE15F9"/>
    <w:rsid w:val="00EE2166"/>
    <w:rsid w:val="00EE2B6B"/>
    <w:rsid w:val="00EE2CD6"/>
    <w:rsid w:val="00EE3245"/>
    <w:rsid w:val="00EE52B9"/>
    <w:rsid w:val="00EE54D1"/>
    <w:rsid w:val="00EE5BC1"/>
    <w:rsid w:val="00EE5E08"/>
    <w:rsid w:val="00EE7356"/>
    <w:rsid w:val="00EE7F00"/>
    <w:rsid w:val="00EF0442"/>
    <w:rsid w:val="00EF1F80"/>
    <w:rsid w:val="00EF209F"/>
    <w:rsid w:val="00EF21A3"/>
    <w:rsid w:val="00EF5E75"/>
    <w:rsid w:val="00EF656F"/>
    <w:rsid w:val="00EF751B"/>
    <w:rsid w:val="00EF7E64"/>
    <w:rsid w:val="00F00576"/>
    <w:rsid w:val="00F013F3"/>
    <w:rsid w:val="00F02E09"/>
    <w:rsid w:val="00F033B4"/>
    <w:rsid w:val="00F04367"/>
    <w:rsid w:val="00F04500"/>
    <w:rsid w:val="00F04618"/>
    <w:rsid w:val="00F04D02"/>
    <w:rsid w:val="00F05068"/>
    <w:rsid w:val="00F05578"/>
    <w:rsid w:val="00F0661F"/>
    <w:rsid w:val="00F069C0"/>
    <w:rsid w:val="00F06AB7"/>
    <w:rsid w:val="00F07985"/>
    <w:rsid w:val="00F109A4"/>
    <w:rsid w:val="00F119E9"/>
    <w:rsid w:val="00F11A7E"/>
    <w:rsid w:val="00F12245"/>
    <w:rsid w:val="00F123F2"/>
    <w:rsid w:val="00F1590C"/>
    <w:rsid w:val="00F1620C"/>
    <w:rsid w:val="00F16B95"/>
    <w:rsid w:val="00F16FF1"/>
    <w:rsid w:val="00F2021D"/>
    <w:rsid w:val="00F2043C"/>
    <w:rsid w:val="00F20B0E"/>
    <w:rsid w:val="00F225D0"/>
    <w:rsid w:val="00F227E8"/>
    <w:rsid w:val="00F22BA2"/>
    <w:rsid w:val="00F24E02"/>
    <w:rsid w:val="00F24E8E"/>
    <w:rsid w:val="00F2551B"/>
    <w:rsid w:val="00F2580E"/>
    <w:rsid w:val="00F25E1A"/>
    <w:rsid w:val="00F26C9C"/>
    <w:rsid w:val="00F27EDC"/>
    <w:rsid w:val="00F30E52"/>
    <w:rsid w:val="00F31482"/>
    <w:rsid w:val="00F31EA8"/>
    <w:rsid w:val="00F32E78"/>
    <w:rsid w:val="00F33436"/>
    <w:rsid w:val="00F33570"/>
    <w:rsid w:val="00F33A82"/>
    <w:rsid w:val="00F33A9D"/>
    <w:rsid w:val="00F341FA"/>
    <w:rsid w:val="00F35154"/>
    <w:rsid w:val="00F354D8"/>
    <w:rsid w:val="00F37F68"/>
    <w:rsid w:val="00F40AAE"/>
    <w:rsid w:val="00F40CD8"/>
    <w:rsid w:val="00F41177"/>
    <w:rsid w:val="00F42301"/>
    <w:rsid w:val="00F42912"/>
    <w:rsid w:val="00F4345C"/>
    <w:rsid w:val="00F44870"/>
    <w:rsid w:val="00F45D5B"/>
    <w:rsid w:val="00F463EC"/>
    <w:rsid w:val="00F464A2"/>
    <w:rsid w:val="00F46FE3"/>
    <w:rsid w:val="00F472F0"/>
    <w:rsid w:val="00F47D26"/>
    <w:rsid w:val="00F5125C"/>
    <w:rsid w:val="00F51A2F"/>
    <w:rsid w:val="00F523EB"/>
    <w:rsid w:val="00F52B97"/>
    <w:rsid w:val="00F544B0"/>
    <w:rsid w:val="00F54623"/>
    <w:rsid w:val="00F55F8D"/>
    <w:rsid w:val="00F603AD"/>
    <w:rsid w:val="00F61593"/>
    <w:rsid w:val="00F61A89"/>
    <w:rsid w:val="00F63069"/>
    <w:rsid w:val="00F64676"/>
    <w:rsid w:val="00F648CA"/>
    <w:rsid w:val="00F64E6F"/>
    <w:rsid w:val="00F664D6"/>
    <w:rsid w:val="00F66595"/>
    <w:rsid w:val="00F6692B"/>
    <w:rsid w:val="00F67188"/>
    <w:rsid w:val="00F67C39"/>
    <w:rsid w:val="00F701CB"/>
    <w:rsid w:val="00F705B8"/>
    <w:rsid w:val="00F724AB"/>
    <w:rsid w:val="00F726BB"/>
    <w:rsid w:val="00F74E7B"/>
    <w:rsid w:val="00F75C64"/>
    <w:rsid w:val="00F77291"/>
    <w:rsid w:val="00F77598"/>
    <w:rsid w:val="00F77820"/>
    <w:rsid w:val="00F7787D"/>
    <w:rsid w:val="00F77B68"/>
    <w:rsid w:val="00F80294"/>
    <w:rsid w:val="00F808EF"/>
    <w:rsid w:val="00F80DD4"/>
    <w:rsid w:val="00F813FD"/>
    <w:rsid w:val="00F82753"/>
    <w:rsid w:val="00F83399"/>
    <w:rsid w:val="00F8393F"/>
    <w:rsid w:val="00F839FF"/>
    <w:rsid w:val="00F8486E"/>
    <w:rsid w:val="00F84B07"/>
    <w:rsid w:val="00F851DC"/>
    <w:rsid w:val="00F8684A"/>
    <w:rsid w:val="00F86E6E"/>
    <w:rsid w:val="00F87CCE"/>
    <w:rsid w:val="00F91596"/>
    <w:rsid w:val="00F915B8"/>
    <w:rsid w:val="00F916AC"/>
    <w:rsid w:val="00F91F5F"/>
    <w:rsid w:val="00F92BA7"/>
    <w:rsid w:val="00F92D40"/>
    <w:rsid w:val="00F936BC"/>
    <w:rsid w:val="00F942C6"/>
    <w:rsid w:val="00F9448D"/>
    <w:rsid w:val="00F944F3"/>
    <w:rsid w:val="00F94E68"/>
    <w:rsid w:val="00F958BC"/>
    <w:rsid w:val="00F960AE"/>
    <w:rsid w:val="00F9667D"/>
    <w:rsid w:val="00F96CBE"/>
    <w:rsid w:val="00F9783C"/>
    <w:rsid w:val="00F97E2A"/>
    <w:rsid w:val="00FA076F"/>
    <w:rsid w:val="00FA0CAF"/>
    <w:rsid w:val="00FA1C91"/>
    <w:rsid w:val="00FA2655"/>
    <w:rsid w:val="00FA2681"/>
    <w:rsid w:val="00FA3164"/>
    <w:rsid w:val="00FA3182"/>
    <w:rsid w:val="00FA339E"/>
    <w:rsid w:val="00FA354B"/>
    <w:rsid w:val="00FA3785"/>
    <w:rsid w:val="00FA3976"/>
    <w:rsid w:val="00FA43E0"/>
    <w:rsid w:val="00FA4405"/>
    <w:rsid w:val="00FA4D37"/>
    <w:rsid w:val="00FA4D96"/>
    <w:rsid w:val="00FA4DAF"/>
    <w:rsid w:val="00FA70F4"/>
    <w:rsid w:val="00FB01DA"/>
    <w:rsid w:val="00FB07B3"/>
    <w:rsid w:val="00FB0E7E"/>
    <w:rsid w:val="00FB20E4"/>
    <w:rsid w:val="00FB23AD"/>
    <w:rsid w:val="00FB3D2F"/>
    <w:rsid w:val="00FB3E6C"/>
    <w:rsid w:val="00FB665D"/>
    <w:rsid w:val="00FB756F"/>
    <w:rsid w:val="00FC0068"/>
    <w:rsid w:val="00FC1A16"/>
    <w:rsid w:val="00FC1EDF"/>
    <w:rsid w:val="00FC2ED0"/>
    <w:rsid w:val="00FC3F91"/>
    <w:rsid w:val="00FC4216"/>
    <w:rsid w:val="00FC48E3"/>
    <w:rsid w:val="00FC498C"/>
    <w:rsid w:val="00FC6A21"/>
    <w:rsid w:val="00FC7722"/>
    <w:rsid w:val="00FD0083"/>
    <w:rsid w:val="00FD0A6B"/>
    <w:rsid w:val="00FD0D01"/>
    <w:rsid w:val="00FD0E25"/>
    <w:rsid w:val="00FD1171"/>
    <w:rsid w:val="00FD2D8D"/>
    <w:rsid w:val="00FD355B"/>
    <w:rsid w:val="00FD3628"/>
    <w:rsid w:val="00FD3BCD"/>
    <w:rsid w:val="00FD4003"/>
    <w:rsid w:val="00FD4F88"/>
    <w:rsid w:val="00FD7D5E"/>
    <w:rsid w:val="00FE174C"/>
    <w:rsid w:val="00FE2506"/>
    <w:rsid w:val="00FE2561"/>
    <w:rsid w:val="00FE2B1A"/>
    <w:rsid w:val="00FE2F50"/>
    <w:rsid w:val="00FE4FE9"/>
    <w:rsid w:val="00FE5886"/>
    <w:rsid w:val="00FE78CB"/>
    <w:rsid w:val="00FE7FC9"/>
    <w:rsid w:val="00FF2461"/>
    <w:rsid w:val="00FF572B"/>
    <w:rsid w:val="00FF57A8"/>
    <w:rsid w:val="00FF59BA"/>
    <w:rsid w:val="00FF5E71"/>
    <w:rsid w:val="00FF67EE"/>
    <w:rsid w:val="00FF6FB1"/>
    <w:rsid w:val="00FF727D"/>
    <w:rsid w:val="00FF7756"/>
    <w:rsid w:val="00FF7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7BF45"/>
  <w15:chartTrackingRefBased/>
  <w15:docId w15:val="{B045C846-9F28-440B-8F03-F20169FF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1AA"/>
    <w:rPr>
      <w:rFonts w:ascii="Arial" w:hAnsi="Arial"/>
    </w:rPr>
  </w:style>
  <w:style w:type="paragraph" w:styleId="Heading1">
    <w:name w:val="heading 1"/>
    <w:aliases w:val="H1,Section Heading,Heading 1 St.George,style1,No numbers,heading 1Body,H-1,1.,MAIN HEADING,1. Level 1 Heading"/>
    <w:basedOn w:val="Normal"/>
    <w:next w:val="Normal"/>
    <w:link w:val="Heading1Char"/>
    <w:autoRedefine/>
    <w:qFormat/>
    <w:rsid w:val="0079285C"/>
    <w:pPr>
      <w:keepNext/>
      <w:numPr>
        <w:numId w:val="9"/>
      </w:numPr>
      <w:outlineLvl w:val="0"/>
    </w:pPr>
    <w:rPr>
      <w:rFonts w:eastAsia="Calibri" w:cs="Arial"/>
      <w:b/>
      <w:bCs/>
      <w:kern w:val="32"/>
      <w:sz w:val="32"/>
      <w:szCs w:val="32"/>
      <w:lang w:eastAsia="en-US"/>
    </w:rPr>
  </w:style>
  <w:style w:type="paragraph" w:styleId="Heading2">
    <w:name w:val="heading 2"/>
    <w:basedOn w:val="Normal"/>
    <w:link w:val="Heading2Char"/>
    <w:autoRedefine/>
    <w:qFormat/>
    <w:rsid w:val="0018010B"/>
    <w:pPr>
      <w:keepNext/>
      <w:keepLines/>
      <w:numPr>
        <w:numId w:val="2"/>
      </w:numPr>
      <w:outlineLvl w:val="1"/>
    </w:pPr>
    <w:rPr>
      <w:rFonts w:cs="Arial"/>
      <w:b/>
      <w:bCs/>
      <w:iCs/>
      <w:sz w:val="32"/>
      <w:szCs w:val="28"/>
      <w:lang w:val="en-GB"/>
    </w:rPr>
  </w:style>
  <w:style w:type="paragraph" w:styleId="Heading3">
    <w:name w:val="heading 3"/>
    <w:basedOn w:val="Heading2"/>
    <w:next w:val="Normal"/>
    <w:link w:val="Heading3Char"/>
    <w:qFormat/>
    <w:rsid w:val="0002477A"/>
    <w:pPr>
      <w:keepLines w:val="0"/>
      <w:numPr>
        <w:ilvl w:val="2"/>
        <w:numId w:val="1"/>
      </w:numPr>
      <w:tabs>
        <w:tab w:val="left" w:pos="0"/>
      </w:tabs>
      <w:ind w:left="0" w:firstLine="0"/>
      <w:outlineLvl w:val="2"/>
    </w:pPr>
    <w:rPr>
      <w:bCs w:val="0"/>
      <w:iCs w:val="0"/>
      <w:sz w:val="22"/>
      <w:szCs w:val="22"/>
    </w:rPr>
  </w:style>
  <w:style w:type="paragraph" w:styleId="Heading4">
    <w:name w:val="heading 4"/>
    <w:basedOn w:val="Normal"/>
    <w:next w:val="Normal"/>
    <w:link w:val="Heading4Char"/>
    <w:unhideWhenUsed/>
    <w:qFormat/>
    <w:rsid w:val="00D77BE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4D50C2"/>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D50C2"/>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C3437"/>
    <w:pPr>
      <w:numPr>
        <w:ilvl w:val="6"/>
        <w:numId w:val="1"/>
      </w:numPr>
      <w:spacing w:before="240" w:after="60"/>
      <w:outlineLvl w:val="6"/>
    </w:pPr>
    <w:rPr>
      <w:rFonts w:ascii="Calibri" w:hAnsi="Calibri"/>
      <w:sz w:val="24"/>
    </w:rPr>
  </w:style>
  <w:style w:type="paragraph" w:styleId="Heading8">
    <w:name w:val="heading 8"/>
    <w:basedOn w:val="Normal"/>
    <w:next w:val="Normal"/>
    <w:link w:val="Heading8Char"/>
    <w:unhideWhenUsed/>
    <w:qFormat/>
    <w:rsid w:val="002C3437"/>
    <w:pPr>
      <w:numPr>
        <w:ilvl w:val="7"/>
        <w:numId w:val="1"/>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4D50C2"/>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3F0"/>
    <w:pPr>
      <w:tabs>
        <w:tab w:val="center" w:pos="4153"/>
        <w:tab w:val="right" w:pos="8306"/>
      </w:tabs>
      <w:spacing w:before="240"/>
    </w:pPr>
  </w:style>
  <w:style w:type="paragraph" w:styleId="Footer">
    <w:name w:val="footer"/>
    <w:basedOn w:val="Normal"/>
    <w:link w:val="FooterChar"/>
    <w:uiPriority w:val="99"/>
    <w:rsid w:val="006654CE"/>
    <w:pPr>
      <w:tabs>
        <w:tab w:val="center" w:pos="4153"/>
        <w:tab w:val="right" w:pos="8306"/>
      </w:tabs>
    </w:pPr>
  </w:style>
  <w:style w:type="paragraph" w:customStyle="1" w:styleId="Titlesubhead">
    <w:name w:val="Title subhead"/>
    <w:basedOn w:val="Normal"/>
    <w:rsid w:val="006654CE"/>
    <w:rPr>
      <w:rFonts w:cs="Arial"/>
      <w:sz w:val="60"/>
      <w:szCs w:val="60"/>
    </w:rPr>
  </w:style>
  <w:style w:type="paragraph" w:customStyle="1" w:styleId="ReportTitle">
    <w:name w:val="Report Title"/>
    <w:basedOn w:val="Normal"/>
    <w:rsid w:val="006654CE"/>
    <w:rPr>
      <w:rFonts w:cs="Arial"/>
      <w:b/>
      <w:sz w:val="90"/>
      <w:szCs w:val="90"/>
    </w:rPr>
  </w:style>
  <w:style w:type="character" w:styleId="PageNumber">
    <w:name w:val="page number"/>
    <w:basedOn w:val="DefaultParagraphFont"/>
    <w:rsid w:val="007D2A5C"/>
  </w:style>
  <w:style w:type="paragraph" w:customStyle="1" w:styleId="BasicParagraph">
    <w:name w:val="[Basic Paragraph]"/>
    <w:basedOn w:val="Normal"/>
    <w:rsid w:val="007D2A5C"/>
    <w:pPr>
      <w:autoSpaceDE w:val="0"/>
      <w:autoSpaceDN w:val="0"/>
      <w:adjustRightInd w:val="0"/>
      <w:spacing w:line="288" w:lineRule="auto"/>
      <w:textAlignment w:val="center"/>
    </w:pPr>
    <w:rPr>
      <w:color w:val="000000"/>
      <w:sz w:val="22"/>
      <w:lang w:val="en-GB"/>
    </w:rPr>
  </w:style>
  <w:style w:type="paragraph" w:styleId="NormalWeb">
    <w:name w:val="Normal (Web)"/>
    <w:basedOn w:val="Normal"/>
    <w:uiPriority w:val="99"/>
    <w:unhideWhenUsed/>
    <w:rsid w:val="00B74FF2"/>
    <w:pPr>
      <w:spacing w:before="100" w:beforeAutospacing="1" w:after="100" w:afterAutospacing="1"/>
    </w:pPr>
    <w:rPr>
      <w:rFonts w:ascii="Times New Roman" w:hAnsi="Times New Roman"/>
      <w:sz w:val="24"/>
    </w:rPr>
  </w:style>
  <w:style w:type="character" w:customStyle="1" w:styleId="HeaderChar">
    <w:name w:val="Header Char"/>
    <w:link w:val="Header"/>
    <w:locked/>
    <w:rsid w:val="007933F0"/>
    <w:rPr>
      <w:rFonts w:ascii="Arial" w:hAnsi="Arial"/>
    </w:rPr>
  </w:style>
  <w:style w:type="character" w:customStyle="1" w:styleId="FooterChar">
    <w:name w:val="Footer Char"/>
    <w:link w:val="Footer"/>
    <w:uiPriority w:val="99"/>
    <w:locked/>
    <w:rsid w:val="00C55B5C"/>
    <w:rPr>
      <w:rFonts w:ascii="Arial" w:hAnsi="Arial"/>
      <w:sz w:val="22"/>
      <w:szCs w:val="24"/>
    </w:rPr>
  </w:style>
  <w:style w:type="character" w:styleId="Hyperlink">
    <w:name w:val="Hyperlink"/>
    <w:uiPriority w:val="99"/>
    <w:unhideWhenUsed/>
    <w:rsid w:val="00C55B5C"/>
    <w:rPr>
      <w:color w:val="0000FF"/>
      <w:u w:val="single"/>
    </w:rPr>
  </w:style>
  <w:style w:type="paragraph" w:styleId="BalloonText">
    <w:name w:val="Balloon Text"/>
    <w:basedOn w:val="Normal"/>
    <w:link w:val="BalloonTextChar"/>
    <w:rsid w:val="003851D4"/>
    <w:rPr>
      <w:rFonts w:ascii="Tahoma" w:hAnsi="Tahoma" w:cs="Tahoma"/>
      <w:sz w:val="16"/>
      <w:szCs w:val="16"/>
    </w:rPr>
  </w:style>
  <w:style w:type="character" w:customStyle="1" w:styleId="BalloonTextChar">
    <w:name w:val="Balloon Text Char"/>
    <w:link w:val="BalloonText"/>
    <w:rsid w:val="003851D4"/>
    <w:rPr>
      <w:rFonts w:ascii="Tahoma" w:hAnsi="Tahoma" w:cs="Tahoma"/>
      <w:sz w:val="16"/>
      <w:szCs w:val="16"/>
    </w:rPr>
  </w:style>
  <w:style w:type="paragraph" w:styleId="TOC1">
    <w:name w:val="toc 1"/>
    <w:next w:val="SPEC1"/>
    <w:autoRedefine/>
    <w:uiPriority w:val="39"/>
    <w:unhideWhenUsed/>
    <w:qFormat/>
    <w:rsid w:val="009303FD"/>
    <w:pPr>
      <w:tabs>
        <w:tab w:val="right" w:leader="dot" w:pos="9645"/>
      </w:tabs>
      <w:spacing w:before="120" w:after="120" w:line="264" w:lineRule="auto"/>
    </w:pPr>
    <w:rPr>
      <w:rFonts w:ascii="Arial" w:hAnsi="Arial" w:cs="Arial"/>
      <w:b/>
      <w:bCs/>
      <w:caps/>
      <w:noProof/>
      <w:sz w:val="24"/>
      <w:szCs w:val="24"/>
    </w:rPr>
  </w:style>
  <w:style w:type="paragraph" w:styleId="TOC2">
    <w:name w:val="toc 2"/>
    <w:next w:val="SPEC2"/>
    <w:autoRedefine/>
    <w:uiPriority w:val="39"/>
    <w:unhideWhenUsed/>
    <w:qFormat/>
    <w:rsid w:val="00143FD7"/>
    <w:pPr>
      <w:tabs>
        <w:tab w:val="right" w:leader="dot" w:pos="9645"/>
      </w:tabs>
      <w:spacing w:before="120"/>
    </w:pPr>
    <w:rPr>
      <w:rFonts w:ascii="Arial" w:hAnsi="Arial" w:cs="Arial"/>
      <w:b/>
      <w:bCs/>
      <w:noProof/>
    </w:rPr>
  </w:style>
  <w:style w:type="paragraph" w:styleId="TOC3">
    <w:name w:val="toc 3"/>
    <w:next w:val="SPEC3"/>
    <w:autoRedefine/>
    <w:uiPriority w:val="39"/>
    <w:unhideWhenUsed/>
    <w:qFormat/>
    <w:rsid w:val="00740FC0"/>
    <w:pPr>
      <w:spacing w:before="120"/>
      <w:ind w:left="198"/>
    </w:pPr>
    <w:rPr>
      <w:rFonts w:ascii="Calibri" w:hAnsi="Calibri"/>
    </w:rPr>
  </w:style>
  <w:style w:type="paragraph" w:styleId="CommentText">
    <w:name w:val="annotation text"/>
    <w:basedOn w:val="Normal"/>
    <w:link w:val="CommentTextChar"/>
    <w:uiPriority w:val="99"/>
    <w:rsid w:val="00D77BE6"/>
    <w:pPr>
      <w:spacing w:after="160" w:line="276" w:lineRule="auto"/>
    </w:pPr>
  </w:style>
  <w:style w:type="character" w:customStyle="1" w:styleId="CommentTextChar">
    <w:name w:val="Comment Text Char"/>
    <w:link w:val="CommentText"/>
    <w:uiPriority w:val="99"/>
    <w:rsid w:val="00D77BE6"/>
    <w:rPr>
      <w:rFonts w:ascii="Arial" w:hAnsi="Arial"/>
    </w:rPr>
  </w:style>
  <w:style w:type="character" w:styleId="CommentReference">
    <w:name w:val="annotation reference"/>
    <w:uiPriority w:val="99"/>
    <w:unhideWhenUsed/>
    <w:rsid w:val="00D77BE6"/>
    <w:rPr>
      <w:sz w:val="16"/>
      <w:szCs w:val="16"/>
    </w:rPr>
  </w:style>
  <w:style w:type="character" w:customStyle="1" w:styleId="Heading4Char">
    <w:name w:val="Heading 4 Char"/>
    <w:link w:val="Heading4"/>
    <w:rsid w:val="00D77BE6"/>
    <w:rPr>
      <w:rFonts w:ascii="Calibri" w:hAnsi="Calibri"/>
      <w:b/>
      <w:bCs/>
      <w:sz w:val="28"/>
      <w:szCs w:val="28"/>
    </w:rPr>
  </w:style>
  <w:style w:type="paragraph" w:customStyle="1" w:styleId="Clausea">
    <w:name w:val="Clause (a)"/>
    <w:basedOn w:val="Normal"/>
    <w:rsid w:val="00EC4052"/>
    <w:pPr>
      <w:tabs>
        <w:tab w:val="num" w:pos="1134"/>
      </w:tabs>
      <w:ind w:left="1134" w:hanging="567"/>
    </w:pPr>
    <w:rPr>
      <w:rFonts w:ascii="Times New Roman" w:hAnsi="Times New Roman"/>
      <w:snapToGrid w:val="0"/>
      <w:color w:val="000000"/>
      <w:sz w:val="24"/>
      <w:lang w:val="en-US" w:eastAsia="en-US"/>
    </w:rPr>
  </w:style>
  <w:style w:type="paragraph" w:styleId="ListParagraph">
    <w:name w:val="List Paragraph"/>
    <w:basedOn w:val="Normal"/>
    <w:link w:val="ListParagraphChar"/>
    <w:uiPriority w:val="34"/>
    <w:qFormat/>
    <w:rsid w:val="003417D2"/>
    <w:pPr>
      <w:spacing w:after="200" w:line="276" w:lineRule="auto"/>
      <w:ind w:left="720"/>
      <w:contextualSpacing/>
    </w:pPr>
    <w:rPr>
      <w:rFonts w:ascii="Calibri" w:eastAsia="Calibri" w:hAnsi="Calibri"/>
      <w:szCs w:val="22"/>
      <w:lang w:eastAsia="en-US"/>
    </w:rPr>
  </w:style>
  <w:style w:type="character" w:customStyle="1" w:styleId="ListParagraphChar">
    <w:name w:val="List Paragraph Char"/>
    <w:link w:val="ListParagraph"/>
    <w:uiPriority w:val="34"/>
    <w:rsid w:val="00CD00FD"/>
    <w:rPr>
      <w:rFonts w:ascii="Calibri" w:eastAsia="Calibri" w:hAnsi="Calibri"/>
      <w:sz w:val="22"/>
      <w:szCs w:val="22"/>
      <w:lang w:eastAsia="en-US"/>
    </w:rPr>
  </w:style>
  <w:style w:type="paragraph" w:styleId="CommentSubject">
    <w:name w:val="annotation subject"/>
    <w:basedOn w:val="CommentText"/>
    <w:next w:val="CommentText"/>
    <w:link w:val="CommentSubjectChar"/>
    <w:rsid w:val="00755B41"/>
    <w:pPr>
      <w:spacing w:after="240" w:line="240" w:lineRule="auto"/>
    </w:pPr>
    <w:rPr>
      <w:b/>
      <w:bCs/>
    </w:rPr>
  </w:style>
  <w:style w:type="character" w:customStyle="1" w:styleId="CommentSubjectChar">
    <w:name w:val="Comment Subject Char"/>
    <w:link w:val="CommentSubject"/>
    <w:rsid w:val="00755B41"/>
    <w:rPr>
      <w:rFonts w:ascii="Arial" w:hAnsi="Arial"/>
      <w:b/>
      <w:bCs/>
    </w:rPr>
  </w:style>
  <w:style w:type="paragraph" w:styleId="Revision">
    <w:name w:val="Revision"/>
    <w:hidden/>
    <w:uiPriority w:val="99"/>
    <w:semiHidden/>
    <w:rsid w:val="00E2156E"/>
    <w:pPr>
      <w:ind w:left="340" w:hanging="340"/>
    </w:pPr>
    <w:rPr>
      <w:rFonts w:ascii="Arial" w:hAnsi="Arial"/>
      <w:sz w:val="22"/>
      <w:szCs w:val="24"/>
    </w:rPr>
  </w:style>
  <w:style w:type="character" w:styleId="Emphasis">
    <w:name w:val="Emphasis"/>
    <w:uiPriority w:val="20"/>
    <w:qFormat/>
    <w:rsid w:val="00E726A6"/>
    <w:rPr>
      <w:i/>
      <w:iCs/>
    </w:rPr>
  </w:style>
  <w:style w:type="character" w:customStyle="1" w:styleId="Heading7Char">
    <w:name w:val="Heading 7 Char"/>
    <w:link w:val="Heading7"/>
    <w:semiHidden/>
    <w:rsid w:val="002C3437"/>
    <w:rPr>
      <w:rFonts w:ascii="Calibri" w:hAnsi="Calibri"/>
      <w:sz w:val="24"/>
    </w:rPr>
  </w:style>
  <w:style w:type="character" w:customStyle="1" w:styleId="Heading8Char">
    <w:name w:val="Heading 8 Char"/>
    <w:link w:val="Heading8"/>
    <w:rsid w:val="002C3437"/>
    <w:rPr>
      <w:rFonts w:ascii="Calibri" w:hAnsi="Calibri"/>
      <w:i/>
      <w:iCs/>
      <w:sz w:val="24"/>
    </w:rPr>
  </w:style>
  <w:style w:type="table" w:styleId="TableGrid">
    <w:name w:val="Table Grid"/>
    <w:basedOn w:val="TableNormal"/>
    <w:rsid w:val="002C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2C3437"/>
    <w:pPr>
      <w:tabs>
        <w:tab w:val="left" w:pos="567"/>
        <w:tab w:val="left" w:pos="1134"/>
        <w:tab w:val="left" w:pos="5103"/>
        <w:tab w:val="left" w:pos="6804"/>
        <w:tab w:val="left" w:pos="8364"/>
        <w:tab w:val="right" w:pos="9029"/>
      </w:tabs>
      <w:ind w:left="360"/>
    </w:pPr>
    <w:rPr>
      <w:rFonts w:ascii="Helvetica" w:hAnsi="Helvetica"/>
      <w:color w:val="808080"/>
      <w:sz w:val="18"/>
      <w:lang w:eastAsia="en-US"/>
    </w:rPr>
  </w:style>
  <w:style w:type="character" w:customStyle="1" w:styleId="BodyTextIndent2Char">
    <w:name w:val="Body Text Indent 2 Char"/>
    <w:link w:val="BodyTextIndent2"/>
    <w:rsid w:val="002C3437"/>
    <w:rPr>
      <w:rFonts w:ascii="Helvetica" w:hAnsi="Helvetica"/>
      <w:color w:val="808080"/>
      <w:sz w:val="18"/>
      <w:lang w:eastAsia="en-US"/>
    </w:rPr>
  </w:style>
  <w:style w:type="paragraph" w:customStyle="1" w:styleId="Mainheading">
    <w:name w:val="Main heading"/>
    <w:basedOn w:val="Normal"/>
    <w:rsid w:val="002C3437"/>
    <w:pPr>
      <w:pBdr>
        <w:left w:val="single" w:sz="6" w:space="0" w:color="auto"/>
        <w:bottom w:val="single" w:sz="6" w:space="0" w:color="auto"/>
      </w:pBdr>
      <w:spacing w:before="120"/>
      <w:ind w:right="1685"/>
    </w:pPr>
    <w:rPr>
      <w:rFonts w:ascii="Verdana" w:hAnsi="Verdana"/>
      <w:b/>
      <w:bCs/>
      <w:smallCaps/>
      <w:color w:val="000000"/>
      <w:spacing w:val="20"/>
      <w:sz w:val="32"/>
      <w:lang w:eastAsia="en-US"/>
    </w:rPr>
  </w:style>
  <w:style w:type="paragraph" w:customStyle="1" w:styleId="heads">
    <w:name w:val="heads"/>
    <w:basedOn w:val="Normal"/>
    <w:rsid w:val="002C3437"/>
    <w:pPr>
      <w:pBdr>
        <w:left w:val="single" w:sz="6" w:space="0" w:color="auto"/>
        <w:bottom w:val="single" w:sz="6" w:space="0" w:color="auto"/>
      </w:pBdr>
      <w:spacing w:before="120"/>
      <w:ind w:right="3402"/>
    </w:pPr>
    <w:rPr>
      <w:rFonts w:ascii="Verdana" w:hAnsi="Verdana"/>
      <w:b/>
      <w:bCs/>
      <w:smallCaps/>
      <w:color w:val="000000"/>
      <w:spacing w:val="20"/>
      <w:sz w:val="32"/>
      <w:lang w:eastAsia="en-US"/>
    </w:rPr>
  </w:style>
  <w:style w:type="paragraph" w:customStyle="1" w:styleId="StyleJustifiedLeft0cmBefore0pt">
    <w:name w:val="Style Justified Left:  0 cm Before:  0 pt"/>
    <w:basedOn w:val="Normal"/>
    <w:link w:val="StyleJustifiedLeft0cmBefore0ptChar"/>
    <w:rsid w:val="002C3437"/>
    <w:pPr>
      <w:widowControl w:val="0"/>
      <w:spacing w:before="120" w:after="120"/>
      <w:jc w:val="both"/>
    </w:pPr>
    <w:rPr>
      <w:snapToGrid w:val="0"/>
      <w:lang w:eastAsia="en-US"/>
    </w:rPr>
  </w:style>
  <w:style w:type="character" w:customStyle="1" w:styleId="StyleJustifiedLeft0cmBefore0ptChar">
    <w:name w:val="Style Justified Left:  0 cm Before:  0 pt Char"/>
    <w:link w:val="StyleJustifiedLeft0cmBefore0pt"/>
    <w:rsid w:val="002C3437"/>
    <w:rPr>
      <w:rFonts w:ascii="Arial" w:hAnsi="Arial"/>
      <w:snapToGrid w:val="0"/>
      <w:lang w:eastAsia="en-US"/>
    </w:rPr>
  </w:style>
  <w:style w:type="character" w:styleId="FollowedHyperlink">
    <w:name w:val="FollowedHyperlink"/>
    <w:rsid w:val="00AE1B5C"/>
    <w:rPr>
      <w:color w:val="800080"/>
      <w:u w:val="single"/>
    </w:rPr>
  </w:style>
  <w:style w:type="table" w:customStyle="1" w:styleId="TableGrid1">
    <w:name w:val="Table Grid1"/>
    <w:basedOn w:val="TableNormal"/>
    <w:next w:val="TableGrid"/>
    <w:uiPriority w:val="59"/>
    <w:rsid w:val="005E67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96B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Section Heading Char,Heading 1 St.George Char,style1 Char,No numbers Char,heading 1Body Char,H-1 Char,1. Char,MAIN HEADING Char,1. Level 1 Heading Char"/>
    <w:link w:val="Heading1"/>
    <w:rsid w:val="0079285C"/>
    <w:rPr>
      <w:rFonts w:ascii="Arial" w:eastAsia="Calibri" w:hAnsi="Arial" w:cs="Arial"/>
      <w:b/>
      <w:bCs/>
      <w:kern w:val="32"/>
      <w:sz w:val="32"/>
      <w:szCs w:val="32"/>
      <w:lang w:eastAsia="en-US"/>
    </w:rPr>
  </w:style>
  <w:style w:type="paragraph" w:styleId="TOCHeading">
    <w:name w:val="TOC Heading"/>
    <w:basedOn w:val="Heading1"/>
    <w:next w:val="Normal"/>
    <w:uiPriority w:val="39"/>
    <w:semiHidden/>
    <w:unhideWhenUsed/>
    <w:qFormat/>
    <w:rsid w:val="00E279F5"/>
    <w:pPr>
      <w:keepLines/>
      <w:spacing w:line="276" w:lineRule="auto"/>
      <w:outlineLvl w:val="9"/>
    </w:pPr>
    <w:rPr>
      <w:rFonts w:ascii="Cambria" w:eastAsia="MS Gothic" w:hAnsi="Cambria" w:cs="Times New Roman"/>
      <w:color w:val="365F91"/>
      <w:kern w:val="0"/>
      <w:sz w:val="28"/>
      <w:szCs w:val="28"/>
      <w:lang w:val="en-US" w:eastAsia="ja-JP"/>
    </w:rPr>
  </w:style>
  <w:style w:type="paragraph" w:customStyle="1" w:styleId="Header1nonumber">
    <w:name w:val="Header 1 no number"/>
    <w:basedOn w:val="Heading1"/>
    <w:rsid w:val="006C7FEE"/>
    <w:pPr>
      <w:numPr>
        <w:numId w:val="0"/>
      </w:numPr>
    </w:pPr>
    <w:rPr>
      <w:rFonts w:cs="Times New Roman"/>
    </w:rPr>
  </w:style>
  <w:style w:type="paragraph" w:styleId="TOC4">
    <w:name w:val="toc 4"/>
    <w:basedOn w:val="Normal"/>
    <w:next w:val="Normal"/>
    <w:autoRedefine/>
    <w:rsid w:val="006C7FEE"/>
    <w:pPr>
      <w:ind w:left="400"/>
    </w:pPr>
    <w:rPr>
      <w:rFonts w:ascii="Calibri" w:hAnsi="Calibri"/>
    </w:rPr>
  </w:style>
  <w:style w:type="paragraph" w:styleId="TOC5">
    <w:name w:val="toc 5"/>
    <w:basedOn w:val="Normal"/>
    <w:next w:val="Normal"/>
    <w:autoRedefine/>
    <w:rsid w:val="006C7FEE"/>
    <w:pPr>
      <w:ind w:left="600"/>
    </w:pPr>
    <w:rPr>
      <w:rFonts w:ascii="Calibri" w:hAnsi="Calibri"/>
    </w:rPr>
  </w:style>
  <w:style w:type="paragraph" w:styleId="TOC6">
    <w:name w:val="toc 6"/>
    <w:basedOn w:val="Normal"/>
    <w:next w:val="Normal"/>
    <w:autoRedefine/>
    <w:rsid w:val="006C7FEE"/>
    <w:pPr>
      <w:ind w:left="800"/>
    </w:pPr>
    <w:rPr>
      <w:rFonts w:ascii="Calibri" w:hAnsi="Calibri"/>
    </w:rPr>
  </w:style>
  <w:style w:type="paragraph" w:styleId="TOC7">
    <w:name w:val="toc 7"/>
    <w:basedOn w:val="Normal"/>
    <w:next w:val="Normal"/>
    <w:autoRedefine/>
    <w:rsid w:val="006C7FEE"/>
    <w:pPr>
      <w:ind w:left="1000"/>
    </w:pPr>
    <w:rPr>
      <w:rFonts w:ascii="Calibri" w:hAnsi="Calibri"/>
    </w:rPr>
  </w:style>
  <w:style w:type="paragraph" w:styleId="TOC8">
    <w:name w:val="toc 8"/>
    <w:basedOn w:val="Normal"/>
    <w:next w:val="Normal"/>
    <w:autoRedefine/>
    <w:rsid w:val="006C7FEE"/>
    <w:pPr>
      <w:ind w:left="1200"/>
    </w:pPr>
    <w:rPr>
      <w:rFonts w:ascii="Calibri" w:hAnsi="Calibri"/>
    </w:rPr>
  </w:style>
  <w:style w:type="paragraph" w:styleId="TOC9">
    <w:name w:val="toc 9"/>
    <w:basedOn w:val="Normal"/>
    <w:next w:val="Normal"/>
    <w:autoRedefine/>
    <w:rsid w:val="006C7FEE"/>
    <w:pPr>
      <w:ind w:left="1400"/>
    </w:pPr>
    <w:rPr>
      <w:rFonts w:ascii="Calibri" w:hAnsi="Calibri"/>
    </w:rPr>
  </w:style>
  <w:style w:type="character" w:customStyle="1" w:styleId="Heading3Char">
    <w:name w:val="Heading 3 Char"/>
    <w:link w:val="Heading3"/>
    <w:rsid w:val="0002477A"/>
    <w:rPr>
      <w:rFonts w:ascii="Arial" w:hAnsi="Arial" w:cs="Arial"/>
      <w:b/>
      <w:sz w:val="22"/>
      <w:szCs w:val="22"/>
      <w:lang w:val="en-GB"/>
    </w:rPr>
  </w:style>
  <w:style w:type="character" w:customStyle="1" w:styleId="Heading5Char">
    <w:name w:val="Heading 5 Char"/>
    <w:link w:val="Heading5"/>
    <w:semiHidden/>
    <w:rsid w:val="004D50C2"/>
    <w:rPr>
      <w:rFonts w:ascii="Calibri" w:hAnsi="Calibri"/>
      <w:b/>
      <w:bCs/>
      <w:i/>
      <w:iCs/>
      <w:sz w:val="26"/>
      <w:szCs w:val="26"/>
    </w:rPr>
  </w:style>
  <w:style w:type="character" w:customStyle="1" w:styleId="Heading6Char">
    <w:name w:val="Heading 6 Char"/>
    <w:link w:val="Heading6"/>
    <w:semiHidden/>
    <w:rsid w:val="004D50C2"/>
    <w:rPr>
      <w:rFonts w:ascii="Calibri" w:hAnsi="Calibri"/>
      <w:b/>
      <w:bCs/>
      <w:sz w:val="22"/>
      <w:szCs w:val="22"/>
    </w:rPr>
  </w:style>
  <w:style w:type="character" w:customStyle="1" w:styleId="Heading9Char">
    <w:name w:val="Heading 9 Char"/>
    <w:link w:val="Heading9"/>
    <w:semiHidden/>
    <w:rsid w:val="004D50C2"/>
    <w:rPr>
      <w:rFonts w:ascii="Calibri Light" w:hAnsi="Calibri Light"/>
      <w:sz w:val="22"/>
      <w:szCs w:val="22"/>
    </w:rPr>
  </w:style>
  <w:style w:type="character" w:styleId="Strong">
    <w:name w:val="Strong"/>
    <w:qFormat/>
    <w:rsid w:val="004D50C2"/>
    <w:rPr>
      <w:b/>
      <w:i/>
      <w:lang w:val="en-GB"/>
    </w:rPr>
  </w:style>
  <w:style w:type="character" w:customStyle="1" w:styleId="apple-converted-space">
    <w:name w:val="apple-converted-space"/>
    <w:rsid w:val="00E54D7D"/>
  </w:style>
  <w:style w:type="paragraph" w:styleId="FootnoteText">
    <w:name w:val="footnote text"/>
    <w:basedOn w:val="Normal"/>
    <w:link w:val="FootnoteTextChar"/>
    <w:rsid w:val="00CE0EE7"/>
  </w:style>
  <w:style w:type="character" w:customStyle="1" w:styleId="FootnoteTextChar">
    <w:name w:val="Footnote Text Char"/>
    <w:link w:val="FootnoteText"/>
    <w:rsid w:val="00CE0EE7"/>
    <w:rPr>
      <w:rFonts w:ascii="Arial" w:hAnsi="Arial"/>
    </w:rPr>
  </w:style>
  <w:style w:type="character" w:styleId="FootnoteReference">
    <w:name w:val="footnote reference"/>
    <w:rsid w:val="00CE0EE7"/>
    <w:rPr>
      <w:vertAlign w:val="superscript"/>
    </w:rPr>
  </w:style>
  <w:style w:type="character" w:customStyle="1" w:styleId="Heading2Char">
    <w:name w:val="Heading 2 Char"/>
    <w:link w:val="Heading2"/>
    <w:rsid w:val="0018010B"/>
    <w:rPr>
      <w:rFonts w:ascii="Arial" w:hAnsi="Arial" w:cs="Arial"/>
      <w:b/>
      <w:bCs/>
      <w:iCs/>
      <w:sz w:val="32"/>
      <w:szCs w:val="28"/>
      <w:lang w:val="en-GB"/>
    </w:rPr>
  </w:style>
  <w:style w:type="paragraph" w:customStyle="1" w:styleId="SPEC3">
    <w:name w:val="SPEC3"/>
    <w:qFormat/>
    <w:rsid w:val="00B401AA"/>
    <w:rPr>
      <w:rFonts w:ascii="Arial" w:hAnsi="Arial"/>
      <w:b/>
      <w:sz w:val="22"/>
      <w:lang w:eastAsia="en-US"/>
    </w:rPr>
  </w:style>
  <w:style w:type="paragraph" w:customStyle="1" w:styleId="SPEC1">
    <w:name w:val="SPEC1"/>
    <w:qFormat/>
    <w:rsid w:val="00B401AA"/>
    <w:rPr>
      <w:rFonts w:ascii="Arial" w:hAnsi="Arial"/>
      <w:b/>
      <w:sz w:val="32"/>
      <w:lang w:eastAsia="en-US"/>
    </w:rPr>
  </w:style>
  <w:style w:type="paragraph" w:customStyle="1" w:styleId="SPEC2">
    <w:name w:val="SPEC2"/>
    <w:basedOn w:val="Normal"/>
    <w:next w:val="BasicParagraph"/>
    <w:qFormat/>
    <w:rsid w:val="00B401AA"/>
    <w:rPr>
      <w:b/>
      <w:sz w:val="26"/>
      <w:lang w:eastAsia="en-US"/>
    </w:rPr>
  </w:style>
  <w:style w:type="character" w:styleId="UnresolvedMention">
    <w:name w:val="Unresolved Mention"/>
    <w:basedOn w:val="DefaultParagraphFont"/>
    <w:uiPriority w:val="99"/>
    <w:semiHidden/>
    <w:unhideWhenUsed/>
    <w:rsid w:val="00553918"/>
    <w:rPr>
      <w:color w:val="605E5C"/>
      <w:shd w:val="clear" w:color="auto" w:fill="E1DFDD"/>
    </w:rPr>
  </w:style>
  <w:style w:type="paragraph" w:customStyle="1" w:styleId="TableParagraph">
    <w:name w:val="Table Paragraph"/>
    <w:basedOn w:val="Normal"/>
    <w:uiPriority w:val="1"/>
    <w:qFormat/>
    <w:rsid w:val="003D17AB"/>
    <w:pPr>
      <w:widowControl w:val="0"/>
    </w:pPr>
    <w:rPr>
      <w:rFonts w:asciiTheme="minorHAnsi" w:eastAsiaTheme="minorHAnsi" w:hAnsiTheme="minorHAnsi" w:cstheme="minorBidi"/>
      <w:sz w:val="22"/>
      <w:szCs w:val="22"/>
      <w:lang w:val="en-US" w:eastAsia="en-US"/>
    </w:rPr>
  </w:style>
  <w:style w:type="table" w:customStyle="1" w:styleId="TableGrid3">
    <w:name w:val="Table Grid3"/>
    <w:basedOn w:val="TableNormal"/>
    <w:next w:val="TableGrid"/>
    <w:uiPriority w:val="39"/>
    <w:rsid w:val="001262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5034">
      <w:bodyDiv w:val="1"/>
      <w:marLeft w:val="0"/>
      <w:marRight w:val="0"/>
      <w:marTop w:val="0"/>
      <w:marBottom w:val="0"/>
      <w:divBdr>
        <w:top w:val="none" w:sz="0" w:space="0" w:color="auto"/>
        <w:left w:val="none" w:sz="0" w:space="0" w:color="auto"/>
        <w:bottom w:val="none" w:sz="0" w:space="0" w:color="auto"/>
        <w:right w:val="none" w:sz="0" w:space="0" w:color="auto"/>
      </w:divBdr>
      <w:divsChild>
        <w:div w:id="31656137">
          <w:marLeft w:val="0"/>
          <w:marRight w:val="0"/>
          <w:marTop w:val="0"/>
          <w:marBottom w:val="0"/>
          <w:divBdr>
            <w:top w:val="none" w:sz="0" w:space="0" w:color="auto"/>
            <w:left w:val="none" w:sz="0" w:space="0" w:color="auto"/>
            <w:bottom w:val="none" w:sz="0" w:space="0" w:color="auto"/>
            <w:right w:val="none" w:sz="0" w:space="0" w:color="auto"/>
          </w:divBdr>
        </w:div>
      </w:divsChild>
    </w:div>
    <w:div w:id="291055220">
      <w:bodyDiv w:val="1"/>
      <w:marLeft w:val="0"/>
      <w:marRight w:val="0"/>
      <w:marTop w:val="0"/>
      <w:marBottom w:val="0"/>
      <w:divBdr>
        <w:top w:val="none" w:sz="0" w:space="0" w:color="auto"/>
        <w:left w:val="none" w:sz="0" w:space="0" w:color="auto"/>
        <w:bottom w:val="none" w:sz="0" w:space="0" w:color="auto"/>
        <w:right w:val="none" w:sz="0" w:space="0" w:color="auto"/>
      </w:divBdr>
    </w:div>
    <w:div w:id="368188179">
      <w:bodyDiv w:val="1"/>
      <w:marLeft w:val="0"/>
      <w:marRight w:val="0"/>
      <w:marTop w:val="0"/>
      <w:marBottom w:val="0"/>
      <w:divBdr>
        <w:top w:val="none" w:sz="0" w:space="0" w:color="auto"/>
        <w:left w:val="none" w:sz="0" w:space="0" w:color="auto"/>
        <w:bottom w:val="none" w:sz="0" w:space="0" w:color="auto"/>
        <w:right w:val="none" w:sz="0" w:space="0" w:color="auto"/>
      </w:divBdr>
    </w:div>
    <w:div w:id="403725445">
      <w:bodyDiv w:val="1"/>
      <w:marLeft w:val="0"/>
      <w:marRight w:val="0"/>
      <w:marTop w:val="0"/>
      <w:marBottom w:val="0"/>
      <w:divBdr>
        <w:top w:val="none" w:sz="0" w:space="0" w:color="auto"/>
        <w:left w:val="none" w:sz="0" w:space="0" w:color="auto"/>
        <w:bottom w:val="none" w:sz="0" w:space="0" w:color="auto"/>
        <w:right w:val="none" w:sz="0" w:space="0" w:color="auto"/>
      </w:divBdr>
    </w:div>
    <w:div w:id="464352506">
      <w:bodyDiv w:val="1"/>
      <w:marLeft w:val="0"/>
      <w:marRight w:val="0"/>
      <w:marTop w:val="0"/>
      <w:marBottom w:val="0"/>
      <w:divBdr>
        <w:top w:val="none" w:sz="0" w:space="0" w:color="auto"/>
        <w:left w:val="none" w:sz="0" w:space="0" w:color="auto"/>
        <w:bottom w:val="none" w:sz="0" w:space="0" w:color="auto"/>
        <w:right w:val="none" w:sz="0" w:space="0" w:color="auto"/>
      </w:divBdr>
    </w:div>
    <w:div w:id="749499428">
      <w:bodyDiv w:val="1"/>
      <w:marLeft w:val="0"/>
      <w:marRight w:val="0"/>
      <w:marTop w:val="0"/>
      <w:marBottom w:val="0"/>
      <w:divBdr>
        <w:top w:val="none" w:sz="0" w:space="0" w:color="auto"/>
        <w:left w:val="none" w:sz="0" w:space="0" w:color="auto"/>
        <w:bottom w:val="none" w:sz="0" w:space="0" w:color="auto"/>
        <w:right w:val="none" w:sz="0" w:space="0" w:color="auto"/>
      </w:divBdr>
    </w:div>
    <w:div w:id="756295464">
      <w:bodyDiv w:val="1"/>
      <w:marLeft w:val="0"/>
      <w:marRight w:val="0"/>
      <w:marTop w:val="0"/>
      <w:marBottom w:val="0"/>
      <w:divBdr>
        <w:top w:val="none" w:sz="0" w:space="0" w:color="auto"/>
        <w:left w:val="none" w:sz="0" w:space="0" w:color="auto"/>
        <w:bottom w:val="none" w:sz="0" w:space="0" w:color="auto"/>
        <w:right w:val="none" w:sz="0" w:space="0" w:color="auto"/>
      </w:divBdr>
    </w:div>
    <w:div w:id="784276329">
      <w:bodyDiv w:val="1"/>
      <w:marLeft w:val="0"/>
      <w:marRight w:val="0"/>
      <w:marTop w:val="0"/>
      <w:marBottom w:val="0"/>
      <w:divBdr>
        <w:top w:val="none" w:sz="0" w:space="0" w:color="auto"/>
        <w:left w:val="none" w:sz="0" w:space="0" w:color="auto"/>
        <w:bottom w:val="none" w:sz="0" w:space="0" w:color="auto"/>
        <w:right w:val="none" w:sz="0" w:space="0" w:color="auto"/>
      </w:divBdr>
    </w:div>
    <w:div w:id="819425338">
      <w:bodyDiv w:val="1"/>
      <w:marLeft w:val="0"/>
      <w:marRight w:val="0"/>
      <w:marTop w:val="0"/>
      <w:marBottom w:val="0"/>
      <w:divBdr>
        <w:top w:val="none" w:sz="0" w:space="0" w:color="auto"/>
        <w:left w:val="none" w:sz="0" w:space="0" w:color="auto"/>
        <w:bottom w:val="none" w:sz="0" w:space="0" w:color="auto"/>
        <w:right w:val="none" w:sz="0" w:space="0" w:color="auto"/>
      </w:divBdr>
    </w:div>
    <w:div w:id="924072164">
      <w:bodyDiv w:val="1"/>
      <w:marLeft w:val="0"/>
      <w:marRight w:val="0"/>
      <w:marTop w:val="0"/>
      <w:marBottom w:val="0"/>
      <w:divBdr>
        <w:top w:val="none" w:sz="0" w:space="0" w:color="auto"/>
        <w:left w:val="none" w:sz="0" w:space="0" w:color="auto"/>
        <w:bottom w:val="none" w:sz="0" w:space="0" w:color="auto"/>
        <w:right w:val="none" w:sz="0" w:space="0" w:color="auto"/>
      </w:divBdr>
    </w:div>
    <w:div w:id="1002006490">
      <w:bodyDiv w:val="1"/>
      <w:marLeft w:val="0"/>
      <w:marRight w:val="0"/>
      <w:marTop w:val="0"/>
      <w:marBottom w:val="0"/>
      <w:divBdr>
        <w:top w:val="none" w:sz="0" w:space="0" w:color="auto"/>
        <w:left w:val="none" w:sz="0" w:space="0" w:color="auto"/>
        <w:bottom w:val="none" w:sz="0" w:space="0" w:color="auto"/>
        <w:right w:val="none" w:sz="0" w:space="0" w:color="auto"/>
      </w:divBdr>
    </w:div>
    <w:div w:id="1179275895">
      <w:bodyDiv w:val="1"/>
      <w:marLeft w:val="0"/>
      <w:marRight w:val="0"/>
      <w:marTop w:val="0"/>
      <w:marBottom w:val="0"/>
      <w:divBdr>
        <w:top w:val="none" w:sz="0" w:space="0" w:color="auto"/>
        <w:left w:val="none" w:sz="0" w:space="0" w:color="auto"/>
        <w:bottom w:val="none" w:sz="0" w:space="0" w:color="auto"/>
        <w:right w:val="none" w:sz="0" w:space="0" w:color="auto"/>
      </w:divBdr>
    </w:div>
    <w:div w:id="1210722797">
      <w:bodyDiv w:val="1"/>
      <w:marLeft w:val="0"/>
      <w:marRight w:val="0"/>
      <w:marTop w:val="0"/>
      <w:marBottom w:val="0"/>
      <w:divBdr>
        <w:top w:val="none" w:sz="0" w:space="0" w:color="auto"/>
        <w:left w:val="none" w:sz="0" w:space="0" w:color="auto"/>
        <w:bottom w:val="none" w:sz="0" w:space="0" w:color="auto"/>
        <w:right w:val="none" w:sz="0" w:space="0" w:color="auto"/>
      </w:divBdr>
      <w:divsChild>
        <w:div w:id="1381783817">
          <w:marLeft w:val="0"/>
          <w:marRight w:val="0"/>
          <w:marTop w:val="0"/>
          <w:marBottom w:val="0"/>
          <w:divBdr>
            <w:top w:val="none" w:sz="0" w:space="0" w:color="auto"/>
            <w:left w:val="none" w:sz="0" w:space="0" w:color="auto"/>
            <w:bottom w:val="none" w:sz="0" w:space="0" w:color="auto"/>
            <w:right w:val="none" w:sz="0" w:space="0" w:color="auto"/>
          </w:divBdr>
        </w:div>
      </w:divsChild>
    </w:div>
    <w:div w:id="1299607427">
      <w:bodyDiv w:val="1"/>
      <w:marLeft w:val="0"/>
      <w:marRight w:val="0"/>
      <w:marTop w:val="0"/>
      <w:marBottom w:val="0"/>
      <w:divBdr>
        <w:top w:val="none" w:sz="0" w:space="0" w:color="auto"/>
        <w:left w:val="none" w:sz="0" w:space="0" w:color="auto"/>
        <w:bottom w:val="none" w:sz="0" w:space="0" w:color="auto"/>
        <w:right w:val="none" w:sz="0" w:space="0" w:color="auto"/>
      </w:divBdr>
      <w:divsChild>
        <w:div w:id="2136411015">
          <w:marLeft w:val="0"/>
          <w:marRight w:val="0"/>
          <w:marTop w:val="0"/>
          <w:marBottom w:val="0"/>
          <w:divBdr>
            <w:top w:val="none" w:sz="0" w:space="0" w:color="auto"/>
            <w:left w:val="none" w:sz="0" w:space="0" w:color="auto"/>
            <w:bottom w:val="none" w:sz="0" w:space="0" w:color="auto"/>
            <w:right w:val="none" w:sz="0" w:space="0" w:color="auto"/>
          </w:divBdr>
        </w:div>
      </w:divsChild>
    </w:div>
    <w:div w:id="1447651341">
      <w:bodyDiv w:val="1"/>
      <w:marLeft w:val="0"/>
      <w:marRight w:val="0"/>
      <w:marTop w:val="0"/>
      <w:marBottom w:val="0"/>
      <w:divBdr>
        <w:top w:val="none" w:sz="0" w:space="0" w:color="auto"/>
        <w:left w:val="none" w:sz="0" w:space="0" w:color="auto"/>
        <w:bottom w:val="none" w:sz="0" w:space="0" w:color="auto"/>
        <w:right w:val="none" w:sz="0" w:space="0" w:color="auto"/>
      </w:divBdr>
      <w:divsChild>
        <w:div w:id="110318453">
          <w:marLeft w:val="0"/>
          <w:marRight w:val="0"/>
          <w:marTop w:val="0"/>
          <w:marBottom w:val="0"/>
          <w:divBdr>
            <w:top w:val="none" w:sz="0" w:space="0" w:color="auto"/>
            <w:left w:val="none" w:sz="0" w:space="0" w:color="auto"/>
            <w:bottom w:val="none" w:sz="0" w:space="0" w:color="auto"/>
            <w:right w:val="none" w:sz="0" w:space="0" w:color="auto"/>
          </w:divBdr>
        </w:div>
      </w:divsChild>
    </w:div>
    <w:div w:id="1474561438">
      <w:bodyDiv w:val="1"/>
      <w:marLeft w:val="0"/>
      <w:marRight w:val="0"/>
      <w:marTop w:val="0"/>
      <w:marBottom w:val="0"/>
      <w:divBdr>
        <w:top w:val="none" w:sz="0" w:space="0" w:color="auto"/>
        <w:left w:val="none" w:sz="0" w:space="0" w:color="auto"/>
        <w:bottom w:val="none" w:sz="0" w:space="0" w:color="auto"/>
        <w:right w:val="none" w:sz="0" w:space="0" w:color="auto"/>
      </w:divBdr>
    </w:div>
    <w:div w:id="1486584938">
      <w:bodyDiv w:val="1"/>
      <w:marLeft w:val="0"/>
      <w:marRight w:val="0"/>
      <w:marTop w:val="0"/>
      <w:marBottom w:val="0"/>
      <w:divBdr>
        <w:top w:val="none" w:sz="0" w:space="0" w:color="auto"/>
        <w:left w:val="none" w:sz="0" w:space="0" w:color="auto"/>
        <w:bottom w:val="none" w:sz="0" w:space="0" w:color="auto"/>
        <w:right w:val="none" w:sz="0" w:space="0" w:color="auto"/>
      </w:divBdr>
      <w:divsChild>
        <w:div w:id="946622895">
          <w:marLeft w:val="0"/>
          <w:marRight w:val="0"/>
          <w:marTop w:val="0"/>
          <w:marBottom w:val="0"/>
          <w:divBdr>
            <w:top w:val="none" w:sz="0" w:space="0" w:color="auto"/>
            <w:left w:val="none" w:sz="0" w:space="0" w:color="auto"/>
            <w:bottom w:val="none" w:sz="0" w:space="0" w:color="auto"/>
            <w:right w:val="none" w:sz="0" w:space="0" w:color="auto"/>
          </w:divBdr>
        </w:div>
      </w:divsChild>
    </w:div>
    <w:div w:id="1493134351">
      <w:bodyDiv w:val="1"/>
      <w:marLeft w:val="0"/>
      <w:marRight w:val="0"/>
      <w:marTop w:val="0"/>
      <w:marBottom w:val="0"/>
      <w:divBdr>
        <w:top w:val="none" w:sz="0" w:space="0" w:color="auto"/>
        <w:left w:val="none" w:sz="0" w:space="0" w:color="auto"/>
        <w:bottom w:val="none" w:sz="0" w:space="0" w:color="auto"/>
        <w:right w:val="none" w:sz="0" w:space="0" w:color="auto"/>
      </w:divBdr>
      <w:divsChild>
        <w:div w:id="570700175">
          <w:marLeft w:val="0"/>
          <w:marRight w:val="0"/>
          <w:marTop w:val="0"/>
          <w:marBottom w:val="0"/>
          <w:divBdr>
            <w:top w:val="none" w:sz="0" w:space="0" w:color="auto"/>
            <w:left w:val="none" w:sz="0" w:space="0" w:color="auto"/>
            <w:bottom w:val="none" w:sz="0" w:space="0" w:color="auto"/>
            <w:right w:val="none" w:sz="0" w:space="0" w:color="auto"/>
          </w:divBdr>
        </w:div>
      </w:divsChild>
    </w:div>
    <w:div w:id="1493908611">
      <w:bodyDiv w:val="1"/>
      <w:marLeft w:val="0"/>
      <w:marRight w:val="0"/>
      <w:marTop w:val="0"/>
      <w:marBottom w:val="0"/>
      <w:divBdr>
        <w:top w:val="none" w:sz="0" w:space="0" w:color="auto"/>
        <w:left w:val="none" w:sz="0" w:space="0" w:color="auto"/>
        <w:bottom w:val="none" w:sz="0" w:space="0" w:color="auto"/>
        <w:right w:val="none" w:sz="0" w:space="0" w:color="auto"/>
      </w:divBdr>
    </w:div>
    <w:div w:id="1595891732">
      <w:bodyDiv w:val="1"/>
      <w:marLeft w:val="0"/>
      <w:marRight w:val="0"/>
      <w:marTop w:val="0"/>
      <w:marBottom w:val="0"/>
      <w:divBdr>
        <w:top w:val="none" w:sz="0" w:space="0" w:color="auto"/>
        <w:left w:val="none" w:sz="0" w:space="0" w:color="auto"/>
        <w:bottom w:val="none" w:sz="0" w:space="0" w:color="auto"/>
        <w:right w:val="none" w:sz="0" w:space="0" w:color="auto"/>
      </w:divBdr>
    </w:div>
    <w:div w:id="1666934208">
      <w:bodyDiv w:val="1"/>
      <w:marLeft w:val="0"/>
      <w:marRight w:val="0"/>
      <w:marTop w:val="0"/>
      <w:marBottom w:val="0"/>
      <w:divBdr>
        <w:top w:val="none" w:sz="0" w:space="0" w:color="auto"/>
        <w:left w:val="none" w:sz="0" w:space="0" w:color="auto"/>
        <w:bottom w:val="none" w:sz="0" w:space="0" w:color="auto"/>
        <w:right w:val="none" w:sz="0" w:space="0" w:color="auto"/>
      </w:divBdr>
    </w:div>
    <w:div w:id="1670987387">
      <w:bodyDiv w:val="1"/>
      <w:marLeft w:val="0"/>
      <w:marRight w:val="0"/>
      <w:marTop w:val="0"/>
      <w:marBottom w:val="0"/>
      <w:divBdr>
        <w:top w:val="none" w:sz="0" w:space="0" w:color="auto"/>
        <w:left w:val="none" w:sz="0" w:space="0" w:color="auto"/>
        <w:bottom w:val="none" w:sz="0" w:space="0" w:color="auto"/>
        <w:right w:val="none" w:sz="0" w:space="0" w:color="auto"/>
      </w:divBdr>
      <w:divsChild>
        <w:div w:id="1328509946">
          <w:marLeft w:val="1195"/>
          <w:marRight w:val="0"/>
          <w:marTop w:val="120"/>
          <w:marBottom w:val="0"/>
          <w:divBdr>
            <w:top w:val="none" w:sz="0" w:space="0" w:color="auto"/>
            <w:left w:val="none" w:sz="0" w:space="0" w:color="auto"/>
            <w:bottom w:val="none" w:sz="0" w:space="0" w:color="auto"/>
            <w:right w:val="none" w:sz="0" w:space="0" w:color="auto"/>
          </w:divBdr>
        </w:div>
        <w:div w:id="1636645767">
          <w:marLeft w:val="1195"/>
          <w:marRight w:val="0"/>
          <w:marTop w:val="120"/>
          <w:marBottom w:val="0"/>
          <w:divBdr>
            <w:top w:val="none" w:sz="0" w:space="0" w:color="auto"/>
            <w:left w:val="none" w:sz="0" w:space="0" w:color="auto"/>
            <w:bottom w:val="none" w:sz="0" w:space="0" w:color="auto"/>
            <w:right w:val="none" w:sz="0" w:space="0" w:color="auto"/>
          </w:divBdr>
        </w:div>
      </w:divsChild>
    </w:div>
    <w:div w:id="1737703203">
      <w:bodyDiv w:val="1"/>
      <w:marLeft w:val="0"/>
      <w:marRight w:val="0"/>
      <w:marTop w:val="0"/>
      <w:marBottom w:val="0"/>
      <w:divBdr>
        <w:top w:val="none" w:sz="0" w:space="0" w:color="auto"/>
        <w:left w:val="none" w:sz="0" w:space="0" w:color="auto"/>
        <w:bottom w:val="none" w:sz="0" w:space="0" w:color="auto"/>
        <w:right w:val="none" w:sz="0" w:space="0" w:color="auto"/>
      </w:divBdr>
    </w:div>
    <w:div w:id="1884829742">
      <w:bodyDiv w:val="1"/>
      <w:marLeft w:val="0"/>
      <w:marRight w:val="0"/>
      <w:marTop w:val="0"/>
      <w:marBottom w:val="0"/>
      <w:divBdr>
        <w:top w:val="none" w:sz="0" w:space="0" w:color="auto"/>
        <w:left w:val="none" w:sz="0" w:space="0" w:color="auto"/>
        <w:bottom w:val="none" w:sz="0" w:space="0" w:color="auto"/>
        <w:right w:val="none" w:sz="0" w:space="0" w:color="auto"/>
      </w:divBdr>
    </w:div>
    <w:div w:id="1911888318">
      <w:bodyDiv w:val="1"/>
      <w:marLeft w:val="0"/>
      <w:marRight w:val="0"/>
      <w:marTop w:val="0"/>
      <w:marBottom w:val="0"/>
      <w:divBdr>
        <w:top w:val="none" w:sz="0" w:space="0" w:color="auto"/>
        <w:left w:val="none" w:sz="0" w:space="0" w:color="auto"/>
        <w:bottom w:val="none" w:sz="0" w:space="0" w:color="auto"/>
        <w:right w:val="none" w:sz="0" w:space="0" w:color="auto"/>
      </w:divBdr>
      <w:divsChild>
        <w:div w:id="1819421672">
          <w:marLeft w:val="0"/>
          <w:marRight w:val="0"/>
          <w:marTop w:val="0"/>
          <w:marBottom w:val="0"/>
          <w:divBdr>
            <w:top w:val="none" w:sz="0" w:space="0" w:color="auto"/>
            <w:left w:val="none" w:sz="0" w:space="0" w:color="auto"/>
            <w:bottom w:val="none" w:sz="0" w:space="0" w:color="auto"/>
            <w:right w:val="none" w:sz="0" w:space="0" w:color="auto"/>
          </w:divBdr>
        </w:div>
      </w:divsChild>
    </w:div>
    <w:div w:id="196006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http://www.bluecard.qld.gov.au/" TargetMode="External" Type="http://schemas.openxmlformats.org/officeDocument/2006/relationships/hyperlink"/>
<Relationship Id="rId12" Target="https://www.cyjma.qld.gov.au/about-us/our-department/funding-grants-investment/investment-specifications" TargetMode="External" Type="http://schemas.openxmlformats.org/officeDocument/2006/relationships/hyperlink"/>
<Relationship Id="rId13" Target="https://www.des.qld.gov.au/youth/how-qld-govt-is-helping-youth/queensland-youth-strategy" TargetMode="External" Type="http://schemas.openxmlformats.org/officeDocument/2006/relationships/hyperlink"/>
<Relationship Id="rId14" Target="https://www.cyjma.qld.gov.au/youth-justice/reform/youth-justice-strategy" TargetMode="External" Type="http://schemas.openxmlformats.org/officeDocument/2006/relationships/hyperlink"/>
<Relationship Id="rId15" Target="https://www.legislation.qld.gov.au/view/html/asmade/act-2019-005" TargetMode="External" Type="http://schemas.openxmlformats.org/officeDocument/2006/relationships/hyperlink"/>
<Relationship Id="rId16" Target="https://www.cyjma.qld.gov.au/foster-kinship-care/training/aboriginal-torres-strait-islanders/child-placement-principle" TargetMode="External" Type="http://schemas.openxmlformats.org/officeDocument/2006/relationships/hyperlink"/>
<Relationship Id="rId17" Target="https://www.cyjma.qld.gov.au/resources/dcsyw/youth/youth-support-services/youth-support-practice-guide.pdf" TargetMode="External" Type="http://schemas.openxmlformats.org/officeDocument/2006/relationships/hyperlink"/>
<Relationship Id="rId18" Target="https://www.cyjma.qld.gov.au/youth/youth-support-services" TargetMode="External" Type="http://schemas.openxmlformats.org/officeDocument/2006/relationships/hyperlink"/>
<Relationship Id="rId19" Target="https://www.cyjma.qld.gov.au/youth/youth-support-services" TargetMode="External" Type="http://schemas.openxmlformats.org/officeDocument/2006/relationships/hyperlink"/>
<Relationship Id="rId2" Target="numbering.xml" Type="http://schemas.openxmlformats.org/officeDocument/2006/relationships/numbering"/>
<Relationship Id="rId20" Target="https://www.cyjma.qld.gov.au/youth/youth-support-services" TargetMode="External" Type="http://schemas.openxmlformats.org/officeDocument/2006/relationships/hyperlink"/>
<Relationship Id="rId21" Target="https://www.cyjma.qld.gov.au/youth/youth-support-services" TargetMode="External" Type="http://schemas.openxmlformats.org/officeDocument/2006/relationships/hyperlink"/>
<Relationship Id="rId22" Target="https://www.cyjma.qld.gov.au/about-us/our-department/funding-grants-investment/output-funding-reporting" TargetMode="External" Type="http://schemas.openxmlformats.org/officeDocument/2006/relationships/hyperlink"/>
<Relationship Id="rId23" Target="https://www.qld.gov.au/community/community-organisations-volunteering/funding-grants" TargetMode="External" Type="http://schemas.openxmlformats.org/officeDocument/2006/relationships/hyperlink"/>
<Relationship Id="rId24" Target="https://www.hpw.qld.gov.au/qtenders/" TargetMode="External" Type="http://schemas.openxmlformats.org/officeDocument/2006/relationships/hyperlink"/>
<Relationship Id="rId25" Target="http://www.communities.qld.gov.au/gateway/funding-and-grants/investment-domains-guideline-and-investment-specifications" TargetMode="External" Type="http://schemas.openxmlformats.org/officeDocument/2006/relationships/hyperlink"/>
<Relationship Id="rId26" Target="https://www.cyjma.qld.gov.au/about-us/our-department/funding-grants-investment/investment-specifications" TargetMode="External" Type="http://schemas.openxmlformats.org/officeDocument/2006/relationships/hyperlink"/>
<Relationship Id="rId27" Target="https://www.communities.qld.gov.au/gateway/funding-and-grants/output-funding-and-reporting" TargetMode="External" Type="http://schemas.openxmlformats.org/officeDocument/2006/relationships/hyperlink"/>
<Relationship Id="rId28" Target="http://www.communities.qld.gov.au/gateway/funding-and-grants/human-services-quality-framework" TargetMode="External" Type="http://schemas.openxmlformats.org/officeDocument/2006/relationships/hyperlink"/>
<Relationship Id="rId29" Target="https://www.dsdsatsip.qld.gov.au/our-work/human-services-quality-framework" TargetMode="External" Type="http://schemas.openxmlformats.org/officeDocument/2006/relationships/hyperlink"/>
<Relationship Id="rId3" Target="styles.xml" Type="http://schemas.openxmlformats.org/officeDocument/2006/relationships/styles"/>
<Relationship Id="rId30" Target="https://www.des.qld.gov.au/youth/how-qld-govt-is-helping-youth/queensland-youth-strategy" TargetMode="External" Type="http://schemas.openxmlformats.org/officeDocument/2006/relationships/hyperlink"/>
<Relationship Id="rId31" Target="https://www.cyjma.qld.gov.au/youth-justice/reform/youth-justice-strategy" TargetMode="External" Type="http://schemas.openxmlformats.org/officeDocument/2006/relationships/hyperlink"/>
<Relationship Id="rId32" Target="https://www.communities.qld.gov.au/communityservices/youth/youth-support-services" TargetMode="External" Type="http://schemas.openxmlformats.org/officeDocument/2006/relationships/hyperlink"/>
<Relationship Id="rId33" Target="https://www.cyjma.qld.gov.au/resources/dcsyw/youth/youth-support-services/youth-wellbeing-assessment-cat-guide.pdf" TargetMode="External" Type="http://schemas.openxmlformats.org/officeDocument/2006/relationships/hyperlink"/>
<Relationship Id="rId34" Target="https://www.cyjma.qld.gov.au/resources/dcsyw/youth/youth-housing-reintegration/youth-housing-reintegration-service-guidelines.pdf" TargetMode="External" Type="http://schemas.openxmlformats.org/officeDocument/2006/relationships/hyperlink"/>
<Relationship Id="rId35" Target="https://www.cyjma.qld.gov.au/resources/dcsyw/youth/youth-support-services/yscis-user-manual.pdf" TargetMode="External" Type="http://schemas.openxmlformats.org/officeDocument/2006/relationships/hyperlink"/>
<Relationship Id="rId36" Target="https://www.cyjma.qld.gov.au/about-us/our-department/partners/youth" TargetMode="External" Type="http://schemas.openxmlformats.org/officeDocument/2006/relationships/hyperlink"/>
<Relationship Id="rId37" Target="header2.xml" Type="http://schemas.openxmlformats.org/officeDocument/2006/relationships/header"/>
<Relationship Id="rId38" Target="header3.xml" Type="http://schemas.openxmlformats.org/officeDocument/2006/relationships/header"/>
<Relationship Id="rId39" Target="footer3.xml" Type="http://schemas.openxmlformats.org/officeDocument/2006/relationships/footer"/>
<Relationship Id="rId4" Target="settings.xml" Type="http://schemas.openxmlformats.org/officeDocument/2006/relationships/settings"/>
<Relationship Id="rId40" Target="header4.xml" Type="http://schemas.openxmlformats.org/officeDocument/2006/relationships/header"/>
<Relationship Id="rId41" Target="footer4.xml" Type="http://schemas.openxmlformats.org/officeDocument/2006/relationships/footer"/>
<Relationship Id="rId42" Target="https://www.cyjma.qld.gov.au/about-us/our-department/funding-grants-investment/investment-specifications" TargetMode="External" Type="http://schemas.openxmlformats.org/officeDocument/2006/relationships/hyperlink"/>
<Relationship Id="rId43" Target="header5.xml" Type="http://schemas.openxmlformats.org/officeDocument/2006/relationships/header"/>
<Relationship Id="rId44" Target="header6.xml" Type="http://schemas.openxmlformats.org/officeDocument/2006/relationships/header"/>
<Relationship Id="rId45" Target="header7.xml" Type="http://schemas.openxmlformats.org/officeDocument/2006/relationships/header"/>
<Relationship Id="rId46" Target="footer5.xml" Type="http://schemas.openxmlformats.org/officeDocument/2006/relationships/footer"/>
<Relationship Id="rId47" Target="fontTable.xml" Type="http://schemas.openxmlformats.org/officeDocument/2006/relationships/fontTable"/>
<Relationship Id="rId48" Target="theme/theme1.xml" Type="http://schemas.openxmlformats.org/officeDocument/2006/relationships/theme"/>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_rels/header1.xml.rels><?xml version="1.0" encoding="UTF-8" standalone="yes"?>
<Relationships xmlns="http://schemas.openxmlformats.org/package/2006/relationships">
<Relationship Id="rId1" Target="media/image1.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CD14D-C199-400C-B761-0B96931AB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7133</Words>
  <Characters>45997</Characters>
  <Application>Microsoft Office Word</Application>
  <DocSecurity>4</DocSecurity>
  <Lines>383</Lines>
  <Paragraphs>106</Paragraphs>
  <ScaleCrop>false</ScaleCrop>
  <HeadingPairs>
    <vt:vector size="2" baseType="variant">
      <vt:variant>
        <vt:lpstr>Title</vt:lpstr>
      </vt:variant>
      <vt:variant>
        <vt:i4>1</vt:i4>
      </vt:variant>
    </vt:vector>
  </HeadingPairs>
  <TitlesOfParts>
    <vt:vector size="1" baseType="lpstr">
      <vt:lpstr>Young People Investment Specification</vt:lpstr>
    </vt:vector>
  </TitlesOfParts>
  <Manager>Family Support and Commissioning Oversight</Manager>
  <Company>Queensland Government</Company>
  <LinksUpToDate>false</LinksUpToDate>
  <CharactersWithSpaces>53024</CharactersWithSpaces>
  <SharedDoc>false</SharedDoc>
  <HLinks>
    <vt:vector size="78" baseType="variant">
      <vt:variant>
        <vt:i4>6815850</vt:i4>
      </vt:variant>
      <vt:variant>
        <vt:i4>177</vt:i4>
      </vt:variant>
      <vt:variant>
        <vt:i4>0</vt:i4>
      </vt:variant>
      <vt:variant>
        <vt:i4>5</vt:i4>
      </vt:variant>
      <vt:variant>
        <vt:lpwstr>https://www.communities.qld.gov.au/communityservices/youth/youth-housing-and-reintegration-service-yhars-and-after-care</vt:lpwstr>
      </vt:variant>
      <vt:variant>
        <vt:lpwstr/>
      </vt:variant>
      <vt:variant>
        <vt:i4>1048592</vt:i4>
      </vt:variant>
      <vt:variant>
        <vt:i4>174</vt:i4>
      </vt:variant>
      <vt:variant>
        <vt:i4>0</vt:i4>
      </vt:variant>
      <vt:variant>
        <vt:i4>5</vt:i4>
      </vt:variant>
      <vt:variant>
        <vt:lpwstr>https://www.communities.qld.gov.au/communityservices/youth/youth-support-services</vt:lpwstr>
      </vt:variant>
      <vt:variant>
        <vt:lpwstr/>
      </vt:variant>
      <vt:variant>
        <vt:i4>4259852</vt:i4>
      </vt:variant>
      <vt:variant>
        <vt:i4>171</vt:i4>
      </vt:variant>
      <vt:variant>
        <vt:i4>0</vt:i4>
      </vt:variant>
      <vt:variant>
        <vt:i4>5</vt:i4>
      </vt:variant>
      <vt:variant>
        <vt:lpwstr>https://www.qld.gov.au/youth/be-involved-have-your-say/qld-youth-strategy</vt:lpwstr>
      </vt:variant>
      <vt:variant>
        <vt:lpwstr/>
      </vt:variant>
      <vt:variant>
        <vt:i4>4980737</vt:i4>
      </vt:variant>
      <vt:variant>
        <vt:i4>168</vt:i4>
      </vt:variant>
      <vt:variant>
        <vt:i4>0</vt:i4>
      </vt:variant>
      <vt:variant>
        <vt:i4>5</vt:i4>
      </vt:variant>
      <vt:variant>
        <vt:lpwstr>http://www.communities.qld.gov.au/gateway/funding-and-grants/human-services-quality-framework</vt:lpwstr>
      </vt:variant>
      <vt:variant>
        <vt:lpwstr/>
      </vt:variant>
      <vt:variant>
        <vt:i4>2228340</vt:i4>
      </vt:variant>
      <vt:variant>
        <vt:i4>165</vt:i4>
      </vt:variant>
      <vt:variant>
        <vt:i4>0</vt:i4>
      </vt:variant>
      <vt:variant>
        <vt:i4>5</vt:i4>
      </vt:variant>
      <vt:variant>
        <vt:lpwstr>https://www.communities.qld.gov.au/gateway/funding-and-grants/output-funding-and-reporting</vt:lpwstr>
      </vt:variant>
      <vt:variant>
        <vt:lpwstr/>
      </vt:variant>
      <vt:variant>
        <vt:i4>3211366</vt:i4>
      </vt:variant>
      <vt:variant>
        <vt:i4>162</vt:i4>
      </vt:variant>
      <vt:variant>
        <vt:i4>0</vt:i4>
      </vt:variant>
      <vt:variant>
        <vt:i4>5</vt:i4>
      </vt:variant>
      <vt:variant>
        <vt:lpwstr>http://www.communities.qld.gov.au/gateway/funding-and-grants/investment-domains-guideline-and-investment-specifications</vt:lpwstr>
      </vt:variant>
      <vt:variant>
        <vt:lpwstr/>
      </vt:variant>
      <vt:variant>
        <vt:i4>3211366</vt:i4>
      </vt:variant>
      <vt:variant>
        <vt:i4>159</vt:i4>
      </vt:variant>
      <vt:variant>
        <vt:i4>0</vt:i4>
      </vt:variant>
      <vt:variant>
        <vt:i4>5</vt:i4>
      </vt:variant>
      <vt:variant>
        <vt:lpwstr>http://www.communities.qld.gov.au/gateway/funding-and-grants/investment-domains-guideline-and-investment-specifications</vt:lpwstr>
      </vt:variant>
      <vt:variant>
        <vt:lpwstr/>
      </vt:variant>
      <vt:variant>
        <vt:i4>5046297</vt:i4>
      </vt:variant>
      <vt:variant>
        <vt:i4>156</vt:i4>
      </vt:variant>
      <vt:variant>
        <vt:i4>0</vt:i4>
      </vt:variant>
      <vt:variant>
        <vt:i4>5</vt:i4>
      </vt:variant>
      <vt:variant>
        <vt:lpwstr>https://www.hpw.qld.gov.au/qtenders/</vt:lpwstr>
      </vt:variant>
      <vt:variant>
        <vt:lpwstr/>
      </vt:variant>
      <vt:variant>
        <vt:i4>7209022</vt:i4>
      </vt:variant>
      <vt:variant>
        <vt:i4>153</vt:i4>
      </vt:variant>
      <vt:variant>
        <vt:i4>0</vt:i4>
      </vt:variant>
      <vt:variant>
        <vt:i4>5</vt:i4>
      </vt:variant>
      <vt:variant>
        <vt:lpwstr>https://www.communities.qld.gov.au/gateway/funding-and-grants/funding-available</vt:lpwstr>
      </vt:variant>
      <vt:variant>
        <vt:lpwstr/>
      </vt:variant>
      <vt:variant>
        <vt:i4>5832792</vt:i4>
      </vt:variant>
      <vt:variant>
        <vt:i4>150</vt:i4>
      </vt:variant>
      <vt:variant>
        <vt:i4>0</vt:i4>
      </vt:variant>
      <vt:variant>
        <vt:i4>5</vt:i4>
      </vt:variant>
      <vt:variant>
        <vt:lpwstr>http://www.communities.qld.gov.au/communityservices/contact-us/service-centres-by-region</vt:lpwstr>
      </vt:variant>
      <vt:variant>
        <vt:lpwstr/>
      </vt:variant>
      <vt:variant>
        <vt:i4>2228340</vt:i4>
      </vt:variant>
      <vt:variant>
        <vt:i4>147</vt:i4>
      </vt:variant>
      <vt:variant>
        <vt:i4>0</vt:i4>
      </vt:variant>
      <vt:variant>
        <vt:i4>5</vt:i4>
      </vt:variant>
      <vt:variant>
        <vt:lpwstr>https://www.communities.qld.gov.au/gateway/funding-and-grants/output-funding-and-reporting</vt:lpwstr>
      </vt:variant>
      <vt:variant>
        <vt:lpwstr/>
      </vt:variant>
      <vt:variant>
        <vt:i4>3342438</vt:i4>
      </vt:variant>
      <vt:variant>
        <vt:i4>144</vt:i4>
      </vt:variant>
      <vt:variant>
        <vt:i4>0</vt:i4>
      </vt:variant>
      <vt:variant>
        <vt:i4>5</vt:i4>
      </vt:variant>
      <vt:variant>
        <vt:lpwstr>https://www.bluecard.qld.gov.au/definitions.html</vt:lpwstr>
      </vt:variant>
      <vt:variant>
        <vt:lpwstr>employment</vt:lpwstr>
      </vt:variant>
      <vt:variant>
        <vt:i4>1441809</vt:i4>
      </vt:variant>
      <vt:variant>
        <vt:i4>138</vt:i4>
      </vt:variant>
      <vt:variant>
        <vt:i4>0</vt:i4>
      </vt:variant>
      <vt:variant>
        <vt:i4>5</vt:i4>
      </vt:variant>
      <vt:variant>
        <vt:lpwstr>https://www.communities.qld.gov.au/gateway/about-us/corporate-publications/strategic-plan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young; people; investment; specification</cp:category>
  <dcterms:created xsi:type="dcterms:W3CDTF">2022-12-14T00:09:00Z</dcterms:created>
  <dc:creator>Queensland Government</dc:creator>
  <cp:keywords>specification; investment; funding; service; agreement; young; people</cp:keywords>
  <cp:lastModifiedBy>Helen Coombs</cp:lastModifiedBy>
  <cp:lastPrinted>2022-10-31T23:03:00Z</cp:lastPrinted>
  <dcterms:modified xsi:type="dcterms:W3CDTF">2022-12-14T00:09:00Z</dcterms:modified>
  <dc:subject>Specification Investment Funding Service Agreement Young People</dc:subject>
  <dc:title>Young People Investment Specification</dc:title>
  <cp:version>5.0</cp:version>
</cp:coreProperties>
</file>