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6C0C" w14:textId="795282D0" w:rsidR="00F97F6F" w:rsidRPr="00E85589" w:rsidRDefault="00F97F6F" w:rsidP="00F97F6F">
      <w:pPr>
        <w:pStyle w:val="Heading1"/>
        <w:spacing w:line="560" w:lineRule="exact"/>
        <w:jc w:val="center"/>
        <w:rPr>
          <w:szCs w:val="48"/>
        </w:rPr>
      </w:pPr>
      <w:r w:rsidRPr="00E85589">
        <w:rPr>
          <w:szCs w:val="48"/>
        </w:rPr>
        <w:t>Subpoena: guide for issuing parties</w:t>
      </w:r>
    </w:p>
    <w:p w14:paraId="1CBAAE0D" w14:textId="77777777" w:rsidR="00F97F6F" w:rsidRPr="00522406" w:rsidRDefault="00F97F6F" w:rsidP="00F97F6F">
      <w:pPr>
        <w:pStyle w:val="Heading3"/>
        <w:spacing w:before="240"/>
        <w:rPr>
          <w:sz w:val="24"/>
          <w:szCs w:val="24"/>
        </w:rPr>
      </w:pPr>
      <w:r w:rsidRPr="00522406">
        <w:rPr>
          <w:sz w:val="24"/>
          <w:szCs w:val="24"/>
        </w:rPr>
        <w:t>Purpose</w:t>
      </w:r>
    </w:p>
    <w:p w14:paraId="40B3EA36" w14:textId="7DDB300F" w:rsidR="00F97F6F" w:rsidRPr="00441FB9" w:rsidRDefault="00F97F6F" w:rsidP="00F97F6F">
      <w:pPr>
        <w:pStyle w:val="Heading3"/>
        <w:spacing w:after="0"/>
        <w:rPr>
          <w:b w:val="0"/>
          <w:bCs w:val="0"/>
          <w:sz w:val="22"/>
          <w:szCs w:val="24"/>
        </w:rPr>
      </w:pPr>
      <w:r w:rsidRPr="00441FB9">
        <w:rPr>
          <w:b w:val="0"/>
          <w:bCs w:val="0"/>
          <w:sz w:val="22"/>
          <w:szCs w:val="24"/>
        </w:rPr>
        <w:t xml:space="preserve">The </w:t>
      </w:r>
      <w:r w:rsidR="00393CF1" w:rsidRPr="00441FB9">
        <w:rPr>
          <w:b w:val="0"/>
          <w:bCs w:val="0"/>
          <w:sz w:val="22"/>
          <w:szCs w:val="24"/>
        </w:rPr>
        <w:t>Department of Child Safety, Seniors and Disability Services</w:t>
      </w:r>
      <w:r w:rsidRPr="00441FB9">
        <w:rPr>
          <w:b w:val="0"/>
          <w:bCs w:val="0"/>
          <w:sz w:val="22"/>
          <w:szCs w:val="24"/>
        </w:rPr>
        <w:t xml:space="preserve"> processes approximately 1900 subpoenas and similar notices of the Court annually. This guide is aimed at assisting issuing parties better understand the department’s document production process and assist in determining the type of child protection information that may be needed to support the court process. The guide covers:</w:t>
      </w:r>
    </w:p>
    <w:p w14:paraId="512CEA04" w14:textId="77777777" w:rsidR="00F97F6F" w:rsidRDefault="00F97F6F" w:rsidP="00F97F6F">
      <w:pPr>
        <w:numPr>
          <w:ilvl w:val="0"/>
          <w:numId w:val="11"/>
        </w:numPr>
        <w:spacing w:after="0"/>
        <w:ind w:left="284" w:hanging="284"/>
      </w:pPr>
      <w:r>
        <w:t>requirements for child protection documents</w:t>
      </w:r>
    </w:p>
    <w:p w14:paraId="431A7179" w14:textId="77777777" w:rsidR="00F97F6F" w:rsidRDefault="00F97F6F" w:rsidP="00F97F6F">
      <w:pPr>
        <w:numPr>
          <w:ilvl w:val="0"/>
          <w:numId w:val="11"/>
        </w:numPr>
        <w:spacing w:after="0"/>
        <w:ind w:left="284" w:hanging="284"/>
      </w:pPr>
      <w:r>
        <w:t>service</w:t>
      </w:r>
    </w:p>
    <w:p w14:paraId="687FF683" w14:textId="77777777" w:rsidR="00F97F6F" w:rsidRDefault="00F97F6F" w:rsidP="00F97F6F">
      <w:pPr>
        <w:numPr>
          <w:ilvl w:val="0"/>
          <w:numId w:val="11"/>
        </w:numPr>
        <w:spacing w:after="0"/>
        <w:ind w:left="284" w:hanging="284"/>
      </w:pPr>
      <w:r>
        <w:t>conduct money and reasonable costs</w:t>
      </w:r>
    </w:p>
    <w:p w14:paraId="1020EB57" w14:textId="77777777" w:rsidR="00F97F6F" w:rsidRDefault="00F97F6F" w:rsidP="00F97F6F">
      <w:pPr>
        <w:numPr>
          <w:ilvl w:val="0"/>
          <w:numId w:val="11"/>
        </w:numPr>
        <w:spacing w:after="0"/>
        <w:ind w:left="284" w:hanging="284"/>
      </w:pPr>
      <w:r>
        <w:t>information restricted from production</w:t>
      </w:r>
    </w:p>
    <w:p w14:paraId="59F123B9" w14:textId="77777777" w:rsidR="00F97F6F" w:rsidRDefault="00F97F6F" w:rsidP="00F97F6F">
      <w:pPr>
        <w:numPr>
          <w:ilvl w:val="0"/>
          <w:numId w:val="11"/>
        </w:numPr>
        <w:spacing w:after="240"/>
        <w:ind w:left="284" w:hanging="284"/>
      </w:pPr>
      <w:r>
        <w:t>form of production.</w:t>
      </w:r>
    </w:p>
    <w:p w14:paraId="12F4561D" w14:textId="77777777" w:rsidR="00F97F6F" w:rsidRDefault="00F97F6F" w:rsidP="00F97F6F">
      <w:r>
        <w:t xml:space="preserve">The accompanying fact sheet </w:t>
      </w:r>
      <w:r w:rsidRPr="00E85589">
        <w:rPr>
          <w:b/>
          <w:i/>
        </w:rPr>
        <w:t>Subpoena: guide to child protection documents</w:t>
      </w:r>
      <w:r>
        <w:t xml:space="preserve"> provides information about the types and content of child protection documents produced.</w:t>
      </w:r>
    </w:p>
    <w:p w14:paraId="42984B36" w14:textId="77777777" w:rsidR="00F97F6F" w:rsidRPr="00AB5101" w:rsidRDefault="00F97F6F" w:rsidP="00F97F6F">
      <w:pPr>
        <w:pStyle w:val="Heading3"/>
        <w:spacing w:before="240"/>
        <w:rPr>
          <w:sz w:val="24"/>
          <w:szCs w:val="24"/>
        </w:rPr>
      </w:pPr>
      <w:r w:rsidRPr="00AB5101">
        <w:rPr>
          <w:sz w:val="24"/>
          <w:szCs w:val="24"/>
        </w:rPr>
        <w:t>Requirements for child protection documents</w:t>
      </w:r>
    </w:p>
    <w:p w14:paraId="678A24B1" w14:textId="77777777" w:rsidR="00F97F6F" w:rsidRDefault="00F97F6F" w:rsidP="00F97F6F">
      <w:pPr>
        <w:rPr>
          <w:rFonts w:cs="Arial"/>
        </w:rPr>
      </w:pPr>
      <w:r>
        <w:rPr>
          <w:rFonts w:cs="Arial"/>
        </w:rPr>
        <w:t>Additional to the usual requirements for issuing a subpoena, the</w:t>
      </w:r>
      <w:r w:rsidRPr="00272EE1">
        <w:rPr>
          <w:rFonts w:cs="Arial"/>
          <w:i/>
        </w:rPr>
        <w:t xml:space="preserve"> Child Protection Act 1999</w:t>
      </w:r>
      <w:r>
        <w:rPr>
          <w:rFonts w:cs="Arial"/>
          <w:i/>
        </w:rPr>
        <w:t xml:space="preserve"> </w:t>
      </w:r>
      <w:r w:rsidRPr="00C56DD5">
        <w:rPr>
          <w:rFonts w:cs="Arial"/>
        </w:rPr>
        <w:t>(</w:t>
      </w:r>
      <w:r w:rsidRPr="00B51CB4">
        <w:rPr>
          <w:rFonts w:cs="Arial"/>
          <w:b/>
        </w:rPr>
        <w:t>CP Act</w:t>
      </w:r>
      <w:r w:rsidRPr="00C56DD5">
        <w:rPr>
          <w:rFonts w:cs="Arial"/>
        </w:rPr>
        <w:t>)</w:t>
      </w:r>
      <w:r>
        <w:rPr>
          <w:rFonts w:cs="Arial"/>
          <w:i/>
        </w:rPr>
        <w:t xml:space="preserve"> </w:t>
      </w:r>
      <w:r>
        <w:rPr>
          <w:rFonts w:cs="Arial"/>
        </w:rPr>
        <w:t xml:space="preserve">contains specific requirements for seeking child protection documents. Subpoenas that do not comply with these requirements are not able to be accepted.  </w:t>
      </w:r>
      <w:proofErr w:type="gramStart"/>
      <w:r>
        <w:rPr>
          <w:rFonts w:cs="Arial"/>
        </w:rPr>
        <w:t>In particular, please</w:t>
      </w:r>
      <w:proofErr w:type="gramEnd"/>
      <w:r>
        <w:rPr>
          <w:rFonts w:cs="Arial"/>
        </w:rPr>
        <w:t xml:space="preserve"> note that section 190 of the CP Act requires information to be provided relating to date ranges, circumstances and relevance in order for the department’s records to be produced.</w:t>
      </w:r>
    </w:p>
    <w:p w14:paraId="39AE7E7B" w14:textId="77777777" w:rsidR="00F97F6F" w:rsidRPr="00DE5599" w:rsidRDefault="00F97F6F" w:rsidP="00F97F6F">
      <w:pPr>
        <w:spacing w:before="240" w:after="60"/>
        <w:rPr>
          <w:b/>
          <w:sz w:val="24"/>
        </w:rPr>
      </w:pPr>
      <w:bookmarkStart w:id="0" w:name="190_Production_of_department’s_records"/>
      <w:bookmarkStart w:id="1" w:name="bookmark0"/>
      <w:bookmarkStart w:id="2" w:name="bookmark1"/>
      <w:bookmarkEnd w:id="0"/>
      <w:bookmarkEnd w:id="1"/>
      <w:bookmarkEnd w:id="2"/>
      <w:r w:rsidRPr="00DE5599">
        <w:rPr>
          <w:b/>
          <w:sz w:val="24"/>
        </w:rPr>
        <w:t>Relevance generally</w:t>
      </w:r>
    </w:p>
    <w:p w14:paraId="763708E6" w14:textId="77777777" w:rsidR="00F97F6F" w:rsidRDefault="00F97F6F" w:rsidP="00F97F6F">
      <w:pPr>
        <w:rPr>
          <w:rFonts w:cs="Arial"/>
        </w:rPr>
      </w:pPr>
      <w:r w:rsidRPr="00522406">
        <w:rPr>
          <w:rFonts w:cs="Arial"/>
        </w:rPr>
        <w:t xml:space="preserve">Subpoenas must </w:t>
      </w:r>
      <w:r>
        <w:rPr>
          <w:rFonts w:cs="Arial"/>
        </w:rPr>
        <w:t>have</w:t>
      </w:r>
      <w:r w:rsidRPr="00522406">
        <w:rPr>
          <w:rFonts w:cs="Arial"/>
        </w:rPr>
        <w:t xml:space="preserve"> enough information to allow </w:t>
      </w:r>
      <w:r>
        <w:rPr>
          <w:rFonts w:cs="Arial"/>
        </w:rPr>
        <w:t>relevance to be assessed.</w:t>
      </w:r>
      <w:r w:rsidRPr="00522406">
        <w:rPr>
          <w:rFonts w:cs="Arial"/>
        </w:rPr>
        <w:t xml:space="preserve"> </w:t>
      </w:r>
      <w:r>
        <w:rPr>
          <w:rFonts w:cs="Arial"/>
        </w:rPr>
        <w:t xml:space="preserve">For criminal matters, </w:t>
      </w:r>
      <w:r w:rsidRPr="00522406">
        <w:rPr>
          <w:rFonts w:cs="Arial"/>
        </w:rPr>
        <w:t xml:space="preserve">this information should consist of the bench charge sheets </w:t>
      </w:r>
      <w:r>
        <w:rPr>
          <w:rFonts w:cs="Arial"/>
        </w:rPr>
        <w:t xml:space="preserve">or </w:t>
      </w:r>
      <w:r w:rsidRPr="00522406">
        <w:rPr>
          <w:rFonts w:cs="Arial"/>
        </w:rPr>
        <w:t>at a minimum, a description of the charges being answered by the defendant</w:t>
      </w:r>
      <w:r>
        <w:rPr>
          <w:rFonts w:cs="Arial"/>
        </w:rPr>
        <w:t>/accused</w:t>
      </w:r>
      <w:r w:rsidRPr="00522406">
        <w:rPr>
          <w:rFonts w:cs="Arial"/>
        </w:rPr>
        <w:t xml:space="preserve">. </w:t>
      </w:r>
      <w:r>
        <w:rPr>
          <w:rFonts w:cs="Arial"/>
        </w:rPr>
        <w:t>For family law proceedings, we require a general description of the orders being sought and context around the matter to allow for relevance of material to be assessed.</w:t>
      </w:r>
    </w:p>
    <w:p w14:paraId="385D660D" w14:textId="77777777" w:rsidR="00F97F6F" w:rsidRPr="00DE5599" w:rsidRDefault="00F97F6F" w:rsidP="00F97F6F">
      <w:pPr>
        <w:spacing w:before="240" w:after="60"/>
        <w:rPr>
          <w:b/>
          <w:sz w:val="24"/>
        </w:rPr>
      </w:pPr>
      <w:r>
        <w:rPr>
          <w:b/>
          <w:sz w:val="24"/>
        </w:rPr>
        <w:t>Service</w:t>
      </w:r>
    </w:p>
    <w:p w14:paraId="7220DC5B" w14:textId="232050AC" w:rsidR="00F97F6F" w:rsidRDefault="00F97F6F" w:rsidP="00F97F6F">
      <w:pPr>
        <w:rPr>
          <w:rFonts w:cs="Arial"/>
        </w:rPr>
      </w:pPr>
      <w:r>
        <w:rPr>
          <w:rFonts w:cs="Arial"/>
        </w:rPr>
        <w:t>Ordinary service is acceptable for most Australian Court</w:t>
      </w:r>
      <w:r w:rsidR="006228F5">
        <w:rPr>
          <w:rFonts w:cs="Arial"/>
        </w:rPr>
        <w:t>s</w:t>
      </w:r>
      <w:r>
        <w:rPr>
          <w:rFonts w:cs="Arial"/>
        </w:rPr>
        <w:t xml:space="preserve">. Subpoenas for some matters </w:t>
      </w:r>
      <w:r w:rsidRPr="00BB14C7">
        <w:rPr>
          <w:rFonts w:cs="Arial"/>
          <w:b/>
        </w:rPr>
        <w:t>must</w:t>
      </w:r>
      <w:r>
        <w:rPr>
          <w:rFonts w:cs="Arial"/>
        </w:rPr>
        <w:t xml:space="preserve"> be served by hand and can be served at the address below.</w:t>
      </w:r>
    </w:p>
    <w:p w14:paraId="71B294E1" w14:textId="77777777" w:rsidR="00F97F6F" w:rsidRDefault="00F97F6F" w:rsidP="00F97F6F">
      <w:pPr>
        <w:rPr>
          <w:rFonts w:cs="Arial"/>
        </w:rPr>
      </w:pPr>
      <w:r w:rsidRPr="00522406">
        <w:rPr>
          <w:rFonts w:cs="Arial"/>
        </w:rPr>
        <w:t xml:space="preserve">Service by hand </w:t>
      </w:r>
      <w:r>
        <w:rPr>
          <w:rFonts w:cs="Arial"/>
        </w:rPr>
        <w:t>is to the delivery address provided in the ‘</w:t>
      </w:r>
      <w:r w:rsidRPr="00234161">
        <w:rPr>
          <w:rFonts w:cs="Arial"/>
          <w:b/>
        </w:rPr>
        <w:t>More information</w:t>
      </w:r>
      <w:r>
        <w:rPr>
          <w:rFonts w:cs="Arial"/>
        </w:rPr>
        <w:t>’ section below.</w:t>
      </w:r>
    </w:p>
    <w:p w14:paraId="6B066576" w14:textId="77777777" w:rsidR="00F97F6F" w:rsidRDefault="00F97F6F" w:rsidP="00F97F6F">
      <w:pPr>
        <w:rPr>
          <w:rFonts w:cs="Arial"/>
        </w:rPr>
      </w:pPr>
      <w:r w:rsidRPr="00522406">
        <w:rPr>
          <w:rFonts w:cs="Arial"/>
        </w:rPr>
        <w:t>While service by hand is required b</w:t>
      </w:r>
      <w:r>
        <w:rPr>
          <w:rFonts w:cs="Arial"/>
        </w:rPr>
        <w:t>efore</w:t>
      </w:r>
      <w:r w:rsidRPr="00522406">
        <w:rPr>
          <w:rFonts w:cs="Arial"/>
        </w:rPr>
        <w:t xml:space="preserve"> the last date of service, we welcome advance notice of an upcoming service </w:t>
      </w:r>
      <w:r>
        <w:rPr>
          <w:rFonts w:cs="Arial"/>
        </w:rPr>
        <w:t>by emailing a copy of the subpoena to the address provided below. This email address may also be used to effect ordinary service where applicable court rules allow for ordinary service.</w:t>
      </w:r>
    </w:p>
    <w:p w14:paraId="6F6F4518" w14:textId="781638ED" w:rsidR="00F97F6F" w:rsidRDefault="00F97F6F" w:rsidP="00F97F6F">
      <w:pPr>
        <w:rPr>
          <w:rFonts w:cs="Arial"/>
        </w:rPr>
      </w:pPr>
      <w:r>
        <w:rPr>
          <w:rFonts w:cs="Arial"/>
        </w:rPr>
        <w:t>Alternatively, you can post the subpoena to the postal address also provided below.</w:t>
      </w:r>
    </w:p>
    <w:p w14:paraId="1ABA92D9" w14:textId="799F825B" w:rsidR="00F97F6F" w:rsidRDefault="00F97F6F" w:rsidP="00F97F6F">
      <w:pPr>
        <w:rPr>
          <w:rFonts w:cs="Arial"/>
        </w:rPr>
      </w:pPr>
      <w:r>
        <w:rPr>
          <w:rFonts w:cs="Arial"/>
        </w:rPr>
        <w:t xml:space="preserve">Please note Australia Post </w:t>
      </w:r>
      <w:hyperlink r:id="rId8" w:history="1">
        <w:r w:rsidRPr="00E05CD9">
          <w:rPr>
            <w:rStyle w:val="Hyperlink"/>
          </w:rPr>
          <w:t>standard postage timeframes</w:t>
        </w:r>
      </w:hyperlink>
      <w:r>
        <w:rPr>
          <w:rFonts w:cs="Arial"/>
        </w:rPr>
        <w:t xml:space="preserve"> if effecting ordinary service by post.     </w:t>
      </w:r>
      <w:r w:rsidRPr="00522406">
        <w:rPr>
          <w:rFonts w:cs="Arial"/>
        </w:rPr>
        <w:t xml:space="preserve">The subpoena </w:t>
      </w:r>
      <w:r>
        <w:rPr>
          <w:rFonts w:cs="Arial"/>
        </w:rPr>
        <w:t xml:space="preserve">itself </w:t>
      </w:r>
      <w:r w:rsidRPr="00522406">
        <w:rPr>
          <w:rFonts w:cs="Arial"/>
          <w:b/>
        </w:rPr>
        <w:t>must</w:t>
      </w:r>
      <w:r w:rsidRPr="00522406">
        <w:rPr>
          <w:rFonts w:cs="Arial"/>
        </w:rPr>
        <w:t xml:space="preserve"> be addressed to the </w:t>
      </w:r>
      <w:r w:rsidRPr="00522406">
        <w:rPr>
          <w:rFonts w:cs="Arial"/>
          <w:b/>
        </w:rPr>
        <w:t>Director-General</w:t>
      </w:r>
      <w:r w:rsidRPr="00522406">
        <w:rPr>
          <w:rFonts w:cs="Arial"/>
        </w:rPr>
        <w:t xml:space="preserve">, </w:t>
      </w:r>
      <w:r w:rsidRPr="00BB639D">
        <w:rPr>
          <w:rFonts w:cs="Arial"/>
          <w:b/>
        </w:rPr>
        <w:t xml:space="preserve">Department of </w:t>
      </w:r>
      <w:r w:rsidR="00393CF1">
        <w:rPr>
          <w:rFonts w:cs="Arial"/>
          <w:b/>
        </w:rPr>
        <w:t xml:space="preserve">Child Safety, </w:t>
      </w:r>
      <w:proofErr w:type="gramStart"/>
      <w:r w:rsidR="00393CF1">
        <w:rPr>
          <w:rFonts w:cs="Arial"/>
          <w:b/>
        </w:rPr>
        <w:t>Seniors</w:t>
      </w:r>
      <w:proofErr w:type="gramEnd"/>
      <w:r w:rsidR="00393CF1">
        <w:rPr>
          <w:rFonts w:cs="Arial"/>
          <w:b/>
        </w:rPr>
        <w:t xml:space="preserve"> and Disability Services</w:t>
      </w:r>
      <w:r>
        <w:rPr>
          <w:rFonts w:cs="Arial"/>
        </w:rPr>
        <w:t>,</w:t>
      </w:r>
      <w:r w:rsidRPr="00522406">
        <w:rPr>
          <w:rFonts w:cs="Arial"/>
        </w:rPr>
        <w:t xml:space="preserve"> in order for us to have authority to deal with and produce the documents.</w:t>
      </w:r>
    </w:p>
    <w:p w14:paraId="5836ACB7" w14:textId="77777777" w:rsidR="00F97F6F" w:rsidRPr="00DE5599" w:rsidRDefault="00F97F6F" w:rsidP="00F97F6F">
      <w:pPr>
        <w:spacing w:before="240" w:after="60"/>
        <w:rPr>
          <w:b/>
          <w:sz w:val="24"/>
        </w:rPr>
      </w:pPr>
      <w:r>
        <w:rPr>
          <w:b/>
          <w:sz w:val="24"/>
        </w:rPr>
        <w:lastRenderedPageBreak/>
        <w:t>Conduct money and reasonable costs</w:t>
      </w:r>
    </w:p>
    <w:p w14:paraId="448CD8A7" w14:textId="370025EC" w:rsidR="00F97F6F" w:rsidRDefault="00F97F6F" w:rsidP="00F97F6F">
      <w:pPr>
        <w:rPr>
          <w:rFonts w:cs="Arial"/>
        </w:rPr>
      </w:pPr>
      <w:r>
        <w:rPr>
          <w:rFonts w:cs="Arial"/>
        </w:rPr>
        <w:t xml:space="preserve">Some applicable court rules require that the subpoena be accompanied by </w:t>
      </w:r>
      <w:r w:rsidRPr="000217AA">
        <w:rPr>
          <w:rFonts w:cs="Arial"/>
          <w:b/>
        </w:rPr>
        <w:t>conduct money</w:t>
      </w:r>
      <w:r>
        <w:rPr>
          <w:rFonts w:cs="Arial"/>
        </w:rPr>
        <w:t xml:space="preserve"> sufficient to cover the costs of compliance. Other court rules specify that </w:t>
      </w:r>
      <w:r w:rsidRPr="000217AA">
        <w:rPr>
          <w:rFonts w:cs="Arial"/>
          <w:b/>
        </w:rPr>
        <w:t>reasonable costs</w:t>
      </w:r>
      <w:r>
        <w:rPr>
          <w:rFonts w:cs="Arial"/>
        </w:rPr>
        <w:t xml:space="preserve"> associated with compliance may be set at a particular rate by the court and can be collected if the party responding to the subpoena provides advice that the costs will be incurred. If you are required to pay conduct money or wish to make payment for our reasonable costs upfront, the rate is currently </w:t>
      </w:r>
      <w:r w:rsidRPr="00E46712">
        <w:rPr>
          <w:rFonts w:cs="Arial"/>
        </w:rPr>
        <w:t xml:space="preserve">set at </w:t>
      </w:r>
      <w:r w:rsidRPr="00E46712">
        <w:rPr>
          <w:rFonts w:cs="Arial"/>
          <w:b/>
        </w:rPr>
        <w:t>$</w:t>
      </w:r>
      <w:r>
        <w:rPr>
          <w:rFonts w:cs="Arial"/>
          <w:b/>
        </w:rPr>
        <w:t>8</w:t>
      </w:r>
      <w:r w:rsidR="006C2792">
        <w:rPr>
          <w:rFonts w:cs="Arial"/>
          <w:b/>
        </w:rPr>
        <w:t>9.</w:t>
      </w:r>
      <w:r>
        <w:rPr>
          <w:rFonts w:cs="Arial"/>
          <w:b/>
        </w:rPr>
        <w:t>5</w:t>
      </w:r>
      <w:r w:rsidR="006C2792">
        <w:rPr>
          <w:rFonts w:cs="Arial"/>
          <w:b/>
        </w:rPr>
        <w:t>0</w:t>
      </w:r>
      <w:r w:rsidRPr="00E46712">
        <w:rPr>
          <w:rFonts w:cs="Arial"/>
        </w:rPr>
        <w:t>.</w:t>
      </w:r>
      <w:r>
        <w:rPr>
          <w:rFonts w:cs="Arial"/>
        </w:rPr>
        <w:t xml:space="preserve"> Payment by cheque or money order is preferred and these </w:t>
      </w:r>
      <w:r w:rsidRPr="00341CA7">
        <w:rPr>
          <w:rFonts w:cs="Arial"/>
          <w:b/>
        </w:rPr>
        <w:t>must be made out in the department’s full name</w:t>
      </w:r>
      <w:r>
        <w:rPr>
          <w:rFonts w:cs="Arial"/>
        </w:rPr>
        <w:t xml:space="preserve"> found in the ‘</w:t>
      </w:r>
      <w:r w:rsidRPr="00234161">
        <w:rPr>
          <w:rFonts w:cs="Arial"/>
          <w:b/>
        </w:rPr>
        <w:t>More information</w:t>
      </w:r>
      <w:r>
        <w:rPr>
          <w:rFonts w:cs="Arial"/>
        </w:rPr>
        <w:t>’ section below.</w:t>
      </w:r>
    </w:p>
    <w:p w14:paraId="6A6045EC" w14:textId="77777777" w:rsidR="00F97F6F" w:rsidRDefault="00F97F6F" w:rsidP="00F97F6F">
      <w:pPr>
        <w:rPr>
          <w:rFonts w:cs="Arial"/>
        </w:rPr>
      </w:pPr>
      <w:r>
        <w:rPr>
          <w:rFonts w:cs="Arial"/>
        </w:rPr>
        <w:t xml:space="preserve">Should reasonable costs be charged, you will be advised and provided with adequate time to pay these costs. </w:t>
      </w:r>
      <w:r w:rsidRPr="006537B5">
        <w:rPr>
          <w:rFonts w:cs="Arial"/>
        </w:rPr>
        <w:t xml:space="preserve">Documents will be produced by the relevant time regardless of </w:t>
      </w:r>
      <w:proofErr w:type="gramStart"/>
      <w:r w:rsidRPr="006537B5">
        <w:rPr>
          <w:rFonts w:cs="Arial"/>
        </w:rPr>
        <w:t>whether or not</w:t>
      </w:r>
      <w:proofErr w:type="gramEnd"/>
      <w:r w:rsidRPr="006537B5">
        <w:rPr>
          <w:rFonts w:cs="Arial"/>
        </w:rPr>
        <w:t xml:space="preserve"> the re</w:t>
      </w:r>
      <w:r>
        <w:rPr>
          <w:rFonts w:cs="Arial"/>
        </w:rPr>
        <w:t>asonable costs have been paid.</w:t>
      </w:r>
    </w:p>
    <w:p w14:paraId="0A6764FA" w14:textId="77777777" w:rsidR="00F97F6F" w:rsidRDefault="00F97F6F" w:rsidP="00F97F6F">
      <w:pPr>
        <w:rPr>
          <w:rFonts w:cs="Arial"/>
        </w:rPr>
      </w:pPr>
      <w:r>
        <w:rPr>
          <w:rFonts w:cs="Arial"/>
        </w:rPr>
        <w:t>Payment of o</w:t>
      </w:r>
      <w:r w:rsidRPr="006537B5">
        <w:rPr>
          <w:rFonts w:cs="Arial"/>
        </w:rPr>
        <w:t>utstanding charges will be followed up by the department.</w:t>
      </w:r>
    </w:p>
    <w:p w14:paraId="3B99700F" w14:textId="77777777" w:rsidR="00F97F6F" w:rsidRPr="0051574A" w:rsidRDefault="00F97F6F" w:rsidP="00F97F6F">
      <w:pPr>
        <w:spacing w:before="240" w:after="60"/>
        <w:rPr>
          <w:b/>
          <w:sz w:val="24"/>
          <w:lang w:val="en-US"/>
        </w:rPr>
      </w:pPr>
      <w:r w:rsidRPr="0051574A">
        <w:rPr>
          <w:b/>
          <w:sz w:val="24"/>
          <w:lang w:val="en-US"/>
        </w:rPr>
        <w:t>Information restricted from production</w:t>
      </w:r>
    </w:p>
    <w:p w14:paraId="086CD3DB" w14:textId="77777777" w:rsidR="00F97F6F" w:rsidRDefault="00F97F6F" w:rsidP="00F97F6F">
      <w:pPr>
        <w:spacing w:after="40"/>
        <w:rPr>
          <w:lang w:val="en-US"/>
        </w:rPr>
      </w:pPr>
      <w:r>
        <w:rPr>
          <w:lang w:val="en-US"/>
        </w:rPr>
        <w:t xml:space="preserve">The CP Act </w:t>
      </w:r>
      <w:r w:rsidRPr="00020B61">
        <w:rPr>
          <w:b/>
          <w:lang w:val="en-US"/>
        </w:rPr>
        <w:t>prohibits</w:t>
      </w:r>
      <w:r>
        <w:rPr>
          <w:lang w:val="en-US"/>
        </w:rPr>
        <w:t xml:space="preserve"> the production of information from which the identity of a child protection notifier can be deduced, as follows:</w:t>
      </w:r>
    </w:p>
    <w:p w14:paraId="52083B52" w14:textId="77777777" w:rsidR="00F97F6F" w:rsidRPr="00FA0407" w:rsidRDefault="00F97F6F" w:rsidP="00F97F6F">
      <w:pPr>
        <w:spacing w:after="40"/>
        <w:rPr>
          <w:sz w:val="20"/>
          <w:szCs w:val="20"/>
          <w:lang w:val="en-US"/>
        </w:rPr>
      </w:pPr>
    </w:p>
    <w:p w14:paraId="6CB54DC6" w14:textId="77777777" w:rsidR="006228F5" w:rsidRPr="006228F5" w:rsidRDefault="006228F5" w:rsidP="006228F5">
      <w:pPr>
        <w:pStyle w:val="Heading4"/>
        <w:ind w:left="720"/>
        <w:rPr>
          <w:rFonts w:ascii="Times New Roman" w:hAnsi="Times New Roman"/>
          <w:b/>
          <w:bCs/>
          <w:color w:val="000000"/>
          <w:sz w:val="22"/>
          <w:szCs w:val="22"/>
        </w:rPr>
      </w:pPr>
      <w:r w:rsidRPr="006228F5">
        <w:rPr>
          <w:b/>
          <w:bCs/>
          <w:color w:val="000000"/>
          <w:sz w:val="22"/>
          <w:szCs w:val="22"/>
        </w:rPr>
        <w:t>186C Disclosure in proceeding</w:t>
      </w:r>
    </w:p>
    <w:p w14:paraId="02758D02" w14:textId="77777777" w:rsidR="006228F5" w:rsidRPr="006228F5" w:rsidRDefault="006228F5" w:rsidP="006228F5">
      <w:pPr>
        <w:ind w:left="720" w:firstLine="720"/>
        <w:rPr>
          <w:color w:val="000000"/>
          <w:szCs w:val="22"/>
        </w:rPr>
      </w:pPr>
      <w:bookmarkStart w:id="3" w:name="clause"/>
      <w:bookmarkEnd w:id="3"/>
      <w:r w:rsidRPr="006228F5">
        <w:rPr>
          <w:color w:val="000000"/>
          <w:szCs w:val="22"/>
        </w:rPr>
        <w:t>(1) Subject to </w:t>
      </w:r>
      <w:r w:rsidRPr="006228F5">
        <w:rPr>
          <w:i/>
          <w:iCs/>
          <w:color w:val="000000"/>
          <w:szCs w:val="22"/>
        </w:rPr>
        <w:t>subsection (2) </w:t>
      </w:r>
      <w:r w:rsidRPr="006228F5">
        <w:rPr>
          <w:color w:val="000000"/>
          <w:szCs w:val="22"/>
        </w:rPr>
        <w:t>—</w:t>
      </w:r>
    </w:p>
    <w:p w14:paraId="72AF44BD" w14:textId="77777777" w:rsidR="006228F5" w:rsidRPr="006228F5" w:rsidRDefault="006228F5" w:rsidP="006228F5">
      <w:pPr>
        <w:ind w:left="2160"/>
        <w:rPr>
          <w:color w:val="000000"/>
          <w:szCs w:val="22"/>
        </w:rPr>
      </w:pPr>
      <w:r w:rsidRPr="006228F5">
        <w:rPr>
          <w:color w:val="000000"/>
          <w:szCs w:val="22"/>
        </w:rPr>
        <w:t>(a) evidence of the identity of the notifier or from which the identity of the notifier could be deduced must not be given in a proceeding before a court or tribunal without leave of the court or tribunal; and</w:t>
      </w:r>
    </w:p>
    <w:p w14:paraId="48ECFDA6" w14:textId="77777777" w:rsidR="006228F5" w:rsidRPr="006228F5" w:rsidRDefault="006228F5" w:rsidP="006228F5">
      <w:pPr>
        <w:ind w:left="2160"/>
        <w:rPr>
          <w:color w:val="000000"/>
          <w:szCs w:val="22"/>
        </w:rPr>
      </w:pPr>
      <w:r w:rsidRPr="006228F5">
        <w:rPr>
          <w:color w:val="000000"/>
          <w:szCs w:val="22"/>
        </w:rPr>
        <w:t>(b) unless leave is granted, a party or witness in the proceeding—</w:t>
      </w:r>
    </w:p>
    <w:p w14:paraId="46CBA4F1" w14:textId="77777777" w:rsidR="006228F5" w:rsidRPr="006228F5" w:rsidRDefault="006228F5" w:rsidP="006228F5">
      <w:pPr>
        <w:ind w:left="2880"/>
        <w:rPr>
          <w:color w:val="000000"/>
          <w:szCs w:val="22"/>
        </w:rPr>
      </w:pPr>
      <w:r w:rsidRPr="006228F5">
        <w:rPr>
          <w:color w:val="000000"/>
          <w:szCs w:val="22"/>
        </w:rPr>
        <w:t xml:space="preserve">(i) must not be asked, and, if asked, </w:t>
      </w:r>
      <w:proofErr w:type="spellStart"/>
      <w:r w:rsidRPr="006228F5">
        <w:rPr>
          <w:color w:val="000000"/>
          <w:szCs w:val="22"/>
        </w:rPr>
        <w:t>can not</w:t>
      </w:r>
      <w:proofErr w:type="spellEnd"/>
      <w:r w:rsidRPr="006228F5">
        <w:rPr>
          <w:color w:val="000000"/>
          <w:szCs w:val="22"/>
        </w:rPr>
        <w:t xml:space="preserve"> be required to answer, any question that </w:t>
      </w:r>
      <w:proofErr w:type="spellStart"/>
      <w:r w:rsidRPr="006228F5">
        <w:rPr>
          <w:color w:val="000000"/>
          <w:szCs w:val="22"/>
        </w:rPr>
        <w:t>can not</w:t>
      </w:r>
      <w:proofErr w:type="spellEnd"/>
      <w:r w:rsidRPr="006228F5">
        <w:rPr>
          <w:color w:val="000000"/>
          <w:szCs w:val="22"/>
        </w:rPr>
        <w:t xml:space="preserve"> be answered without disclosing the identity of, or leading to the identification of, the notifier; and</w:t>
      </w:r>
    </w:p>
    <w:p w14:paraId="0D839103" w14:textId="77777777" w:rsidR="006228F5" w:rsidRPr="006228F5" w:rsidRDefault="006228F5" w:rsidP="006228F5">
      <w:pPr>
        <w:ind w:left="2880"/>
        <w:rPr>
          <w:color w:val="000000"/>
          <w:szCs w:val="22"/>
        </w:rPr>
      </w:pPr>
      <w:r w:rsidRPr="006228F5">
        <w:rPr>
          <w:color w:val="000000"/>
          <w:szCs w:val="22"/>
        </w:rPr>
        <w:t xml:space="preserve">(ii) must not be asked to produce, and, if asked, </w:t>
      </w:r>
      <w:proofErr w:type="spellStart"/>
      <w:r w:rsidRPr="006228F5">
        <w:rPr>
          <w:color w:val="000000"/>
          <w:szCs w:val="22"/>
        </w:rPr>
        <w:t>can not</w:t>
      </w:r>
      <w:proofErr w:type="spellEnd"/>
      <w:r w:rsidRPr="006228F5">
        <w:rPr>
          <w:color w:val="000000"/>
          <w:szCs w:val="22"/>
        </w:rPr>
        <w:t xml:space="preserve"> be required to produce, any document that identifies, or may lead to the identification of, the notifier.</w:t>
      </w:r>
    </w:p>
    <w:p w14:paraId="0B5EE34E" w14:textId="77777777" w:rsidR="006228F5" w:rsidRPr="006228F5" w:rsidRDefault="006228F5" w:rsidP="006228F5">
      <w:pPr>
        <w:ind w:left="720" w:firstLine="720"/>
        <w:rPr>
          <w:color w:val="000000"/>
          <w:szCs w:val="22"/>
        </w:rPr>
      </w:pPr>
      <w:r w:rsidRPr="006228F5">
        <w:rPr>
          <w:color w:val="000000"/>
          <w:szCs w:val="22"/>
        </w:rPr>
        <w:t>(2) The court or tribunal must not grant leave unless—</w:t>
      </w:r>
    </w:p>
    <w:p w14:paraId="5242D830" w14:textId="77777777" w:rsidR="006228F5" w:rsidRPr="006228F5" w:rsidRDefault="006228F5" w:rsidP="006228F5">
      <w:pPr>
        <w:ind w:left="1440" w:firstLine="720"/>
        <w:rPr>
          <w:color w:val="000000"/>
          <w:szCs w:val="22"/>
        </w:rPr>
      </w:pPr>
      <w:r w:rsidRPr="006228F5">
        <w:rPr>
          <w:color w:val="000000"/>
          <w:szCs w:val="22"/>
        </w:rPr>
        <w:t>(a) it is satisfied—</w:t>
      </w:r>
    </w:p>
    <w:p w14:paraId="696C93C2" w14:textId="77777777" w:rsidR="006228F5" w:rsidRPr="006228F5" w:rsidRDefault="006228F5" w:rsidP="006228F5">
      <w:pPr>
        <w:ind w:left="2880"/>
        <w:rPr>
          <w:color w:val="000000"/>
          <w:szCs w:val="22"/>
        </w:rPr>
      </w:pPr>
      <w:r w:rsidRPr="006228F5">
        <w:rPr>
          <w:color w:val="000000"/>
          <w:szCs w:val="22"/>
        </w:rPr>
        <w:t>(i) the evidence is of critical importance in the proceeding; and</w:t>
      </w:r>
    </w:p>
    <w:p w14:paraId="056D7004" w14:textId="77777777" w:rsidR="006228F5" w:rsidRPr="006228F5" w:rsidRDefault="006228F5" w:rsidP="006228F5">
      <w:pPr>
        <w:ind w:left="2880"/>
        <w:rPr>
          <w:color w:val="000000"/>
          <w:szCs w:val="22"/>
        </w:rPr>
      </w:pPr>
      <w:r w:rsidRPr="006228F5">
        <w:rPr>
          <w:color w:val="000000"/>
          <w:szCs w:val="22"/>
        </w:rPr>
        <w:t>(ii) there is compelling reason in the public interest for disclosure; or</w:t>
      </w:r>
    </w:p>
    <w:p w14:paraId="526F0A91" w14:textId="77777777" w:rsidR="006228F5" w:rsidRPr="006228F5" w:rsidRDefault="006228F5" w:rsidP="006228F5">
      <w:pPr>
        <w:ind w:left="2160"/>
        <w:rPr>
          <w:color w:val="000000"/>
          <w:szCs w:val="22"/>
        </w:rPr>
      </w:pPr>
      <w:r w:rsidRPr="006228F5">
        <w:rPr>
          <w:color w:val="000000"/>
          <w:szCs w:val="22"/>
        </w:rPr>
        <w:t>(b) the notifier agrees to the evidence being given in the proceeding.</w:t>
      </w:r>
    </w:p>
    <w:p w14:paraId="08F53099" w14:textId="77777777" w:rsidR="006228F5" w:rsidRPr="006228F5" w:rsidRDefault="006228F5" w:rsidP="006228F5">
      <w:pPr>
        <w:ind w:left="720" w:firstLine="720"/>
        <w:rPr>
          <w:color w:val="000000"/>
          <w:szCs w:val="22"/>
        </w:rPr>
      </w:pPr>
      <w:r w:rsidRPr="006228F5">
        <w:rPr>
          <w:color w:val="000000"/>
          <w:szCs w:val="22"/>
        </w:rPr>
        <w:t xml:space="preserve">(3) In deciding whether to grant leave, the court or tribunal must </w:t>
      </w:r>
      <w:proofErr w:type="gramStart"/>
      <w:r w:rsidRPr="006228F5">
        <w:rPr>
          <w:color w:val="000000"/>
          <w:szCs w:val="22"/>
        </w:rPr>
        <w:t>take into account</w:t>
      </w:r>
      <w:proofErr w:type="gramEnd"/>
      <w:r w:rsidRPr="006228F5">
        <w:rPr>
          <w:color w:val="000000"/>
          <w:szCs w:val="22"/>
        </w:rPr>
        <w:t>—</w:t>
      </w:r>
    </w:p>
    <w:p w14:paraId="415621D8" w14:textId="77777777" w:rsidR="006228F5" w:rsidRPr="006228F5" w:rsidRDefault="006228F5" w:rsidP="006228F5">
      <w:pPr>
        <w:ind w:left="2160"/>
        <w:rPr>
          <w:color w:val="000000"/>
          <w:szCs w:val="22"/>
        </w:rPr>
      </w:pPr>
      <w:r w:rsidRPr="006228F5">
        <w:rPr>
          <w:color w:val="000000"/>
          <w:szCs w:val="22"/>
        </w:rPr>
        <w:t>(a) the possible effects of disclosure on the safety or wellbeing of the notifier and the notifier’s family; and</w:t>
      </w:r>
    </w:p>
    <w:p w14:paraId="205D2128" w14:textId="77777777" w:rsidR="006228F5" w:rsidRPr="006228F5" w:rsidRDefault="006228F5" w:rsidP="006228F5">
      <w:pPr>
        <w:ind w:left="1440" w:firstLine="720"/>
        <w:rPr>
          <w:color w:val="000000"/>
          <w:szCs w:val="22"/>
        </w:rPr>
      </w:pPr>
      <w:r w:rsidRPr="006228F5">
        <w:rPr>
          <w:color w:val="000000"/>
          <w:szCs w:val="22"/>
        </w:rPr>
        <w:t>(b) the public interest in maintaining confidentiality of notifiers.</w:t>
      </w:r>
    </w:p>
    <w:p w14:paraId="2FCDAC29" w14:textId="77777777" w:rsidR="006228F5" w:rsidRPr="006228F5" w:rsidRDefault="006228F5" w:rsidP="006228F5">
      <w:pPr>
        <w:ind w:left="1440"/>
        <w:rPr>
          <w:color w:val="000000"/>
          <w:szCs w:val="22"/>
        </w:rPr>
      </w:pPr>
      <w:r w:rsidRPr="006228F5">
        <w:rPr>
          <w:color w:val="000000"/>
          <w:szCs w:val="22"/>
        </w:rPr>
        <w:t>(4) As far as practicable, an application for leave must be heard in a way that protects the identity of the notifier pending a decision on the application.</w:t>
      </w:r>
    </w:p>
    <w:p w14:paraId="6F1A6829" w14:textId="631ADF75" w:rsidR="00F47B35" w:rsidRDefault="00F47B35" w:rsidP="00BD338F">
      <w:pPr>
        <w:tabs>
          <w:tab w:val="left" w:pos="1701"/>
        </w:tabs>
        <w:spacing w:after="40"/>
        <w:ind w:left="1418"/>
        <w:rPr>
          <w:i/>
          <w:szCs w:val="22"/>
          <w:lang w:val="en-US"/>
        </w:rPr>
      </w:pPr>
    </w:p>
    <w:p w14:paraId="4483CEE2" w14:textId="039EC247" w:rsidR="00F97F6F" w:rsidRDefault="00F97F6F" w:rsidP="00F97F6F">
      <w:pPr>
        <w:spacing w:after="0"/>
        <w:rPr>
          <w:szCs w:val="22"/>
          <w:lang w:val="en-US"/>
        </w:rPr>
      </w:pPr>
      <w:r>
        <w:rPr>
          <w:szCs w:val="22"/>
          <w:lang w:val="en-US"/>
        </w:rPr>
        <w:lastRenderedPageBreak/>
        <w:t xml:space="preserve">For the department to produce information </w:t>
      </w:r>
      <w:r w:rsidRPr="000041C8">
        <w:rPr>
          <w:i/>
          <w:szCs w:val="22"/>
          <w:lang w:val="en-US"/>
        </w:rPr>
        <w:t>from which the identity of a notifier can be deduced</w:t>
      </w:r>
      <w:r>
        <w:rPr>
          <w:szCs w:val="22"/>
          <w:lang w:val="en-US"/>
        </w:rPr>
        <w:t xml:space="preserve">, leave must be granted by the Court.  An order must be issued to that effect. Given that notifiers are any person who tells the department about </w:t>
      </w:r>
      <w:r w:rsidRPr="006544B2">
        <w:rPr>
          <w:szCs w:val="22"/>
          <w:lang w:val="en-US"/>
        </w:rPr>
        <w:t>harm</w:t>
      </w:r>
      <w:r>
        <w:rPr>
          <w:szCs w:val="22"/>
          <w:lang w:val="en-US"/>
        </w:rPr>
        <w:t xml:space="preserve"> to a child, a notifier can be:</w:t>
      </w:r>
    </w:p>
    <w:p w14:paraId="0FA49E5A" w14:textId="77777777" w:rsidR="00F97F6F" w:rsidRDefault="00F97F6F" w:rsidP="00F97F6F">
      <w:pPr>
        <w:numPr>
          <w:ilvl w:val="0"/>
          <w:numId w:val="12"/>
        </w:numPr>
        <w:spacing w:after="0"/>
        <w:ind w:left="284" w:hanging="284"/>
        <w:rPr>
          <w:szCs w:val="22"/>
          <w:lang w:val="en-US"/>
        </w:rPr>
      </w:pPr>
      <w:r>
        <w:rPr>
          <w:szCs w:val="22"/>
          <w:lang w:val="en-US"/>
        </w:rPr>
        <w:t>the subject child</w:t>
      </w:r>
    </w:p>
    <w:p w14:paraId="395BABE7" w14:textId="77777777" w:rsidR="00F97F6F" w:rsidRDefault="00F97F6F" w:rsidP="00F97F6F">
      <w:pPr>
        <w:numPr>
          <w:ilvl w:val="0"/>
          <w:numId w:val="12"/>
        </w:numPr>
        <w:spacing w:after="0"/>
        <w:ind w:left="284" w:hanging="284"/>
        <w:rPr>
          <w:szCs w:val="22"/>
          <w:lang w:val="en-US"/>
        </w:rPr>
      </w:pPr>
      <w:r>
        <w:rPr>
          <w:szCs w:val="22"/>
          <w:lang w:val="en-US"/>
        </w:rPr>
        <w:t>the subject child’s parents or extended family</w:t>
      </w:r>
    </w:p>
    <w:p w14:paraId="0CDE8228" w14:textId="77777777" w:rsidR="00F97F6F" w:rsidRDefault="00F97F6F" w:rsidP="00F97F6F">
      <w:pPr>
        <w:numPr>
          <w:ilvl w:val="0"/>
          <w:numId w:val="12"/>
        </w:numPr>
        <w:spacing w:after="0"/>
        <w:ind w:left="284" w:hanging="284"/>
        <w:rPr>
          <w:szCs w:val="22"/>
          <w:lang w:val="en-US"/>
        </w:rPr>
      </w:pPr>
      <w:proofErr w:type="spellStart"/>
      <w:r>
        <w:rPr>
          <w:szCs w:val="22"/>
          <w:lang w:val="en-US"/>
        </w:rPr>
        <w:t>neighbours</w:t>
      </w:r>
      <w:proofErr w:type="spellEnd"/>
      <w:r>
        <w:rPr>
          <w:szCs w:val="22"/>
          <w:lang w:val="en-US"/>
        </w:rPr>
        <w:t xml:space="preserve"> or friends</w:t>
      </w:r>
    </w:p>
    <w:p w14:paraId="4F33E5B6" w14:textId="77777777" w:rsidR="00F97F6F" w:rsidRDefault="00F97F6F" w:rsidP="00F97F6F">
      <w:pPr>
        <w:numPr>
          <w:ilvl w:val="0"/>
          <w:numId w:val="12"/>
        </w:numPr>
        <w:spacing w:after="0"/>
        <w:ind w:left="284" w:hanging="284"/>
        <w:rPr>
          <w:szCs w:val="22"/>
          <w:lang w:val="en-US"/>
        </w:rPr>
      </w:pPr>
      <w:r w:rsidRPr="00F250D2">
        <w:rPr>
          <w:szCs w:val="22"/>
          <w:lang w:val="en-US"/>
        </w:rPr>
        <w:t>mandatory notifiers, for example, health and education professionals dealing with the subject child and their family (</w:t>
      </w:r>
      <w:proofErr w:type="gramStart"/>
      <w:r w:rsidRPr="00F250D2">
        <w:rPr>
          <w:szCs w:val="22"/>
          <w:lang w:val="en-US"/>
        </w:rPr>
        <w:t>e.g.</w:t>
      </w:r>
      <w:proofErr w:type="gramEnd"/>
      <w:r w:rsidRPr="00F250D2">
        <w:rPr>
          <w:szCs w:val="22"/>
          <w:lang w:val="en-US"/>
        </w:rPr>
        <w:t xml:space="preserve"> </w:t>
      </w:r>
      <w:r>
        <w:rPr>
          <w:szCs w:val="22"/>
          <w:lang w:val="en-US"/>
        </w:rPr>
        <w:t xml:space="preserve">police, </w:t>
      </w:r>
      <w:r w:rsidRPr="00F250D2">
        <w:rPr>
          <w:szCs w:val="22"/>
          <w:lang w:val="en-US"/>
        </w:rPr>
        <w:t>doctors, nurses, teachers)</w:t>
      </w:r>
    </w:p>
    <w:p w14:paraId="15006544" w14:textId="77777777" w:rsidR="00F97F6F" w:rsidRPr="00F250D2" w:rsidRDefault="00F97F6F" w:rsidP="00F97F6F">
      <w:pPr>
        <w:numPr>
          <w:ilvl w:val="0"/>
          <w:numId w:val="12"/>
        </w:numPr>
        <w:spacing w:after="240"/>
        <w:ind w:left="284" w:hanging="284"/>
        <w:rPr>
          <w:szCs w:val="22"/>
          <w:lang w:val="en-US"/>
        </w:rPr>
      </w:pPr>
      <w:r>
        <w:rPr>
          <w:szCs w:val="22"/>
          <w:lang w:val="en-US"/>
        </w:rPr>
        <w:t>other professionals who work with children and who may notify as a result of their close dealings with a child (</w:t>
      </w:r>
      <w:proofErr w:type="gramStart"/>
      <w:r>
        <w:rPr>
          <w:szCs w:val="22"/>
          <w:lang w:val="en-US"/>
        </w:rPr>
        <w:t>e.g.</w:t>
      </w:r>
      <w:proofErr w:type="gramEnd"/>
      <w:r>
        <w:rPr>
          <w:szCs w:val="22"/>
          <w:lang w:val="en-US"/>
        </w:rPr>
        <w:t xml:space="preserve"> early childhood education and care professionals, </w:t>
      </w:r>
      <w:r w:rsidRPr="00F250D2">
        <w:rPr>
          <w:szCs w:val="22"/>
          <w:lang w:val="en-US"/>
        </w:rPr>
        <w:t>allied health professionals</w:t>
      </w:r>
      <w:r>
        <w:rPr>
          <w:szCs w:val="22"/>
          <w:lang w:val="en-US"/>
        </w:rPr>
        <w:t>, social workers).</w:t>
      </w:r>
    </w:p>
    <w:p w14:paraId="4B3995A1" w14:textId="7FEC26D1" w:rsidR="00F97F6F" w:rsidRDefault="00F97F6F" w:rsidP="00F97F6F">
      <w:pPr>
        <w:rPr>
          <w:szCs w:val="22"/>
          <w:lang w:val="en-US"/>
        </w:rPr>
      </w:pPr>
      <w:r>
        <w:rPr>
          <w:szCs w:val="22"/>
          <w:lang w:val="en-US"/>
        </w:rPr>
        <w:t xml:space="preserve">Protections are afforded to </w:t>
      </w:r>
      <w:proofErr w:type="gramStart"/>
      <w:r>
        <w:rPr>
          <w:szCs w:val="22"/>
          <w:lang w:val="en-US"/>
        </w:rPr>
        <w:t>all of</w:t>
      </w:r>
      <w:proofErr w:type="gramEnd"/>
      <w:r>
        <w:rPr>
          <w:szCs w:val="22"/>
          <w:lang w:val="en-US"/>
        </w:rPr>
        <w:t xml:space="preserve"> these types of notifiers under section 186</w:t>
      </w:r>
      <w:r w:rsidR="006228F5">
        <w:rPr>
          <w:szCs w:val="22"/>
          <w:lang w:val="en-US"/>
        </w:rPr>
        <w:t>C</w:t>
      </w:r>
      <w:r>
        <w:rPr>
          <w:szCs w:val="22"/>
          <w:lang w:val="en-US"/>
        </w:rPr>
        <w:t>, even if the notifier is a party to the proceeding or the notifier’s identity is otherwise known to the parties. Departmental officers and police officers performing child protection functions are generally not afforded protections under section 186</w:t>
      </w:r>
      <w:r w:rsidR="006228F5">
        <w:rPr>
          <w:szCs w:val="22"/>
          <w:lang w:val="en-US"/>
        </w:rPr>
        <w:t>C</w:t>
      </w:r>
      <w:r>
        <w:rPr>
          <w:szCs w:val="22"/>
          <w:lang w:val="en-US"/>
        </w:rPr>
        <w:t>.</w:t>
      </w:r>
    </w:p>
    <w:p w14:paraId="7B2E169B" w14:textId="7D00D01A" w:rsidR="00F97F6F" w:rsidRPr="00DE5599" w:rsidRDefault="00F97F6F" w:rsidP="00F97F6F">
      <w:pPr>
        <w:spacing w:before="240" w:after="60"/>
        <w:rPr>
          <w:b/>
          <w:sz w:val="24"/>
          <w:lang w:val="en-US"/>
        </w:rPr>
      </w:pPr>
      <w:r w:rsidRPr="00DE5599">
        <w:rPr>
          <w:b/>
          <w:sz w:val="24"/>
          <w:lang w:val="en-US"/>
        </w:rPr>
        <w:t>Other information which may be refused</w:t>
      </w:r>
    </w:p>
    <w:p w14:paraId="32261F56" w14:textId="1B880B87" w:rsidR="00F97F6F" w:rsidRDefault="00F97F6F" w:rsidP="00F97F6F">
      <w:pPr>
        <w:spacing w:after="0"/>
        <w:rPr>
          <w:szCs w:val="22"/>
          <w:lang w:val="en-US"/>
        </w:rPr>
      </w:pPr>
      <w:r>
        <w:rPr>
          <w:szCs w:val="22"/>
          <w:lang w:val="en-US"/>
        </w:rPr>
        <w:t xml:space="preserve">Additionally, section 191 of the </w:t>
      </w:r>
      <w:r w:rsidR="006228F5">
        <w:rPr>
          <w:b/>
          <w:bCs/>
          <w:iCs/>
          <w:szCs w:val="22"/>
          <w:lang w:val="en-US"/>
        </w:rPr>
        <w:t>CP Act</w:t>
      </w:r>
      <w:r>
        <w:rPr>
          <w:i/>
          <w:szCs w:val="22"/>
          <w:lang w:val="en-US"/>
        </w:rPr>
        <w:t xml:space="preserve"> </w:t>
      </w:r>
      <w:r>
        <w:rPr>
          <w:szCs w:val="22"/>
          <w:lang w:val="en-US"/>
        </w:rPr>
        <w:t>provides discretion for other information to be refused for production in a proceeding, including:</w:t>
      </w:r>
    </w:p>
    <w:p w14:paraId="7B8CF6C9" w14:textId="77777777" w:rsidR="00F97F6F" w:rsidRDefault="00F97F6F" w:rsidP="00F97F6F">
      <w:pPr>
        <w:numPr>
          <w:ilvl w:val="0"/>
          <w:numId w:val="14"/>
        </w:numPr>
        <w:spacing w:after="0"/>
        <w:ind w:left="284" w:hanging="284"/>
        <w:rPr>
          <w:szCs w:val="22"/>
          <w:lang w:val="en-US"/>
        </w:rPr>
      </w:pPr>
      <w:r>
        <w:rPr>
          <w:szCs w:val="22"/>
          <w:lang w:val="en-US"/>
        </w:rPr>
        <w:t>information subject to legal professional privilege</w:t>
      </w:r>
    </w:p>
    <w:p w14:paraId="69E48756" w14:textId="77777777" w:rsidR="00F97F6F" w:rsidRDefault="00F97F6F" w:rsidP="00F97F6F">
      <w:pPr>
        <w:numPr>
          <w:ilvl w:val="0"/>
          <w:numId w:val="14"/>
        </w:numPr>
        <w:spacing w:after="0"/>
        <w:ind w:left="284" w:hanging="284"/>
        <w:rPr>
          <w:szCs w:val="22"/>
          <w:lang w:val="en-US"/>
        </w:rPr>
      </w:pPr>
      <w:r>
        <w:rPr>
          <w:szCs w:val="22"/>
          <w:lang w:val="en-US"/>
        </w:rPr>
        <w:t>communications between the department and the office of the Director of Child Protection Litigation</w:t>
      </w:r>
    </w:p>
    <w:p w14:paraId="7F28D411" w14:textId="77777777" w:rsidR="00F97F6F" w:rsidRDefault="00F97F6F" w:rsidP="00F97F6F">
      <w:pPr>
        <w:numPr>
          <w:ilvl w:val="0"/>
          <w:numId w:val="14"/>
        </w:numPr>
        <w:spacing w:after="0"/>
        <w:ind w:left="284" w:hanging="284"/>
        <w:rPr>
          <w:szCs w:val="22"/>
          <w:lang w:val="en-US"/>
        </w:rPr>
      </w:pPr>
      <w:r>
        <w:rPr>
          <w:szCs w:val="22"/>
          <w:lang w:val="en-US"/>
        </w:rPr>
        <w:t>information the disclosure of which would be likely to endanger a person’s safety or psychological health</w:t>
      </w:r>
    </w:p>
    <w:p w14:paraId="5C5C8A9B" w14:textId="77777777" w:rsidR="00F97F6F" w:rsidRDefault="00F97F6F" w:rsidP="00F97F6F">
      <w:pPr>
        <w:numPr>
          <w:ilvl w:val="0"/>
          <w:numId w:val="14"/>
        </w:numPr>
        <w:spacing w:after="0"/>
        <w:ind w:left="284" w:hanging="284"/>
        <w:rPr>
          <w:szCs w:val="22"/>
          <w:lang w:val="en-US"/>
        </w:rPr>
      </w:pPr>
      <w:r>
        <w:rPr>
          <w:szCs w:val="22"/>
          <w:lang w:val="en-US"/>
        </w:rPr>
        <w:t>information the disclosure of which identifies or is likely to identify its source and identification of that source is likely to prejudice the achievement of the purpose of the CP Act</w:t>
      </w:r>
    </w:p>
    <w:p w14:paraId="653E5504" w14:textId="77777777" w:rsidR="00F97F6F" w:rsidRDefault="00F97F6F" w:rsidP="00F97F6F">
      <w:pPr>
        <w:numPr>
          <w:ilvl w:val="0"/>
          <w:numId w:val="14"/>
        </w:numPr>
        <w:spacing w:after="0"/>
        <w:ind w:left="284" w:hanging="284"/>
        <w:rPr>
          <w:szCs w:val="22"/>
          <w:lang w:val="en-US"/>
        </w:rPr>
      </w:pPr>
      <w:r>
        <w:rPr>
          <w:szCs w:val="22"/>
          <w:lang w:val="en-US"/>
        </w:rPr>
        <w:t>records of confidential therapeutic counselling the disclosure of which is not consented to by the person to whom it relates (mandatory to refuse to produce except in limited circumstances)</w:t>
      </w:r>
    </w:p>
    <w:p w14:paraId="23506C32" w14:textId="77777777" w:rsidR="00F97F6F" w:rsidRPr="003D145D" w:rsidRDefault="00F97F6F" w:rsidP="00F97F6F">
      <w:pPr>
        <w:numPr>
          <w:ilvl w:val="0"/>
          <w:numId w:val="14"/>
        </w:numPr>
        <w:spacing w:after="0"/>
        <w:ind w:left="284" w:hanging="284"/>
        <w:rPr>
          <w:szCs w:val="22"/>
          <w:lang w:val="en-US"/>
        </w:rPr>
      </w:pPr>
      <w:r>
        <w:rPr>
          <w:szCs w:val="22"/>
          <w:lang w:val="en-US"/>
        </w:rPr>
        <w:t>information the disclosure of which could reasonably be expected to prejudice the investigation of a contravention or possible contravention of the law in a particular case</w:t>
      </w:r>
    </w:p>
    <w:p w14:paraId="75C3EDF3" w14:textId="50960724" w:rsidR="00F97F6F" w:rsidRPr="00BD338F" w:rsidRDefault="00F97F6F" w:rsidP="00F8440C">
      <w:pPr>
        <w:numPr>
          <w:ilvl w:val="0"/>
          <w:numId w:val="14"/>
        </w:numPr>
        <w:spacing w:after="0"/>
        <w:ind w:left="284" w:hanging="284"/>
        <w:rPr>
          <w:szCs w:val="22"/>
          <w:lang w:val="en-US"/>
        </w:rPr>
      </w:pPr>
      <w:r w:rsidRPr="00BD338F">
        <w:rPr>
          <w:szCs w:val="22"/>
          <w:lang w:val="en-US"/>
        </w:rPr>
        <w:t>information the disclosure of which could reasonably be expected to prejudice the effectiveness of a lawful method or procedure for preventing, detecting, investigating or dealing with a contravention or possible contravention of the law</w:t>
      </w:r>
    </w:p>
    <w:p w14:paraId="628269BF" w14:textId="77777777" w:rsidR="00F97F6F" w:rsidRDefault="00F97F6F" w:rsidP="00F97F6F">
      <w:pPr>
        <w:numPr>
          <w:ilvl w:val="0"/>
          <w:numId w:val="14"/>
        </w:numPr>
        <w:spacing w:after="0"/>
        <w:ind w:left="284" w:hanging="284"/>
        <w:rPr>
          <w:szCs w:val="22"/>
          <w:lang w:val="en-US"/>
        </w:rPr>
      </w:pPr>
      <w:r>
        <w:rPr>
          <w:szCs w:val="22"/>
          <w:lang w:val="en-US"/>
        </w:rPr>
        <w:t>information the disclosure of which could reasonably be expected to enable the existence or identity of a confidential source of information, in relation to the enforcement or administration of the law, to be ascertained</w:t>
      </w:r>
    </w:p>
    <w:p w14:paraId="401FABA3" w14:textId="77777777" w:rsidR="00F97F6F" w:rsidRDefault="00F97F6F" w:rsidP="00F97F6F">
      <w:pPr>
        <w:numPr>
          <w:ilvl w:val="0"/>
          <w:numId w:val="14"/>
        </w:numPr>
        <w:spacing w:after="0"/>
        <w:ind w:left="284" w:hanging="284"/>
        <w:rPr>
          <w:szCs w:val="22"/>
          <w:lang w:val="en-US"/>
        </w:rPr>
      </w:pPr>
      <w:r>
        <w:rPr>
          <w:szCs w:val="22"/>
          <w:lang w:val="en-US"/>
        </w:rPr>
        <w:t>personal information not materially relevant to the proceeding</w:t>
      </w:r>
    </w:p>
    <w:p w14:paraId="1A087198" w14:textId="77777777" w:rsidR="00F97F6F" w:rsidRDefault="00F97F6F" w:rsidP="00F97F6F">
      <w:pPr>
        <w:numPr>
          <w:ilvl w:val="0"/>
          <w:numId w:val="14"/>
        </w:numPr>
        <w:spacing w:after="0"/>
        <w:ind w:left="284" w:hanging="284"/>
        <w:rPr>
          <w:szCs w:val="22"/>
          <w:lang w:val="en-US"/>
        </w:rPr>
      </w:pPr>
      <w:r>
        <w:rPr>
          <w:szCs w:val="22"/>
          <w:lang w:val="en-US"/>
        </w:rPr>
        <w:t>information the disclosure of which would be contrary to public interest</w:t>
      </w:r>
    </w:p>
    <w:p w14:paraId="50FAA4D7" w14:textId="77777777" w:rsidR="00F97F6F" w:rsidRDefault="00F97F6F" w:rsidP="00F97F6F">
      <w:pPr>
        <w:numPr>
          <w:ilvl w:val="0"/>
          <w:numId w:val="14"/>
        </w:numPr>
        <w:spacing w:after="240"/>
        <w:ind w:left="284" w:hanging="284"/>
        <w:rPr>
          <w:szCs w:val="22"/>
          <w:lang w:val="en-US"/>
        </w:rPr>
      </w:pPr>
      <w:r>
        <w:rPr>
          <w:szCs w:val="22"/>
          <w:lang w:val="en-US"/>
        </w:rPr>
        <w:t>where there is other good reason for not disclosing information, having regard to the best interests of a child who is a subject of the proceeding</w:t>
      </w:r>
      <w:r w:rsidRPr="00D25CAF">
        <w:rPr>
          <w:szCs w:val="22"/>
          <w:lang w:val="en-US"/>
        </w:rPr>
        <w:t>.</w:t>
      </w:r>
    </w:p>
    <w:p w14:paraId="3A92B707" w14:textId="77777777" w:rsidR="00F97F6F" w:rsidRPr="006537B5" w:rsidRDefault="00F97F6F" w:rsidP="00F97F6F">
      <w:pPr>
        <w:spacing w:before="240" w:after="60"/>
        <w:rPr>
          <w:b/>
          <w:sz w:val="24"/>
          <w:lang w:val="en-US"/>
        </w:rPr>
      </w:pPr>
      <w:r w:rsidRPr="006537B5">
        <w:rPr>
          <w:b/>
          <w:sz w:val="24"/>
          <w:lang w:val="en-US"/>
        </w:rPr>
        <w:t>Redactions</w:t>
      </w:r>
    </w:p>
    <w:p w14:paraId="2984691A" w14:textId="77777777" w:rsidR="00F97F6F" w:rsidRDefault="00F97F6F" w:rsidP="00F97F6F">
      <w:pPr>
        <w:rPr>
          <w:szCs w:val="22"/>
          <w:lang w:val="en-US"/>
        </w:rPr>
      </w:pPr>
      <w:r>
        <w:rPr>
          <w:szCs w:val="22"/>
          <w:lang w:val="en-US"/>
        </w:rPr>
        <w:t>The department uses redaction software to redact information restricted from production before producing documents to the court.</w:t>
      </w:r>
    </w:p>
    <w:p w14:paraId="1F23B8EB" w14:textId="77777777" w:rsidR="006228F5" w:rsidRDefault="006228F5" w:rsidP="00F97F6F">
      <w:pPr>
        <w:spacing w:after="60"/>
        <w:rPr>
          <w:b/>
          <w:szCs w:val="22"/>
          <w:lang w:val="en-US"/>
        </w:rPr>
      </w:pPr>
    </w:p>
    <w:p w14:paraId="3434797C" w14:textId="77777777" w:rsidR="006228F5" w:rsidRDefault="006228F5" w:rsidP="00F97F6F">
      <w:pPr>
        <w:spacing w:after="60"/>
        <w:rPr>
          <w:b/>
          <w:szCs w:val="22"/>
          <w:lang w:val="en-US"/>
        </w:rPr>
      </w:pPr>
    </w:p>
    <w:p w14:paraId="20B255EF" w14:textId="77777777" w:rsidR="006228F5" w:rsidRDefault="006228F5" w:rsidP="00F97F6F">
      <w:pPr>
        <w:spacing w:after="60"/>
        <w:rPr>
          <w:b/>
          <w:szCs w:val="22"/>
          <w:lang w:val="en-US"/>
        </w:rPr>
      </w:pPr>
    </w:p>
    <w:p w14:paraId="57C0D0F4" w14:textId="5C255ECA" w:rsidR="00F97F6F" w:rsidRDefault="00F97F6F" w:rsidP="00F97F6F">
      <w:pPr>
        <w:spacing w:after="60"/>
        <w:rPr>
          <w:b/>
          <w:szCs w:val="22"/>
          <w:lang w:val="en-US"/>
        </w:rPr>
      </w:pPr>
      <w:r>
        <w:rPr>
          <w:b/>
          <w:szCs w:val="22"/>
          <w:lang w:val="en-US"/>
        </w:rPr>
        <w:lastRenderedPageBreak/>
        <w:t>Redaction codes</w:t>
      </w:r>
    </w:p>
    <w:p w14:paraId="1B1CF78F" w14:textId="77777777" w:rsidR="00F97F6F" w:rsidRDefault="00F97F6F" w:rsidP="00F97F6F">
      <w:pPr>
        <w:spacing w:after="40"/>
        <w:rPr>
          <w:szCs w:val="22"/>
          <w:lang w:val="en-US"/>
        </w:rPr>
      </w:pPr>
      <w:r>
        <w:rPr>
          <w:szCs w:val="22"/>
          <w:lang w:val="en-US"/>
        </w:rPr>
        <w:t>‘Codes’ are used in the boxes redacted to specify the grounds upon which information has been redacted.  The following codes are commonly used: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7996"/>
      </w:tblGrid>
      <w:tr w:rsidR="00F97F6F" w:rsidRPr="00AB3EE6" w14:paraId="382F0018" w14:textId="77777777" w:rsidTr="001C6852">
        <w:tc>
          <w:tcPr>
            <w:tcW w:w="1524" w:type="dxa"/>
            <w:shd w:val="clear" w:color="auto" w:fill="auto"/>
          </w:tcPr>
          <w:p w14:paraId="4151F766" w14:textId="77777777" w:rsidR="00F97F6F" w:rsidRPr="00AB3EE6" w:rsidRDefault="00F97F6F" w:rsidP="001C6852">
            <w:pPr>
              <w:spacing w:after="40"/>
              <w:rPr>
                <w:b/>
                <w:szCs w:val="22"/>
                <w:lang w:val="en-US"/>
              </w:rPr>
            </w:pPr>
            <w:r w:rsidRPr="00AB3EE6">
              <w:rPr>
                <w:b/>
                <w:szCs w:val="22"/>
                <w:lang w:val="en-US"/>
              </w:rPr>
              <w:t>Code</w:t>
            </w:r>
          </w:p>
        </w:tc>
        <w:tc>
          <w:tcPr>
            <w:tcW w:w="8115" w:type="dxa"/>
            <w:shd w:val="clear" w:color="auto" w:fill="auto"/>
          </w:tcPr>
          <w:p w14:paraId="008CE4B7" w14:textId="77777777" w:rsidR="00F97F6F" w:rsidRPr="00AB3EE6" w:rsidRDefault="00F97F6F" w:rsidP="001C6852">
            <w:pPr>
              <w:spacing w:after="40"/>
              <w:rPr>
                <w:b/>
                <w:szCs w:val="22"/>
                <w:lang w:val="en-US"/>
              </w:rPr>
            </w:pPr>
            <w:r w:rsidRPr="00AB3EE6">
              <w:rPr>
                <w:b/>
                <w:szCs w:val="22"/>
                <w:lang w:val="en-US"/>
              </w:rPr>
              <w:t>Information redacted</w:t>
            </w:r>
          </w:p>
        </w:tc>
      </w:tr>
      <w:tr w:rsidR="00F97F6F" w:rsidRPr="00AB3EE6" w14:paraId="44A0F472" w14:textId="77777777" w:rsidTr="001C6852">
        <w:tc>
          <w:tcPr>
            <w:tcW w:w="1524" w:type="dxa"/>
            <w:shd w:val="clear" w:color="auto" w:fill="auto"/>
          </w:tcPr>
          <w:p w14:paraId="7E237AB9" w14:textId="503EAC90" w:rsidR="00F97F6F" w:rsidRPr="00AB3EE6" w:rsidRDefault="00F97F6F" w:rsidP="001C6852">
            <w:pPr>
              <w:spacing w:after="40"/>
              <w:rPr>
                <w:szCs w:val="22"/>
                <w:lang w:val="en-US"/>
              </w:rPr>
            </w:pPr>
            <w:r w:rsidRPr="00AB3EE6">
              <w:rPr>
                <w:szCs w:val="22"/>
                <w:lang w:val="en-US"/>
              </w:rPr>
              <w:t>s186</w:t>
            </w:r>
            <w:r w:rsidR="002B7375">
              <w:rPr>
                <w:szCs w:val="22"/>
                <w:lang w:val="en-US"/>
              </w:rPr>
              <w:t>C</w:t>
            </w:r>
          </w:p>
        </w:tc>
        <w:tc>
          <w:tcPr>
            <w:tcW w:w="8115" w:type="dxa"/>
            <w:shd w:val="clear" w:color="auto" w:fill="auto"/>
          </w:tcPr>
          <w:p w14:paraId="322806FD" w14:textId="219A0BAD" w:rsidR="00F97F6F" w:rsidRPr="00AB3EE6" w:rsidRDefault="00F97F6F" w:rsidP="001C6852">
            <w:pPr>
              <w:spacing w:after="40"/>
              <w:rPr>
                <w:szCs w:val="22"/>
                <w:lang w:val="en-US"/>
              </w:rPr>
            </w:pPr>
            <w:r>
              <w:rPr>
                <w:szCs w:val="22"/>
                <w:lang w:val="en-US"/>
              </w:rPr>
              <w:t>I</w:t>
            </w:r>
            <w:r w:rsidRPr="00AB3EE6">
              <w:rPr>
                <w:szCs w:val="22"/>
                <w:lang w:val="en-US"/>
              </w:rPr>
              <w:t>nformation from which the identity of a notifier could be deduced (prohibited by section 186</w:t>
            </w:r>
            <w:r w:rsidR="006228F5">
              <w:rPr>
                <w:szCs w:val="22"/>
                <w:lang w:val="en-US"/>
              </w:rPr>
              <w:t>C</w:t>
            </w:r>
            <w:r w:rsidRPr="00AB3EE6">
              <w:rPr>
                <w:szCs w:val="22"/>
                <w:lang w:val="en-US"/>
              </w:rPr>
              <w:t xml:space="preserve"> of the CP Act)</w:t>
            </w:r>
          </w:p>
        </w:tc>
      </w:tr>
      <w:tr w:rsidR="00F97F6F" w:rsidRPr="00AB3EE6" w14:paraId="222B3BBA" w14:textId="77777777" w:rsidTr="001C6852">
        <w:tc>
          <w:tcPr>
            <w:tcW w:w="1524" w:type="dxa"/>
            <w:shd w:val="clear" w:color="auto" w:fill="auto"/>
          </w:tcPr>
          <w:p w14:paraId="6DCE9FC3" w14:textId="77777777" w:rsidR="00F97F6F" w:rsidRPr="00AB3EE6" w:rsidRDefault="00F97F6F" w:rsidP="001C6852">
            <w:pPr>
              <w:spacing w:after="40"/>
              <w:rPr>
                <w:szCs w:val="22"/>
                <w:lang w:val="en-US"/>
              </w:rPr>
            </w:pPr>
            <w:r>
              <w:rPr>
                <w:szCs w:val="22"/>
                <w:lang w:val="en-US"/>
              </w:rPr>
              <w:t>s191(2)(a)</w:t>
            </w:r>
          </w:p>
        </w:tc>
        <w:tc>
          <w:tcPr>
            <w:tcW w:w="8115" w:type="dxa"/>
            <w:shd w:val="clear" w:color="auto" w:fill="auto"/>
          </w:tcPr>
          <w:p w14:paraId="2AD400B0" w14:textId="77777777" w:rsidR="00F97F6F" w:rsidRPr="00AB3EE6" w:rsidRDefault="00F97F6F" w:rsidP="001C6852">
            <w:pPr>
              <w:spacing w:after="40"/>
              <w:rPr>
                <w:szCs w:val="22"/>
                <w:lang w:val="en-US"/>
              </w:rPr>
            </w:pPr>
            <w:r>
              <w:rPr>
                <w:szCs w:val="22"/>
                <w:lang w:val="en-US"/>
              </w:rPr>
              <w:t>Information subject to legal professional privilege</w:t>
            </w:r>
          </w:p>
        </w:tc>
      </w:tr>
      <w:tr w:rsidR="00F97F6F" w:rsidRPr="00AB3EE6" w14:paraId="0EEDF9D6" w14:textId="77777777" w:rsidTr="001C6852">
        <w:tc>
          <w:tcPr>
            <w:tcW w:w="1524" w:type="dxa"/>
            <w:shd w:val="clear" w:color="auto" w:fill="auto"/>
          </w:tcPr>
          <w:p w14:paraId="6F9F159A" w14:textId="77777777" w:rsidR="00F97F6F" w:rsidRPr="00AB3EE6" w:rsidRDefault="00F97F6F" w:rsidP="001C6852">
            <w:pPr>
              <w:spacing w:after="40"/>
              <w:rPr>
                <w:szCs w:val="22"/>
                <w:lang w:val="en-US"/>
              </w:rPr>
            </w:pPr>
            <w:r>
              <w:rPr>
                <w:szCs w:val="22"/>
                <w:lang w:val="en-US"/>
              </w:rPr>
              <w:t>s191(2)(b)</w:t>
            </w:r>
          </w:p>
        </w:tc>
        <w:tc>
          <w:tcPr>
            <w:tcW w:w="8115" w:type="dxa"/>
            <w:shd w:val="clear" w:color="auto" w:fill="auto"/>
          </w:tcPr>
          <w:p w14:paraId="450C9647" w14:textId="77777777" w:rsidR="00F97F6F" w:rsidRPr="00AB3EE6" w:rsidRDefault="00F97F6F" w:rsidP="001C6852">
            <w:pPr>
              <w:spacing w:after="40"/>
              <w:rPr>
                <w:szCs w:val="22"/>
                <w:lang w:val="en-US"/>
              </w:rPr>
            </w:pPr>
            <w:r>
              <w:rPr>
                <w:szCs w:val="22"/>
                <w:lang w:val="en-US"/>
              </w:rPr>
              <w:t>Communications between the department and the office of the Director of Child Protection Litigation</w:t>
            </w:r>
          </w:p>
        </w:tc>
      </w:tr>
      <w:tr w:rsidR="00F97F6F" w:rsidRPr="00AB3EE6" w14:paraId="3CC830E6" w14:textId="77777777" w:rsidTr="001C6852">
        <w:tc>
          <w:tcPr>
            <w:tcW w:w="1524" w:type="dxa"/>
            <w:shd w:val="clear" w:color="auto" w:fill="auto"/>
          </w:tcPr>
          <w:p w14:paraId="5A964AA0" w14:textId="77777777" w:rsidR="00F97F6F" w:rsidRPr="00AB3EE6" w:rsidRDefault="00F97F6F" w:rsidP="001C6852">
            <w:pPr>
              <w:spacing w:after="40"/>
              <w:rPr>
                <w:szCs w:val="22"/>
                <w:lang w:val="en-US"/>
              </w:rPr>
            </w:pPr>
            <w:r>
              <w:rPr>
                <w:szCs w:val="22"/>
                <w:lang w:val="en-US"/>
              </w:rPr>
              <w:t>s191(2)(c)</w:t>
            </w:r>
          </w:p>
        </w:tc>
        <w:tc>
          <w:tcPr>
            <w:tcW w:w="8115" w:type="dxa"/>
            <w:shd w:val="clear" w:color="auto" w:fill="auto"/>
          </w:tcPr>
          <w:p w14:paraId="52B9CBB1" w14:textId="77777777" w:rsidR="00F97F6F" w:rsidRPr="00AB3EE6" w:rsidRDefault="00F97F6F" w:rsidP="001C6852">
            <w:pPr>
              <w:spacing w:after="40"/>
              <w:rPr>
                <w:szCs w:val="22"/>
                <w:lang w:val="en-US"/>
              </w:rPr>
            </w:pPr>
            <w:r>
              <w:rPr>
                <w:szCs w:val="22"/>
                <w:lang w:val="en-US"/>
              </w:rPr>
              <w:t>Information the disclosure of which would be likely to endanger a person’s safety or psychological health</w:t>
            </w:r>
          </w:p>
        </w:tc>
      </w:tr>
      <w:tr w:rsidR="00F97F6F" w:rsidRPr="00AB3EE6" w14:paraId="46BC375C" w14:textId="77777777" w:rsidTr="001C6852">
        <w:tc>
          <w:tcPr>
            <w:tcW w:w="1524" w:type="dxa"/>
            <w:shd w:val="clear" w:color="auto" w:fill="auto"/>
          </w:tcPr>
          <w:p w14:paraId="6708BB19" w14:textId="77777777" w:rsidR="00F97F6F" w:rsidRPr="00AB3EE6" w:rsidRDefault="00F97F6F" w:rsidP="001C6852">
            <w:pPr>
              <w:spacing w:after="40"/>
              <w:rPr>
                <w:szCs w:val="22"/>
                <w:lang w:val="en-US"/>
              </w:rPr>
            </w:pPr>
            <w:r>
              <w:rPr>
                <w:szCs w:val="22"/>
                <w:lang w:val="en-US"/>
              </w:rPr>
              <w:t>s191(2)(d)</w:t>
            </w:r>
          </w:p>
        </w:tc>
        <w:tc>
          <w:tcPr>
            <w:tcW w:w="8115" w:type="dxa"/>
            <w:shd w:val="clear" w:color="auto" w:fill="auto"/>
          </w:tcPr>
          <w:p w14:paraId="54FE9C3A" w14:textId="77777777" w:rsidR="00F97F6F" w:rsidRPr="00AB3EE6" w:rsidRDefault="00F97F6F" w:rsidP="001C6852">
            <w:pPr>
              <w:spacing w:after="40"/>
              <w:rPr>
                <w:szCs w:val="22"/>
                <w:lang w:val="en-US"/>
              </w:rPr>
            </w:pPr>
            <w:r>
              <w:rPr>
                <w:szCs w:val="22"/>
                <w:lang w:val="en-US"/>
              </w:rPr>
              <w:t>Information the disclosure of which identifies or is likely to identify its source where identification of that source is likely to prejudice the achievement of the purpose of the CP Act</w:t>
            </w:r>
          </w:p>
        </w:tc>
      </w:tr>
      <w:tr w:rsidR="00F97F6F" w:rsidRPr="00AB3EE6" w14:paraId="0495375F" w14:textId="77777777" w:rsidTr="001C6852">
        <w:tc>
          <w:tcPr>
            <w:tcW w:w="1524" w:type="dxa"/>
            <w:shd w:val="clear" w:color="auto" w:fill="auto"/>
          </w:tcPr>
          <w:p w14:paraId="3DA4998A" w14:textId="77777777" w:rsidR="00F97F6F" w:rsidRPr="00AB3EE6" w:rsidRDefault="00F97F6F" w:rsidP="001C6852">
            <w:pPr>
              <w:spacing w:after="40"/>
              <w:rPr>
                <w:szCs w:val="22"/>
                <w:lang w:val="en-US"/>
              </w:rPr>
            </w:pPr>
            <w:r>
              <w:rPr>
                <w:szCs w:val="22"/>
                <w:lang w:val="en-US"/>
              </w:rPr>
              <w:t>s191(2)(e)</w:t>
            </w:r>
          </w:p>
        </w:tc>
        <w:tc>
          <w:tcPr>
            <w:tcW w:w="8115" w:type="dxa"/>
            <w:shd w:val="clear" w:color="auto" w:fill="auto"/>
          </w:tcPr>
          <w:p w14:paraId="6EA32A28" w14:textId="77777777" w:rsidR="00F97F6F" w:rsidRPr="00AB3EE6" w:rsidRDefault="00F97F6F" w:rsidP="001C6852">
            <w:pPr>
              <w:spacing w:after="40"/>
              <w:rPr>
                <w:szCs w:val="22"/>
                <w:lang w:val="en-US"/>
              </w:rPr>
            </w:pPr>
            <w:r>
              <w:rPr>
                <w:szCs w:val="22"/>
                <w:lang w:val="en-US"/>
              </w:rPr>
              <w:t>Records of confidential therapeutic counselling the disclosure of which is not consented to by the person to whom it relates</w:t>
            </w:r>
          </w:p>
        </w:tc>
      </w:tr>
      <w:tr w:rsidR="00F97F6F" w:rsidRPr="00AB3EE6" w14:paraId="72E809DB" w14:textId="77777777" w:rsidTr="001C6852">
        <w:tc>
          <w:tcPr>
            <w:tcW w:w="1524" w:type="dxa"/>
            <w:shd w:val="clear" w:color="auto" w:fill="auto"/>
          </w:tcPr>
          <w:p w14:paraId="6B79EE48" w14:textId="77777777" w:rsidR="00F97F6F" w:rsidRPr="00AB3EE6" w:rsidRDefault="00F97F6F" w:rsidP="001C6852">
            <w:pPr>
              <w:spacing w:after="40"/>
              <w:rPr>
                <w:szCs w:val="22"/>
                <w:lang w:val="en-US"/>
              </w:rPr>
            </w:pPr>
            <w:r>
              <w:rPr>
                <w:szCs w:val="22"/>
                <w:lang w:val="en-US"/>
              </w:rPr>
              <w:t>s191(2)(f)(i)</w:t>
            </w:r>
          </w:p>
        </w:tc>
        <w:tc>
          <w:tcPr>
            <w:tcW w:w="8115" w:type="dxa"/>
            <w:shd w:val="clear" w:color="auto" w:fill="auto"/>
          </w:tcPr>
          <w:p w14:paraId="3FB737E4" w14:textId="77777777" w:rsidR="00F97F6F" w:rsidRPr="00AB3EE6" w:rsidRDefault="00F97F6F" w:rsidP="001C6852">
            <w:pPr>
              <w:spacing w:after="40"/>
              <w:rPr>
                <w:szCs w:val="22"/>
                <w:lang w:val="en-US"/>
              </w:rPr>
            </w:pPr>
            <w:r>
              <w:rPr>
                <w:szCs w:val="22"/>
                <w:lang w:val="en-US"/>
              </w:rPr>
              <w:t>Information the disclosure of which could reasonably be expected to prejudice the investigation of a contravention or possible contravention of the law in a particular case</w:t>
            </w:r>
          </w:p>
        </w:tc>
      </w:tr>
      <w:tr w:rsidR="00F97F6F" w:rsidRPr="00AB3EE6" w14:paraId="52F42D42" w14:textId="77777777" w:rsidTr="001C6852">
        <w:tc>
          <w:tcPr>
            <w:tcW w:w="1524" w:type="dxa"/>
            <w:tcBorders>
              <w:top w:val="single" w:sz="4" w:space="0" w:color="auto"/>
              <w:left w:val="single" w:sz="4" w:space="0" w:color="auto"/>
              <w:bottom w:val="single" w:sz="4" w:space="0" w:color="auto"/>
              <w:right w:val="single" w:sz="4" w:space="0" w:color="auto"/>
            </w:tcBorders>
            <w:shd w:val="clear" w:color="auto" w:fill="auto"/>
          </w:tcPr>
          <w:p w14:paraId="4ACF0334" w14:textId="77777777" w:rsidR="00F97F6F" w:rsidRPr="00AB3EE6" w:rsidRDefault="00F97F6F" w:rsidP="001C6852">
            <w:pPr>
              <w:spacing w:after="40"/>
              <w:rPr>
                <w:szCs w:val="22"/>
                <w:lang w:val="en-US"/>
              </w:rPr>
            </w:pPr>
            <w:r>
              <w:rPr>
                <w:szCs w:val="22"/>
                <w:lang w:val="en-US"/>
              </w:rPr>
              <w:t>s191(2)(f)(ii)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2BACA6B" w14:textId="77777777" w:rsidR="00F97F6F" w:rsidRPr="00AB3EE6" w:rsidRDefault="00F97F6F" w:rsidP="001C6852">
            <w:pPr>
              <w:spacing w:after="40"/>
              <w:rPr>
                <w:szCs w:val="22"/>
                <w:lang w:val="en-US"/>
              </w:rPr>
            </w:pPr>
            <w:r>
              <w:rPr>
                <w:szCs w:val="22"/>
                <w:lang w:val="en-US"/>
              </w:rPr>
              <w:t>Information the disclosure of which could reasonably be expected to prejudice the effectiveness of a lawful method or procedure for preventing, detecting, investigating or dealing with a contravention or possible contravention of the law</w:t>
            </w:r>
          </w:p>
        </w:tc>
      </w:tr>
      <w:tr w:rsidR="00F97F6F" w:rsidRPr="00AB3EE6" w14:paraId="6FC72C0F" w14:textId="77777777" w:rsidTr="001C6852">
        <w:tc>
          <w:tcPr>
            <w:tcW w:w="1524" w:type="dxa"/>
            <w:tcBorders>
              <w:top w:val="single" w:sz="4" w:space="0" w:color="auto"/>
              <w:left w:val="single" w:sz="4" w:space="0" w:color="auto"/>
              <w:bottom w:val="single" w:sz="4" w:space="0" w:color="auto"/>
              <w:right w:val="single" w:sz="4" w:space="0" w:color="auto"/>
            </w:tcBorders>
            <w:shd w:val="clear" w:color="auto" w:fill="auto"/>
          </w:tcPr>
          <w:p w14:paraId="7C791444" w14:textId="77777777" w:rsidR="00F97F6F" w:rsidRPr="00AB3EE6" w:rsidRDefault="00F97F6F" w:rsidP="001C6852">
            <w:pPr>
              <w:spacing w:after="40"/>
              <w:rPr>
                <w:szCs w:val="22"/>
                <w:lang w:val="en-US"/>
              </w:rPr>
            </w:pPr>
            <w:r>
              <w:rPr>
                <w:szCs w:val="22"/>
                <w:lang w:val="en-US"/>
              </w:rPr>
              <w:t>s191(2)(f)(iii)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C0B7CFF" w14:textId="77777777" w:rsidR="00F97F6F" w:rsidRPr="00AB3EE6" w:rsidRDefault="00F97F6F" w:rsidP="001C6852">
            <w:pPr>
              <w:spacing w:after="40"/>
              <w:rPr>
                <w:szCs w:val="22"/>
                <w:lang w:val="en-US"/>
              </w:rPr>
            </w:pPr>
            <w:r>
              <w:rPr>
                <w:szCs w:val="22"/>
                <w:lang w:val="en-US"/>
              </w:rPr>
              <w:t>Information the disclosure of which could reasonably be expected to enable the existence or identity of a confidential source of information, in relation to the enforcement or administration of the law, to be ascertained</w:t>
            </w:r>
          </w:p>
        </w:tc>
      </w:tr>
      <w:tr w:rsidR="00F97F6F" w:rsidRPr="00AB3EE6" w14:paraId="71E503E6" w14:textId="77777777" w:rsidTr="001C6852">
        <w:tc>
          <w:tcPr>
            <w:tcW w:w="1524" w:type="dxa"/>
            <w:tcBorders>
              <w:top w:val="single" w:sz="4" w:space="0" w:color="auto"/>
              <w:left w:val="single" w:sz="4" w:space="0" w:color="auto"/>
              <w:bottom w:val="single" w:sz="4" w:space="0" w:color="auto"/>
              <w:right w:val="single" w:sz="4" w:space="0" w:color="auto"/>
            </w:tcBorders>
            <w:shd w:val="clear" w:color="auto" w:fill="auto"/>
          </w:tcPr>
          <w:p w14:paraId="46F22B18" w14:textId="77777777" w:rsidR="00F97F6F" w:rsidRPr="00AB3EE6" w:rsidRDefault="00F97F6F" w:rsidP="001C6852">
            <w:pPr>
              <w:spacing w:after="40"/>
              <w:rPr>
                <w:szCs w:val="22"/>
                <w:lang w:val="en-US"/>
              </w:rPr>
            </w:pPr>
            <w:r>
              <w:rPr>
                <w:szCs w:val="22"/>
                <w:lang w:val="en-US"/>
              </w:rPr>
              <w:t>s191(2)(g)(i)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536C0412" w14:textId="77777777" w:rsidR="00F97F6F" w:rsidRPr="00AB3EE6" w:rsidRDefault="00F97F6F" w:rsidP="001C6852">
            <w:pPr>
              <w:spacing w:after="40"/>
              <w:rPr>
                <w:szCs w:val="22"/>
                <w:lang w:val="en-US"/>
              </w:rPr>
            </w:pPr>
            <w:r>
              <w:rPr>
                <w:szCs w:val="22"/>
                <w:lang w:val="en-US"/>
              </w:rPr>
              <w:t>Personal information not materially relevant to the proceeding</w:t>
            </w:r>
          </w:p>
        </w:tc>
      </w:tr>
      <w:tr w:rsidR="00F97F6F" w:rsidRPr="00AB3EE6" w14:paraId="6EEA9EF8" w14:textId="77777777" w:rsidTr="001C6852">
        <w:tc>
          <w:tcPr>
            <w:tcW w:w="1524" w:type="dxa"/>
            <w:tcBorders>
              <w:top w:val="single" w:sz="4" w:space="0" w:color="auto"/>
              <w:left w:val="single" w:sz="4" w:space="0" w:color="auto"/>
              <w:bottom w:val="single" w:sz="4" w:space="0" w:color="auto"/>
              <w:right w:val="single" w:sz="4" w:space="0" w:color="auto"/>
            </w:tcBorders>
            <w:shd w:val="clear" w:color="auto" w:fill="auto"/>
          </w:tcPr>
          <w:p w14:paraId="79D374D4" w14:textId="77777777" w:rsidR="00F97F6F" w:rsidRPr="00AB3EE6" w:rsidRDefault="00F97F6F" w:rsidP="001C6852">
            <w:pPr>
              <w:spacing w:after="40"/>
              <w:rPr>
                <w:szCs w:val="22"/>
                <w:lang w:val="en-US"/>
              </w:rPr>
            </w:pPr>
            <w:r>
              <w:rPr>
                <w:szCs w:val="22"/>
                <w:lang w:val="en-US"/>
              </w:rPr>
              <w:t>s191(2)(g)(ii)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035E6F8" w14:textId="77777777" w:rsidR="00F97F6F" w:rsidRPr="00AB3EE6" w:rsidRDefault="00F97F6F" w:rsidP="001C6852">
            <w:pPr>
              <w:spacing w:after="40"/>
              <w:rPr>
                <w:szCs w:val="22"/>
                <w:lang w:val="en-US"/>
              </w:rPr>
            </w:pPr>
            <w:r>
              <w:rPr>
                <w:szCs w:val="22"/>
                <w:lang w:val="en-US"/>
              </w:rPr>
              <w:t>Information the disclosure of which would be contrary to public interest</w:t>
            </w:r>
          </w:p>
        </w:tc>
      </w:tr>
      <w:tr w:rsidR="00F97F6F" w:rsidRPr="00AB3EE6" w14:paraId="7CA0508C" w14:textId="77777777" w:rsidTr="001C6852">
        <w:tc>
          <w:tcPr>
            <w:tcW w:w="1524" w:type="dxa"/>
            <w:tcBorders>
              <w:top w:val="single" w:sz="4" w:space="0" w:color="auto"/>
              <w:left w:val="single" w:sz="4" w:space="0" w:color="auto"/>
              <w:bottom w:val="single" w:sz="4" w:space="0" w:color="auto"/>
              <w:right w:val="single" w:sz="4" w:space="0" w:color="auto"/>
            </w:tcBorders>
            <w:shd w:val="clear" w:color="auto" w:fill="auto"/>
          </w:tcPr>
          <w:p w14:paraId="39E178FE" w14:textId="77777777" w:rsidR="00F97F6F" w:rsidRPr="00AB3EE6" w:rsidRDefault="00F97F6F" w:rsidP="001C6852">
            <w:pPr>
              <w:spacing w:after="40"/>
              <w:rPr>
                <w:szCs w:val="22"/>
                <w:lang w:val="en-US"/>
              </w:rPr>
            </w:pPr>
            <w:r>
              <w:rPr>
                <w:szCs w:val="22"/>
                <w:lang w:val="en-US"/>
              </w:rPr>
              <w:t>s191(2)(g)(iii)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9EB8D81" w14:textId="77777777" w:rsidR="00F97F6F" w:rsidRPr="00AB3EE6" w:rsidRDefault="00F97F6F" w:rsidP="001C6852">
            <w:pPr>
              <w:spacing w:after="40"/>
              <w:rPr>
                <w:szCs w:val="22"/>
                <w:lang w:val="en-US"/>
              </w:rPr>
            </w:pPr>
            <w:r>
              <w:rPr>
                <w:szCs w:val="22"/>
                <w:lang w:val="en-US"/>
              </w:rPr>
              <w:t>Information the disclosure of which is not disclosed for another good reason, having regard to the best interests of a child who is a subject of the proceeding</w:t>
            </w:r>
          </w:p>
        </w:tc>
      </w:tr>
    </w:tbl>
    <w:p w14:paraId="2D3EFE07" w14:textId="6DF11A80" w:rsidR="00F97F6F" w:rsidRDefault="006228F5" w:rsidP="00F97F6F">
      <w:pPr>
        <w:spacing w:before="240"/>
        <w:rPr>
          <w:szCs w:val="22"/>
          <w:lang w:val="en-US"/>
        </w:rPr>
      </w:pPr>
      <w:r>
        <w:rPr>
          <w:szCs w:val="22"/>
          <w:lang w:val="en-US"/>
        </w:rPr>
        <w:t>For the</w:t>
      </w:r>
      <w:r w:rsidR="00F97F6F">
        <w:rPr>
          <w:szCs w:val="22"/>
          <w:lang w:val="en-US"/>
        </w:rPr>
        <w:t xml:space="preserve"> removal of duplicated information, the information will be redacted with the code ‘duplicated information’. Usually, there will be a reference to the page on which the information appears the first time.</w:t>
      </w:r>
    </w:p>
    <w:p w14:paraId="64A40D0F" w14:textId="77777777" w:rsidR="00F97F6F" w:rsidRDefault="00F97F6F" w:rsidP="00F97F6F">
      <w:pPr>
        <w:rPr>
          <w:szCs w:val="22"/>
          <w:lang w:val="en-US"/>
        </w:rPr>
        <w:sectPr w:rsidR="00F97F6F" w:rsidSect="00E708F5">
          <w:headerReference w:type="default" r:id="rId9"/>
          <w:footerReference w:type="default" r:id="rId10"/>
          <w:pgSz w:w="11906" w:h="16838"/>
          <w:pgMar w:top="2268" w:right="1134" w:bottom="1701" w:left="1134" w:header="709" w:footer="1020" w:gutter="0"/>
          <w:cols w:space="709"/>
          <w:docGrid w:linePitch="360"/>
        </w:sectPr>
      </w:pPr>
    </w:p>
    <w:p w14:paraId="0495F356" w14:textId="77777777" w:rsidR="00F97F6F" w:rsidRDefault="00F97F6F" w:rsidP="00F97F6F">
      <w:pPr>
        <w:rPr>
          <w:szCs w:val="22"/>
          <w:lang w:val="en-US"/>
        </w:rPr>
      </w:pPr>
      <w:r>
        <w:rPr>
          <w:szCs w:val="22"/>
          <w:lang w:val="en-US"/>
        </w:rPr>
        <w:t>A code should appear on every page and will refer to all boxes beneath the code until the code changes.</w:t>
      </w:r>
    </w:p>
    <w:p w14:paraId="19FE9DDE" w14:textId="77777777" w:rsidR="00441FB9" w:rsidRDefault="00441FB9" w:rsidP="00F97F6F">
      <w:pPr>
        <w:spacing w:after="60"/>
        <w:rPr>
          <w:b/>
          <w:szCs w:val="22"/>
          <w:lang w:val="en-US"/>
        </w:rPr>
      </w:pPr>
    </w:p>
    <w:p w14:paraId="07A4D987" w14:textId="761FC90D" w:rsidR="00F97F6F" w:rsidRDefault="00F97F6F" w:rsidP="00F97F6F">
      <w:pPr>
        <w:spacing w:after="60"/>
        <w:rPr>
          <w:b/>
          <w:szCs w:val="22"/>
          <w:lang w:val="en-US"/>
        </w:rPr>
      </w:pPr>
      <w:r>
        <w:rPr>
          <w:b/>
          <w:szCs w:val="22"/>
          <w:lang w:val="en-US"/>
        </w:rPr>
        <w:t>Concerns with redaction</w:t>
      </w:r>
    </w:p>
    <w:p w14:paraId="5A39B4C2" w14:textId="77777777" w:rsidR="00F97F6F" w:rsidRDefault="00F97F6F" w:rsidP="00F97F6F">
      <w:pPr>
        <w:spacing w:after="0"/>
        <w:rPr>
          <w:szCs w:val="22"/>
          <w:lang w:val="en-US"/>
        </w:rPr>
      </w:pPr>
      <w:r>
        <w:rPr>
          <w:szCs w:val="22"/>
          <w:lang w:val="en-US"/>
        </w:rPr>
        <w:t>Please contact the subpoena team if you:</w:t>
      </w:r>
    </w:p>
    <w:p w14:paraId="72D85076" w14:textId="77777777" w:rsidR="00F97F6F" w:rsidRDefault="00F97F6F" w:rsidP="00F97F6F">
      <w:pPr>
        <w:numPr>
          <w:ilvl w:val="0"/>
          <w:numId w:val="13"/>
        </w:numPr>
        <w:spacing w:after="0"/>
        <w:ind w:left="284" w:hanging="284"/>
        <w:rPr>
          <w:szCs w:val="22"/>
          <w:lang w:val="en-US"/>
        </w:rPr>
      </w:pPr>
      <w:r>
        <w:rPr>
          <w:szCs w:val="22"/>
          <w:lang w:val="en-US"/>
        </w:rPr>
        <w:t>do not understand the context of the information produced</w:t>
      </w:r>
    </w:p>
    <w:p w14:paraId="6F93C4D6" w14:textId="77777777" w:rsidR="00F97F6F" w:rsidRDefault="00F97F6F" w:rsidP="00F97F6F">
      <w:pPr>
        <w:numPr>
          <w:ilvl w:val="0"/>
          <w:numId w:val="13"/>
        </w:numPr>
        <w:spacing w:after="0"/>
        <w:ind w:left="284" w:hanging="284"/>
        <w:rPr>
          <w:szCs w:val="22"/>
          <w:lang w:val="en-US"/>
        </w:rPr>
      </w:pPr>
      <w:r>
        <w:rPr>
          <w:szCs w:val="22"/>
          <w:lang w:val="en-US"/>
        </w:rPr>
        <w:t xml:space="preserve">consider the information redacted should be before the court in order for it to make an informed </w:t>
      </w:r>
      <w:proofErr w:type="gramStart"/>
      <w:r>
        <w:rPr>
          <w:szCs w:val="22"/>
          <w:lang w:val="en-US"/>
        </w:rPr>
        <w:t>decision</w:t>
      </w:r>
      <w:proofErr w:type="gramEnd"/>
    </w:p>
    <w:p w14:paraId="12F33D42" w14:textId="77777777" w:rsidR="00F97F6F" w:rsidRDefault="00F97F6F" w:rsidP="00F97F6F">
      <w:pPr>
        <w:numPr>
          <w:ilvl w:val="0"/>
          <w:numId w:val="13"/>
        </w:numPr>
        <w:spacing w:after="240"/>
        <w:ind w:left="284" w:hanging="284"/>
        <w:rPr>
          <w:szCs w:val="22"/>
          <w:lang w:val="en-US"/>
        </w:rPr>
      </w:pPr>
      <w:r>
        <w:rPr>
          <w:szCs w:val="22"/>
          <w:lang w:val="en-US"/>
        </w:rPr>
        <w:t>have concerns that too much information has been redacted.</w:t>
      </w:r>
    </w:p>
    <w:p w14:paraId="1881B5AA" w14:textId="77777777" w:rsidR="00F97F6F" w:rsidRPr="006537B5" w:rsidRDefault="00F97F6F" w:rsidP="00F97F6F">
      <w:pPr>
        <w:rPr>
          <w:szCs w:val="22"/>
          <w:lang w:val="en-US"/>
        </w:rPr>
      </w:pPr>
      <w:r>
        <w:rPr>
          <w:szCs w:val="22"/>
          <w:lang w:val="en-US"/>
        </w:rPr>
        <w:t>In these cases, documents can be reviewed by a senior staff member and advice provided.  If review warrants it, or the court orders further production, it is possible for the department to respond quickly by providing additional documents to the court by secure email.</w:t>
      </w:r>
    </w:p>
    <w:p w14:paraId="4323066F" w14:textId="77777777" w:rsidR="00F97F6F" w:rsidRPr="00DE5599" w:rsidRDefault="00F97F6F" w:rsidP="00F97F6F">
      <w:pPr>
        <w:pStyle w:val="Heading3"/>
        <w:spacing w:before="240"/>
        <w:rPr>
          <w:sz w:val="24"/>
          <w:szCs w:val="24"/>
          <w:lang w:val="en-US"/>
        </w:rPr>
      </w:pPr>
      <w:r w:rsidRPr="00DE5599">
        <w:rPr>
          <w:sz w:val="24"/>
          <w:szCs w:val="24"/>
          <w:lang w:val="en-US"/>
        </w:rPr>
        <w:lastRenderedPageBreak/>
        <w:t>Form of production</w:t>
      </w:r>
    </w:p>
    <w:p w14:paraId="31BABBB3" w14:textId="1C935606" w:rsidR="00F97F6F" w:rsidRDefault="00F97F6F" w:rsidP="00F97F6F">
      <w:pPr>
        <w:rPr>
          <w:szCs w:val="22"/>
          <w:lang w:val="en-US"/>
        </w:rPr>
      </w:pPr>
      <w:r w:rsidRPr="00AB5101">
        <w:rPr>
          <w:szCs w:val="22"/>
          <w:lang w:val="en-US"/>
        </w:rPr>
        <w:t>Where a</w:t>
      </w:r>
      <w:r>
        <w:rPr>
          <w:szCs w:val="22"/>
          <w:lang w:val="en-US"/>
        </w:rPr>
        <w:t>ccepted</w:t>
      </w:r>
      <w:r w:rsidRPr="00AB5101">
        <w:rPr>
          <w:szCs w:val="22"/>
          <w:lang w:val="en-US"/>
        </w:rPr>
        <w:t xml:space="preserve"> by the court, documents are produced </w:t>
      </w:r>
      <w:r w:rsidR="006228F5">
        <w:rPr>
          <w:szCs w:val="22"/>
          <w:lang w:val="en-US"/>
        </w:rPr>
        <w:t>electronically</w:t>
      </w:r>
      <w:r>
        <w:rPr>
          <w:szCs w:val="22"/>
          <w:lang w:val="en-US"/>
        </w:rPr>
        <w:t>. I</w:t>
      </w:r>
      <w:r w:rsidRPr="00AB5101">
        <w:rPr>
          <w:szCs w:val="22"/>
          <w:lang w:val="en-US"/>
        </w:rPr>
        <w:t xml:space="preserve">n other cases, </w:t>
      </w:r>
      <w:r w:rsidR="006228F5">
        <w:rPr>
          <w:szCs w:val="22"/>
          <w:lang w:val="en-US"/>
        </w:rPr>
        <w:t>copies are produced on CD.</w:t>
      </w:r>
    </w:p>
    <w:p w14:paraId="63BF80AA" w14:textId="77777777" w:rsidR="00F97F6F" w:rsidRPr="00DE5599" w:rsidRDefault="00F97F6F" w:rsidP="00F97F6F">
      <w:pPr>
        <w:spacing w:before="240" w:after="60"/>
        <w:rPr>
          <w:b/>
          <w:sz w:val="24"/>
          <w:lang w:val="en-US"/>
        </w:rPr>
      </w:pPr>
      <w:r>
        <w:rPr>
          <w:b/>
          <w:sz w:val="24"/>
          <w:lang w:val="en-US"/>
        </w:rPr>
        <w:t>More</w:t>
      </w:r>
      <w:r w:rsidRPr="00DE5599">
        <w:rPr>
          <w:b/>
          <w:sz w:val="24"/>
          <w:lang w:val="en-US"/>
        </w:rPr>
        <w:t xml:space="preserve"> information</w:t>
      </w:r>
    </w:p>
    <w:p w14:paraId="44B7F444" w14:textId="77777777" w:rsidR="00F97F6F" w:rsidRDefault="00F97F6F" w:rsidP="00F97F6F">
      <w:pPr>
        <w:rPr>
          <w:szCs w:val="22"/>
          <w:lang w:val="en-US"/>
        </w:rPr>
      </w:pPr>
      <w:r>
        <w:rPr>
          <w:szCs w:val="22"/>
          <w:lang w:val="en-US"/>
        </w:rPr>
        <w:t>Contact the Subpoena Team for further information or assistance.</w:t>
      </w:r>
    </w:p>
    <w:p w14:paraId="6022ADDE" w14:textId="27FF7B11" w:rsidR="00F97F6F" w:rsidRDefault="00F97F6F" w:rsidP="00F97F6F">
      <w:pPr>
        <w:tabs>
          <w:tab w:val="left" w:pos="1985"/>
        </w:tabs>
        <w:spacing w:after="0"/>
        <w:rPr>
          <w:szCs w:val="22"/>
          <w:lang w:val="en-US"/>
        </w:rPr>
      </w:pPr>
      <w:r>
        <w:rPr>
          <w:szCs w:val="22"/>
          <w:lang w:val="en-US"/>
        </w:rPr>
        <w:t>Postal address:</w:t>
      </w:r>
      <w:r>
        <w:rPr>
          <w:szCs w:val="22"/>
          <w:lang w:val="en-US"/>
        </w:rPr>
        <w:tab/>
      </w:r>
      <w:r w:rsidR="00393CF1">
        <w:rPr>
          <w:szCs w:val="22"/>
          <w:lang w:val="en-US"/>
        </w:rPr>
        <w:t>Department of Child Safety, Seniors and Disability Services</w:t>
      </w:r>
    </w:p>
    <w:p w14:paraId="2D74FD55" w14:textId="77777777" w:rsidR="00F97F6F" w:rsidRDefault="00F97F6F" w:rsidP="00F97F6F">
      <w:pPr>
        <w:tabs>
          <w:tab w:val="left" w:pos="1985"/>
        </w:tabs>
        <w:spacing w:after="0"/>
        <w:rPr>
          <w:szCs w:val="22"/>
          <w:lang w:val="en-US"/>
        </w:rPr>
      </w:pPr>
      <w:r>
        <w:rPr>
          <w:szCs w:val="22"/>
          <w:lang w:val="en-US"/>
        </w:rPr>
        <w:tab/>
        <w:t>Locked Bag 3405</w:t>
      </w:r>
    </w:p>
    <w:p w14:paraId="7C277DFE" w14:textId="77777777" w:rsidR="00F97F6F" w:rsidRDefault="00F97F6F" w:rsidP="00F97F6F">
      <w:pPr>
        <w:tabs>
          <w:tab w:val="left" w:pos="1985"/>
        </w:tabs>
        <w:rPr>
          <w:szCs w:val="22"/>
          <w:lang w:val="en-US"/>
        </w:rPr>
      </w:pPr>
      <w:r>
        <w:rPr>
          <w:szCs w:val="22"/>
          <w:lang w:val="en-US"/>
        </w:rPr>
        <w:tab/>
      </w:r>
      <w:proofErr w:type="gramStart"/>
      <w:r>
        <w:rPr>
          <w:szCs w:val="22"/>
          <w:lang w:val="en-US"/>
        </w:rPr>
        <w:t>BRISBANE  Q</w:t>
      </w:r>
      <w:proofErr w:type="gramEnd"/>
      <w:r>
        <w:rPr>
          <w:szCs w:val="22"/>
          <w:lang w:val="en-US"/>
        </w:rPr>
        <w:t xml:space="preserve">  4001</w:t>
      </w:r>
    </w:p>
    <w:p w14:paraId="12196A7E" w14:textId="77777777" w:rsidR="00F97F6F" w:rsidRDefault="00F97F6F" w:rsidP="00F97F6F">
      <w:pPr>
        <w:tabs>
          <w:tab w:val="left" w:pos="1985"/>
        </w:tabs>
        <w:spacing w:after="0"/>
        <w:rPr>
          <w:szCs w:val="22"/>
          <w:lang w:val="en-US"/>
        </w:rPr>
      </w:pPr>
      <w:r>
        <w:rPr>
          <w:szCs w:val="22"/>
          <w:lang w:val="en-US"/>
        </w:rPr>
        <w:t>Delivery address:</w:t>
      </w:r>
      <w:r>
        <w:rPr>
          <w:szCs w:val="22"/>
          <w:lang w:val="en-US"/>
        </w:rPr>
        <w:tab/>
        <w:t>111 George Street</w:t>
      </w:r>
    </w:p>
    <w:p w14:paraId="741728EE" w14:textId="77777777" w:rsidR="00F97F6F" w:rsidRDefault="00F97F6F" w:rsidP="00F97F6F">
      <w:pPr>
        <w:tabs>
          <w:tab w:val="left" w:pos="1985"/>
        </w:tabs>
        <w:rPr>
          <w:szCs w:val="22"/>
          <w:lang w:val="en-US"/>
        </w:rPr>
      </w:pPr>
      <w:r>
        <w:rPr>
          <w:szCs w:val="22"/>
          <w:lang w:val="en-US"/>
        </w:rPr>
        <w:tab/>
      </w:r>
      <w:proofErr w:type="gramStart"/>
      <w:r>
        <w:rPr>
          <w:szCs w:val="22"/>
          <w:lang w:val="en-US"/>
        </w:rPr>
        <w:t>BRISBANE  Q</w:t>
      </w:r>
      <w:proofErr w:type="gramEnd"/>
      <w:r>
        <w:rPr>
          <w:szCs w:val="22"/>
          <w:lang w:val="en-US"/>
        </w:rPr>
        <w:t xml:space="preserve">  4000</w:t>
      </w:r>
    </w:p>
    <w:p w14:paraId="378A2567" w14:textId="77777777" w:rsidR="00F97F6F" w:rsidRDefault="00F97F6F" w:rsidP="00F97F6F">
      <w:pPr>
        <w:tabs>
          <w:tab w:val="left" w:pos="1985"/>
        </w:tabs>
        <w:rPr>
          <w:szCs w:val="22"/>
          <w:lang w:val="en-US"/>
        </w:rPr>
      </w:pPr>
      <w:r>
        <w:rPr>
          <w:szCs w:val="22"/>
          <w:lang w:val="en-US"/>
        </w:rPr>
        <w:t>Email:</w:t>
      </w:r>
      <w:r>
        <w:rPr>
          <w:szCs w:val="22"/>
          <w:lang w:val="en-US"/>
        </w:rPr>
        <w:tab/>
      </w:r>
      <w:hyperlink r:id="rId11" w:history="1">
        <w:r w:rsidRPr="000F229D">
          <w:rPr>
            <w:rStyle w:val="Hyperlink"/>
            <w:szCs w:val="22"/>
            <w:lang w:val="en-US"/>
          </w:rPr>
          <w:t>subpoena@c</w:t>
        </w:r>
        <w:r>
          <w:rPr>
            <w:rStyle w:val="Hyperlink"/>
            <w:szCs w:val="22"/>
            <w:lang w:val="en-US"/>
          </w:rPr>
          <w:t>yjma</w:t>
        </w:r>
        <w:r w:rsidRPr="000F229D">
          <w:rPr>
            <w:rStyle w:val="Hyperlink"/>
            <w:szCs w:val="22"/>
            <w:lang w:val="en-US"/>
          </w:rPr>
          <w:t>.qld.gov.au</w:t>
        </w:r>
      </w:hyperlink>
    </w:p>
    <w:p w14:paraId="49C9AC78" w14:textId="77777777" w:rsidR="00F97F6F" w:rsidRDefault="00F97F6F" w:rsidP="00F97F6F">
      <w:pPr>
        <w:tabs>
          <w:tab w:val="left" w:pos="1985"/>
        </w:tabs>
        <w:rPr>
          <w:szCs w:val="22"/>
          <w:lang w:val="en-US"/>
        </w:rPr>
      </w:pPr>
      <w:r>
        <w:rPr>
          <w:szCs w:val="22"/>
          <w:lang w:val="en-US"/>
        </w:rPr>
        <w:t>Hotline:</w:t>
      </w:r>
      <w:r>
        <w:rPr>
          <w:szCs w:val="22"/>
          <w:lang w:val="en-US"/>
        </w:rPr>
        <w:tab/>
        <w:t>(07) 3097 5603</w:t>
      </w:r>
    </w:p>
    <w:p w14:paraId="0F937274" w14:textId="1EECFAD7" w:rsidR="00596AA7" w:rsidRDefault="00596AA7" w:rsidP="00F97F6F"/>
    <w:p w14:paraId="045FC17B" w14:textId="2FD06E35" w:rsidR="006228F5" w:rsidRDefault="006228F5" w:rsidP="00F97F6F">
      <w:r>
        <w:t xml:space="preserve">For </w:t>
      </w:r>
      <w:r w:rsidRPr="006228F5">
        <w:rPr>
          <w:b/>
          <w:bCs/>
        </w:rPr>
        <w:t>FAMILY LAW COURT</w:t>
      </w:r>
      <w:r>
        <w:t xml:space="preserve"> matters contact:</w:t>
      </w:r>
    </w:p>
    <w:p w14:paraId="02386E73" w14:textId="1DB3261A" w:rsidR="006228F5" w:rsidRDefault="006228F5" w:rsidP="006228F5">
      <w:pPr>
        <w:rPr>
          <w:szCs w:val="22"/>
          <w:lang w:val="en-US"/>
        </w:rPr>
      </w:pPr>
      <w:r>
        <w:rPr>
          <w:szCs w:val="22"/>
          <w:lang w:val="en-US"/>
        </w:rPr>
        <w:t>Contact the Information Release Team for further information or assistance.</w:t>
      </w:r>
    </w:p>
    <w:p w14:paraId="49F1F5BD" w14:textId="77777777" w:rsidR="006228F5" w:rsidRDefault="006228F5" w:rsidP="006228F5">
      <w:pPr>
        <w:tabs>
          <w:tab w:val="left" w:pos="1985"/>
        </w:tabs>
        <w:spacing w:after="0"/>
        <w:rPr>
          <w:szCs w:val="22"/>
          <w:lang w:val="en-US"/>
        </w:rPr>
      </w:pPr>
      <w:r>
        <w:rPr>
          <w:szCs w:val="22"/>
          <w:lang w:val="en-US"/>
        </w:rPr>
        <w:t>Postal address:</w:t>
      </w:r>
      <w:r>
        <w:rPr>
          <w:szCs w:val="22"/>
          <w:lang w:val="en-US"/>
        </w:rPr>
        <w:tab/>
        <w:t>Department of Child Safety, Seniors and Disability Services</w:t>
      </w:r>
    </w:p>
    <w:p w14:paraId="626D23D6" w14:textId="77777777" w:rsidR="006228F5" w:rsidRDefault="006228F5" w:rsidP="006228F5">
      <w:pPr>
        <w:tabs>
          <w:tab w:val="left" w:pos="1985"/>
        </w:tabs>
        <w:spacing w:after="0"/>
        <w:rPr>
          <w:szCs w:val="22"/>
          <w:lang w:val="en-US"/>
        </w:rPr>
      </w:pPr>
      <w:r>
        <w:rPr>
          <w:szCs w:val="22"/>
          <w:lang w:val="en-US"/>
        </w:rPr>
        <w:tab/>
        <w:t>Locked Bag 3405</w:t>
      </w:r>
    </w:p>
    <w:p w14:paraId="1004A0DC" w14:textId="77777777" w:rsidR="006228F5" w:rsidRDefault="006228F5" w:rsidP="006228F5">
      <w:pPr>
        <w:tabs>
          <w:tab w:val="left" w:pos="1985"/>
        </w:tabs>
        <w:rPr>
          <w:szCs w:val="22"/>
          <w:lang w:val="en-US"/>
        </w:rPr>
      </w:pPr>
      <w:r>
        <w:rPr>
          <w:szCs w:val="22"/>
          <w:lang w:val="en-US"/>
        </w:rPr>
        <w:tab/>
      </w:r>
      <w:proofErr w:type="gramStart"/>
      <w:r>
        <w:rPr>
          <w:szCs w:val="22"/>
          <w:lang w:val="en-US"/>
        </w:rPr>
        <w:t>BRISBANE  Q</w:t>
      </w:r>
      <w:proofErr w:type="gramEnd"/>
      <w:r>
        <w:rPr>
          <w:szCs w:val="22"/>
          <w:lang w:val="en-US"/>
        </w:rPr>
        <w:t xml:space="preserve">  4001</w:t>
      </w:r>
    </w:p>
    <w:p w14:paraId="1C9BE2C7" w14:textId="77777777" w:rsidR="006228F5" w:rsidRDefault="006228F5" w:rsidP="006228F5">
      <w:pPr>
        <w:tabs>
          <w:tab w:val="left" w:pos="1985"/>
        </w:tabs>
        <w:spacing w:after="0"/>
        <w:rPr>
          <w:szCs w:val="22"/>
          <w:lang w:val="en-US"/>
        </w:rPr>
      </w:pPr>
      <w:r>
        <w:rPr>
          <w:szCs w:val="22"/>
          <w:lang w:val="en-US"/>
        </w:rPr>
        <w:t>Delivery address:</w:t>
      </w:r>
      <w:r>
        <w:rPr>
          <w:szCs w:val="22"/>
          <w:lang w:val="en-US"/>
        </w:rPr>
        <w:tab/>
        <w:t>111 George Street</w:t>
      </w:r>
    </w:p>
    <w:p w14:paraId="2357B161" w14:textId="77777777" w:rsidR="006228F5" w:rsidRDefault="006228F5" w:rsidP="006228F5">
      <w:pPr>
        <w:tabs>
          <w:tab w:val="left" w:pos="1985"/>
        </w:tabs>
        <w:rPr>
          <w:szCs w:val="22"/>
          <w:lang w:val="en-US"/>
        </w:rPr>
      </w:pPr>
      <w:r>
        <w:rPr>
          <w:szCs w:val="22"/>
          <w:lang w:val="en-US"/>
        </w:rPr>
        <w:tab/>
      </w:r>
      <w:proofErr w:type="gramStart"/>
      <w:r>
        <w:rPr>
          <w:szCs w:val="22"/>
          <w:lang w:val="en-US"/>
        </w:rPr>
        <w:t>BRISBANE  Q</w:t>
      </w:r>
      <w:proofErr w:type="gramEnd"/>
      <w:r>
        <w:rPr>
          <w:szCs w:val="22"/>
          <w:lang w:val="en-US"/>
        </w:rPr>
        <w:t xml:space="preserve">  4000</w:t>
      </w:r>
    </w:p>
    <w:p w14:paraId="492B684D" w14:textId="5687218B" w:rsidR="006228F5" w:rsidRDefault="006228F5" w:rsidP="006228F5">
      <w:pPr>
        <w:tabs>
          <w:tab w:val="left" w:pos="1985"/>
        </w:tabs>
      </w:pPr>
      <w:r>
        <w:rPr>
          <w:szCs w:val="22"/>
          <w:lang w:val="en-US"/>
        </w:rPr>
        <w:t>Email:</w:t>
      </w:r>
      <w:r>
        <w:rPr>
          <w:szCs w:val="22"/>
          <w:lang w:val="en-US"/>
        </w:rPr>
        <w:tab/>
      </w:r>
      <w:hyperlink r:id="rId12" w:history="1">
        <w:r w:rsidRPr="004C29A1">
          <w:rPr>
            <w:rStyle w:val="Hyperlink"/>
          </w:rPr>
          <w:t>familylawIRT@cyjma.qld.gov.au</w:t>
        </w:r>
      </w:hyperlink>
    </w:p>
    <w:p w14:paraId="0E33A3DC" w14:textId="33780718" w:rsidR="006228F5" w:rsidRDefault="006228F5" w:rsidP="006228F5">
      <w:pPr>
        <w:tabs>
          <w:tab w:val="left" w:pos="1985"/>
        </w:tabs>
        <w:rPr>
          <w:szCs w:val="22"/>
          <w:lang w:val="en-US"/>
        </w:rPr>
      </w:pPr>
      <w:r>
        <w:rPr>
          <w:szCs w:val="22"/>
          <w:lang w:val="en-US"/>
        </w:rPr>
        <w:t>Hotline:</w:t>
      </w:r>
      <w:r>
        <w:rPr>
          <w:szCs w:val="22"/>
          <w:lang w:val="en-US"/>
        </w:rPr>
        <w:tab/>
        <w:t>(07) 3097 5703</w:t>
      </w:r>
    </w:p>
    <w:p w14:paraId="6A20AA76" w14:textId="77777777" w:rsidR="006228F5" w:rsidRPr="00F97F6F" w:rsidRDefault="006228F5" w:rsidP="00F97F6F"/>
    <w:sectPr w:rsidR="006228F5" w:rsidRPr="00F97F6F" w:rsidSect="00030D01">
      <w:headerReference w:type="default" r:id="rId13"/>
      <w:footerReference w:type="default" r:id="rId14"/>
      <w:headerReference w:type="first" r:id="rId15"/>
      <w:footerReference w:type="first" r:id="rId16"/>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07819" w14:textId="77777777" w:rsidR="00EB1DB8" w:rsidRDefault="00EB1DB8">
      <w:r>
        <w:separator/>
      </w:r>
    </w:p>
  </w:endnote>
  <w:endnote w:type="continuationSeparator" w:id="0">
    <w:p w14:paraId="6084476D" w14:textId="77777777" w:rsidR="00EB1DB8" w:rsidRDefault="00EB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2751" w14:textId="77777777" w:rsidR="00F97F6F" w:rsidRDefault="00F97F6F" w:rsidP="00E85589">
    <w:pPr>
      <w:pStyle w:val="Footer"/>
      <w:rPr>
        <w:sz w:val="18"/>
        <w:szCs w:val="18"/>
      </w:rPr>
    </w:pPr>
    <w:r>
      <w:rPr>
        <w:sz w:val="18"/>
        <w:szCs w:val="18"/>
      </w:rPr>
      <w:t>Subpoena – guide for issuing parties</w:t>
    </w:r>
  </w:p>
  <w:p w14:paraId="6BD61BCD" w14:textId="06BC4375" w:rsidR="002B7375" w:rsidRDefault="002B7375" w:rsidP="002B7375">
    <w:pPr>
      <w:rPr>
        <w:sz w:val="18"/>
        <w:szCs w:val="18"/>
      </w:rPr>
    </w:pPr>
    <w:r w:rsidRPr="002B7375">
      <w:rPr>
        <w:sz w:val="18"/>
        <w:szCs w:val="18"/>
      </w:rPr>
      <w:t>RTI, Privacy, Records Management and Redress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E2D3" w14:textId="77777777" w:rsidR="008E5694" w:rsidRDefault="008E5694" w:rsidP="008E5694">
    <w:pPr>
      <w:pStyle w:val="Footer"/>
      <w:rPr>
        <w:sz w:val="18"/>
        <w:szCs w:val="18"/>
      </w:rPr>
    </w:pPr>
    <w:r>
      <w:rPr>
        <w:sz w:val="18"/>
        <w:szCs w:val="18"/>
      </w:rPr>
      <w:t>Subpoena – guide for issuing parties</w:t>
    </w:r>
  </w:p>
  <w:p w14:paraId="2B42A261" w14:textId="77777777" w:rsidR="008E5694" w:rsidRDefault="008E5694" w:rsidP="008E5694">
    <w:pPr>
      <w:rPr>
        <w:sz w:val="18"/>
        <w:szCs w:val="18"/>
      </w:rPr>
    </w:pPr>
    <w:r w:rsidRPr="002B7375">
      <w:rPr>
        <w:sz w:val="18"/>
        <w:szCs w:val="18"/>
      </w:rPr>
      <w:t>RTI, Privacy, Records Management and Redress</w:t>
    </w:r>
  </w:p>
  <w:p w14:paraId="17A1D914" w14:textId="77777777" w:rsidR="00C951E8" w:rsidRDefault="00C951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B19DB" w14:textId="77777777" w:rsidR="00EB1DB8" w:rsidRDefault="00EB1DB8">
      <w:r>
        <w:separator/>
      </w:r>
    </w:p>
  </w:footnote>
  <w:footnote w:type="continuationSeparator" w:id="0">
    <w:p w14:paraId="22B02870" w14:textId="77777777" w:rsidR="00EB1DB8" w:rsidRDefault="00EB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9029" w14:textId="32D915A7" w:rsidR="00F97F6F" w:rsidRDefault="00441FB9">
    <w:pPr>
      <w:pStyle w:val="Header"/>
    </w:pPr>
    <w:r>
      <w:rPr>
        <w:noProof/>
      </w:rPr>
      <w:drawing>
        <wp:anchor distT="0" distB="0" distL="114300" distR="114300" simplePos="0" relativeHeight="251673600" behindDoc="1" locked="0" layoutInCell="1" allowOverlap="1" wp14:anchorId="4D208481" wp14:editId="7A527EEF">
          <wp:simplePos x="0" y="0"/>
          <wp:positionH relativeFrom="page">
            <wp:posOffset>7991</wp:posOffset>
          </wp:positionH>
          <wp:positionV relativeFrom="paragraph">
            <wp:posOffset>-631813</wp:posOffset>
          </wp:positionV>
          <wp:extent cx="7560000" cy="13608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p w14:paraId="5D27096D" w14:textId="77777777" w:rsidR="00C951E8" w:rsidRDefault="00C951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26E3DA3"/>
    <w:multiLevelType w:val="hybridMultilevel"/>
    <w:tmpl w:val="C57A5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CE49B5"/>
    <w:multiLevelType w:val="hybridMultilevel"/>
    <w:tmpl w:val="C55E2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8D29C4"/>
    <w:multiLevelType w:val="hybridMultilevel"/>
    <w:tmpl w:val="FABEE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1F50BD"/>
    <w:multiLevelType w:val="hybridMultilevel"/>
    <w:tmpl w:val="70CEFB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330723893">
    <w:abstractNumId w:val="12"/>
  </w:num>
  <w:num w:numId="12" w16cid:durableId="517281713">
    <w:abstractNumId w:val="13"/>
  </w:num>
  <w:num w:numId="13" w16cid:durableId="318920261">
    <w:abstractNumId w:val="10"/>
  </w:num>
  <w:num w:numId="14" w16cid:durableId="15331061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2E7"/>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375"/>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3CF1"/>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1FB9"/>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6ACA"/>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7C1"/>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28F5"/>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2792"/>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694"/>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338F"/>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1E8"/>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1DB8"/>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B35"/>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97F6F"/>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5026"/>
    <w:pPr>
      <w:tabs>
        <w:tab w:val="center" w:pos="4153"/>
        <w:tab w:val="right" w:pos="8306"/>
      </w:tabs>
      <w:spacing w:after="0"/>
    </w:pPr>
    <w:rPr>
      <w:sz w:val="20"/>
    </w:rPr>
  </w:style>
  <w:style w:type="paragraph" w:styleId="Footer">
    <w:name w:val="footer"/>
    <w:basedOn w:val="Normal"/>
    <w:link w:val="FooterChar"/>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customStyle="1" w:styleId="HeaderChar">
    <w:name w:val="Header Char"/>
    <w:basedOn w:val="DefaultParagraphFont"/>
    <w:link w:val="Header"/>
    <w:rsid w:val="00F97F6F"/>
    <w:rPr>
      <w:rFonts w:ascii="Arial" w:hAnsi="Arial"/>
      <w:szCs w:val="24"/>
      <w:lang w:eastAsia="en-AU"/>
    </w:rPr>
  </w:style>
  <w:style w:type="character" w:customStyle="1" w:styleId="FooterChar">
    <w:name w:val="Footer Char"/>
    <w:basedOn w:val="DefaultParagraphFont"/>
    <w:link w:val="Footer"/>
    <w:rsid w:val="00F97F6F"/>
    <w:rPr>
      <w:rFonts w:ascii="Arial" w:hAnsi="Arial"/>
      <w:szCs w:val="22"/>
      <w:lang w:eastAsia="en-AU"/>
    </w:rPr>
  </w:style>
  <w:style w:type="character" w:styleId="CommentReference">
    <w:name w:val="annotation reference"/>
    <w:basedOn w:val="DefaultParagraphFont"/>
    <w:rsid w:val="001172E7"/>
    <w:rPr>
      <w:sz w:val="16"/>
      <w:szCs w:val="16"/>
    </w:rPr>
  </w:style>
  <w:style w:type="paragraph" w:styleId="CommentText">
    <w:name w:val="annotation text"/>
    <w:basedOn w:val="Normal"/>
    <w:link w:val="CommentTextChar"/>
    <w:rsid w:val="001172E7"/>
    <w:rPr>
      <w:sz w:val="20"/>
      <w:szCs w:val="20"/>
    </w:rPr>
  </w:style>
  <w:style w:type="character" w:customStyle="1" w:styleId="CommentTextChar">
    <w:name w:val="Comment Text Char"/>
    <w:basedOn w:val="DefaultParagraphFont"/>
    <w:link w:val="CommentText"/>
    <w:rsid w:val="001172E7"/>
    <w:rPr>
      <w:rFonts w:ascii="Arial" w:hAnsi="Arial"/>
      <w:lang w:eastAsia="en-AU"/>
    </w:rPr>
  </w:style>
  <w:style w:type="paragraph" w:styleId="CommentSubject">
    <w:name w:val="annotation subject"/>
    <w:basedOn w:val="CommentText"/>
    <w:next w:val="CommentText"/>
    <w:link w:val="CommentSubjectChar"/>
    <w:rsid w:val="001172E7"/>
    <w:rPr>
      <w:b/>
      <w:bCs/>
    </w:rPr>
  </w:style>
  <w:style w:type="character" w:customStyle="1" w:styleId="CommentSubjectChar">
    <w:name w:val="Comment Subject Char"/>
    <w:basedOn w:val="CommentTextChar"/>
    <w:link w:val="CommentSubject"/>
    <w:rsid w:val="001172E7"/>
    <w:rPr>
      <w:rFonts w:ascii="Arial" w:hAnsi="Arial"/>
      <w:b/>
      <w:bCs/>
      <w:lang w:eastAsia="en-AU"/>
    </w:rPr>
  </w:style>
  <w:style w:type="character" w:styleId="UnresolvedMention">
    <w:name w:val="Unresolved Mention"/>
    <w:basedOn w:val="DefaultParagraphFont"/>
    <w:uiPriority w:val="99"/>
    <w:semiHidden/>
    <w:unhideWhenUsed/>
    <w:rsid w:val="00622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040703">
      <w:bodyDiv w:val="1"/>
      <w:marLeft w:val="0"/>
      <w:marRight w:val="0"/>
      <w:marTop w:val="0"/>
      <w:marBottom w:val="0"/>
      <w:divBdr>
        <w:top w:val="none" w:sz="0" w:space="0" w:color="auto"/>
        <w:left w:val="none" w:sz="0" w:space="0" w:color="auto"/>
        <w:bottom w:val="none" w:sz="0" w:space="0" w:color="auto"/>
        <w:right w:val="none" w:sz="0" w:space="0" w:color="auto"/>
      </w:divBdr>
    </w:div>
    <w:div w:id="1279604770">
      <w:bodyDiv w:val="1"/>
      <w:marLeft w:val="0"/>
      <w:marRight w:val="0"/>
      <w:marTop w:val="0"/>
      <w:marBottom w:val="0"/>
      <w:divBdr>
        <w:top w:val="none" w:sz="0" w:space="0" w:color="auto"/>
        <w:left w:val="none" w:sz="0" w:space="0" w:color="auto"/>
        <w:bottom w:val="none" w:sz="0" w:space="0" w:color="auto"/>
        <w:right w:val="none" w:sz="0" w:space="0" w:color="auto"/>
      </w:divBdr>
      <w:divsChild>
        <w:div w:id="1271012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97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839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25375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919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054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910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95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788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8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396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8680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506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71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ailto:subpoena@csyw.qld.gov.au" TargetMode="External" Type="http://schemas.openxmlformats.org/officeDocument/2006/relationships/hyperlink"/>
<Relationship Id="rId12" Target="mailto:familylawIRT@cyjma.qld.gov.au" TargetMode="External" Type="http://schemas.openxmlformats.org/officeDocument/2006/relationships/hyperlink"/>
<Relationship Id="rId13" Target="header2.xml" Type="http://schemas.openxmlformats.org/officeDocument/2006/relationships/header"/>
<Relationship Id="rId14" Target="footer2.xml" Type="http://schemas.openxmlformats.org/officeDocument/2006/relationships/footer"/>
<Relationship Id="rId15" Target="header3.xml" Type="http://schemas.openxmlformats.org/officeDocument/2006/relationships/header"/>
<Relationship Id="rId16" Target="footer3.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auspost.com.au/parcels-mail/standard-delivery-timetables.html" TargetMode="External" Type="http://schemas.openxmlformats.org/officeDocument/2006/relationships/hyperlink"/>
<Relationship Id="rId9" Target="header1.xml" Type="http://schemas.openxmlformats.org/officeDocument/2006/relationships/header"/>
</Relationships>

</file>

<file path=word/_rels/footer3.xml.rels><?xml version="1.0" encoding="UTF-8" standalone="yes"?>
<Relationships xmlns="http://schemas.openxmlformats.org/package/2006/relationships">
<Relationship Id="rId1" Target="media/image3.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2.jpg" Type="http://schemas.openxmlformats.org/officeDocument/2006/relationships/image"/>
</Relationships>

</file>

<file path=word/_rels/header3.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11877</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2024-03-01T01:48:00Z</dcterms:created>
  <dc:creator>Queensland Government</dc:creator>
  <cp:keywords>fact sheet</cp:keywords>
  <cp:lastModifiedBy>Julieanne J Larkin</cp:lastModifiedBy>
  <dcterms:modified xsi:type="dcterms:W3CDTF">2024-03-01T01:48:00Z</dcterms:modified>
  <cp:revision>3</cp:revision>
  <dc:subject>subpoena-guide-for-issuing-parties</dc:subject>
  <dc:title>subpoena-guide-for-issuing-parties</dc:title>
</cp:coreProperties>
</file>