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5A2B6" w14:textId="4C6F7AEC" w:rsidR="001201FB" w:rsidRPr="00FB6919" w:rsidRDefault="001201FB" w:rsidP="00FB6919">
      <w:pPr>
        <w:pStyle w:val="Heading1"/>
      </w:pPr>
      <w:r w:rsidRPr="00FB6919">
        <w:t>Summary of</w:t>
      </w:r>
      <w:r w:rsidR="00BB0F49" w:rsidRPr="00FB6919">
        <w:t xml:space="preserve"> </w:t>
      </w:r>
      <w:r w:rsidR="001E22BF" w:rsidRPr="00FB6919">
        <w:t>Breaking Cycles 2023</w:t>
      </w:r>
      <w:r w:rsidR="00A42FB4" w:rsidRPr="00FB6919">
        <w:t>–</w:t>
      </w:r>
      <w:r w:rsidR="00B62E42" w:rsidRPr="00FB6919">
        <w:t>20</w:t>
      </w:r>
      <w:r w:rsidR="001E22BF" w:rsidRPr="00FB6919">
        <w:t xml:space="preserve">25 </w:t>
      </w:r>
      <w:r w:rsidRPr="00FB6919">
        <w:t>Actions</w:t>
      </w:r>
    </w:p>
    <w:p w14:paraId="5943DB51" w14:textId="78A37281" w:rsidR="00994B4B" w:rsidRPr="00A42FB4" w:rsidRDefault="000630EF" w:rsidP="00A42FB4">
      <w:r w:rsidRPr="00A42FB4">
        <w:t>T</w:t>
      </w:r>
      <w:r w:rsidR="00BB0F49" w:rsidRPr="00A42FB4">
        <w:t>he plan and actions</w:t>
      </w:r>
      <w:r w:rsidRPr="00A42FB4">
        <w:t>:</w:t>
      </w:r>
    </w:p>
    <w:p w14:paraId="07510D56" w14:textId="59A98ED4" w:rsidR="00994B4B" w:rsidRPr="00A42FB4" w:rsidRDefault="6F4E5050" w:rsidP="000A7F4D">
      <w:pPr>
        <w:pStyle w:val="ListBullet"/>
      </w:pPr>
      <w:bookmarkStart w:id="0" w:name="_Hlk129330405"/>
      <w:r w:rsidRPr="00A42FB4">
        <w:t xml:space="preserve">have been built around the below 8 </w:t>
      </w:r>
      <w:r w:rsidR="7AE91114" w:rsidRPr="00A42FB4">
        <w:t>priority</w:t>
      </w:r>
      <w:r w:rsidRPr="00A42FB4">
        <w:t xml:space="preserve"> </w:t>
      </w:r>
      <w:r w:rsidR="21C5BDE8" w:rsidRPr="00A42FB4">
        <w:t>areas of focus</w:t>
      </w:r>
      <w:r w:rsidR="000630EF" w:rsidRPr="00A42FB4">
        <w:t>,</w:t>
      </w:r>
      <w:r w:rsidRPr="00A42FB4">
        <w:t xml:space="preserve"> identified through community and stakeholder consultation and </w:t>
      </w:r>
      <w:r w:rsidR="3D466A38" w:rsidRPr="00A42FB4">
        <w:t>engagements</w:t>
      </w:r>
      <w:bookmarkEnd w:id="0"/>
      <w:r w:rsidR="3CA5E738" w:rsidRPr="00A42FB4">
        <w:t xml:space="preserve">, </w:t>
      </w:r>
    </w:p>
    <w:p w14:paraId="5562635C" w14:textId="1DC0D0E0" w:rsidR="00825060" w:rsidRPr="00A42FB4" w:rsidRDefault="000630EF" w:rsidP="000A7F4D">
      <w:pPr>
        <w:pStyle w:val="ListBullet"/>
      </w:pPr>
      <w:r w:rsidRPr="00A42FB4">
        <w:t xml:space="preserve">are </w:t>
      </w:r>
      <w:r w:rsidR="00994B4B" w:rsidRPr="00A42FB4">
        <w:t>aligned to the Family Matters Building Blocks</w:t>
      </w:r>
      <w:r w:rsidR="259F489B" w:rsidRPr="00A42FB4">
        <w:t>,</w:t>
      </w:r>
      <w:r w:rsidR="00994B4B" w:rsidRPr="00A42FB4">
        <w:t xml:space="preserve"> Closing the Gap Priority Reforms</w:t>
      </w:r>
      <w:r w:rsidR="00825060" w:rsidRPr="00A42FB4">
        <w:t>, and</w:t>
      </w:r>
      <w:r w:rsidR="00AB3D0C" w:rsidRPr="00A42FB4">
        <w:t xml:space="preserve"> Safe and Supported: Aboriginal and Torres Strait Islander First Action Plan</w:t>
      </w:r>
      <w:r w:rsidRPr="00A42FB4">
        <w:t>; and</w:t>
      </w:r>
      <w:r w:rsidR="00AB3D0C" w:rsidRPr="00A42FB4">
        <w:t xml:space="preserve"> </w:t>
      </w:r>
    </w:p>
    <w:p w14:paraId="0A6DCCE3" w14:textId="59905A2E" w:rsidR="00825060" w:rsidRPr="00A42FB4" w:rsidRDefault="00825060" w:rsidP="000A7F4D">
      <w:pPr>
        <w:pStyle w:val="ListBullet"/>
      </w:pPr>
      <w:r w:rsidRPr="00A42FB4">
        <w:t xml:space="preserve">include </w:t>
      </w:r>
      <w:proofErr w:type="gramStart"/>
      <w:r w:rsidRPr="00A42FB4">
        <w:t>a number of</w:t>
      </w:r>
      <w:proofErr w:type="gramEnd"/>
      <w:r w:rsidRPr="00A42FB4">
        <w:t xml:space="preserve"> draft actions </w:t>
      </w:r>
      <w:r w:rsidR="000630EF" w:rsidRPr="00A42FB4">
        <w:t>pending</w:t>
      </w:r>
      <w:r w:rsidRPr="00A42FB4">
        <w:t xml:space="preserve"> 2023-24 Budget outcomes.</w:t>
      </w:r>
    </w:p>
    <w:p w14:paraId="5D04DCE4" w14:textId="77777777" w:rsidR="001201FB" w:rsidRPr="004B4F24" w:rsidRDefault="001201FB" w:rsidP="00A42FB4"/>
    <w:tbl>
      <w:tblPr>
        <w:tblW w:w="9631" w:type="dxa"/>
        <w:tblBorders>
          <w:top w:val="outset" w:sz="6" w:space="0" w:color="auto"/>
          <w:left w:val="outset" w:sz="6" w:space="0" w:color="auto"/>
          <w:bottom w:val="outset" w:sz="6" w:space="0" w:color="auto"/>
          <w:right w:val="outset" w:sz="6" w:space="0" w:color="auto"/>
        </w:tblBorders>
        <w:tblCellMar>
          <w:top w:w="28" w:type="dxa"/>
          <w:left w:w="57" w:type="dxa"/>
          <w:bottom w:w="28" w:type="dxa"/>
          <w:right w:w="57" w:type="dxa"/>
        </w:tblCellMar>
        <w:tblLook w:val="04A0" w:firstRow="1" w:lastRow="0" w:firstColumn="1" w:lastColumn="0" w:noHBand="0" w:noVBand="1"/>
      </w:tblPr>
      <w:tblGrid>
        <w:gridCol w:w="4954"/>
        <w:gridCol w:w="1559"/>
        <w:gridCol w:w="1559"/>
        <w:gridCol w:w="1559"/>
      </w:tblGrid>
      <w:tr w:rsidR="003B666F" w:rsidRPr="00A42FB4" w14:paraId="105795E8" w14:textId="77777777" w:rsidTr="009542BA">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FBCCA5" w:themeFill="background2" w:themeFillTint="66"/>
            <w:vAlign w:val="center"/>
            <w:hideMark/>
          </w:tcPr>
          <w:p w14:paraId="1339B95D" w14:textId="316CBD91" w:rsidR="003B666F" w:rsidRPr="00A42FB4" w:rsidRDefault="003B666F" w:rsidP="00A42FB4">
            <w:pPr>
              <w:pStyle w:val="TableHeadingLeft"/>
            </w:pPr>
            <w:r w:rsidRPr="00A42FB4">
              <w:t>Priority Area </w:t>
            </w:r>
          </w:p>
        </w:tc>
        <w:tc>
          <w:tcPr>
            <w:tcW w:w="1559" w:type="dxa"/>
            <w:tcBorders>
              <w:top w:val="single" w:sz="6" w:space="0" w:color="auto"/>
              <w:left w:val="single" w:sz="6" w:space="0" w:color="auto"/>
              <w:bottom w:val="single" w:sz="6" w:space="0" w:color="auto"/>
              <w:right w:val="single" w:sz="6" w:space="0" w:color="auto"/>
            </w:tcBorders>
            <w:shd w:val="clear" w:color="auto" w:fill="FBCCA5" w:themeFill="background2" w:themeFillTint="66"/>
            <w:vAlign w:val="center"/>
            <w:hideMark/>
          </w:tcPr>
          <w:p w14:paraId="2888F33D" w14:textId="77777777" w:rsidR="003B666F" w:rsidRPr="00A42FB4" w:rsidRDefault="003B666F" w:rsidP="00A42FB4">
            <w:pPr>
              <w:pStyle w:val="TableHeadingLeft"/>
            </w:pPr>
            <w:r w:rsidRPr="00A42FB4">
              <w:t>Family Matters Building Blocks </w:t>
            </w:r>
          </w:p>
        </w:tc>
        <w:tc>
          <w:tcPr>
            <w:tcW w:w="1559" w:type="dxa"/>
            <w:tcBorders>
              <w:top w:val="single" w:sz="6" w:space="0" w:color="auto"/>
              <w:left w:val="single" w:sz="6" w:space="0" w:color="auto"/>
              <w:bottom w:val="single" w:sz="6" w:space="0" w:color="auto"/>
              <w:right w:val="single" w:sz="6" w:space="0" w:color="auto"/>
            </w:tcBorders>
            <w:shd w:val="clear" w:color="auto" w:fill="FBCCA5" w:themeFill="background2" w:themeFillTint="66"/>
            <w:vAlign w:val="center"/>
            <w:hideMark/>
          </w:tcPr>
          <w:p w14:paraId="28E82575" w14:textId="3277B848" w:rsidR="003B666F" w:rsidRPr="00A42FB4" w:rsidRDefault="003B666F" w:rsidP="00A42FB4">
            <w:pPr>
              <w:pStyle w:val="TableHeadingLeft"/>
            </w:pPr>
            <w:r w:rsidRPr="00A42FB4">
              <w:t xml:space="preserve">Closing the Gap </w:t>
            </w:r>
            <w:r w:rsidR="000A52B0">
              <w:t>p</w:t>
            </w:r>
            <w:r w:rsidRPr="00A42FB4">
              <w:t xml:space="preserve">riority </w:t>
            </w:r>
            <w:r w:rsidR="000A52B0">
              <w:t>r</w:t>
            </w:r>
            <w:r w:rsidRPr="00A42FB4">
              <w:t>eforms </w:t>
            </w:r>
          </w:p>
        </w:tc>
        <w:tc>
          <w:tcPr>
            <w:tcW w:w="1559" w:type="dxa"/>
            <w:tcBorders>
              <w:top w:val="single" w:sz="6" w:space="0" w:color="auto"/>
              <w:left w:val="single" w:sz="6" w:space="0" w:color="auto"/>
              <w:bottom w:val="single" w:sz="6" w:space="0" w:color="auto"/>
              <w:right w:val="single" w:sz="6" w:space="0" w:color="auto"/>
            </w:tcBorders>
            <w:shd w:val="clear" w:color="auto" w:fill="FBCCA5" w:themeFill="background2" w:themeFillTint="66"/>
            <w:hideMark/>
          </w:tcPr>
          <w:p w14:paraId="6CF1B91E" w14:textId="088AF0FD" w:rsidR="003B666F" w:rsidRPr="00A42FB4" w:rsidRDefault="003B666F" w:rsidP="00A42FB4">
            <w:pPr>
              <w:pStyle w:val="TableHeadingLeft"/>
            </w:pPr>
            <w:r w:rsidRPr="00A42FB4">
              <w:t xml:space="preserve">Safe </w:t>
            </w:r>
            <w:r w:rsidR="00336E1C" w:rsidRPr="00A42FB4">
              <w:t>and</w:t>
            </w:r>
            <w:r w:rsidRPr="00A42FB4">
              <w:t xml:space="preserve"> Supported: </w:t>
            </w:r>
            <w:r w:rsidR="00847C08" w:rsidRPr="00A42FB4">
              <w:t xml:space="preserve">Aboriginal and Torres Strait Islander </w:t>
            </w:r>
            <w:r w:rsidR="000A52B0">
              <w:t>f</w:t>
            </w:r>
            <w:r w:rsidRPr="00A42FB4">
              <w:t xml:space="preserve">irst </w:t>
            </w:r>
            <w:r w:rsidR="000A52B0">
              <w:t>a</w:t>
            </w:r>
            <w:r w:rsidRPr="00A42FB4">
              <w:t xml:space="preserve">ction </w:t>
            </w:r>
            <w:r w:rsidR="000A52B0">
              <w:t>p</w:t>
            </w:r>
            <w:r w:rsidRPr="00A42FB4">
              <w:t>lan </w:t>
            </w:r>
          </w:p>
        </w:tc>
      </w:tr>
      <w:tr w:rsidR="003B666F" w:rsidRPr="00A42FB4" w14:paraId="718175C7" w14:textId="77777777" w:rsidTr="009542BA">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0B1EAF3D" w14:textId="167B03B2" w:rsidR="003B666F" w:rsidRPr="00A42FB4" w:rsidRDefault="003B666F" w:rsidP="000A7F4D">
            <w:pPr>
              <w:pStyle w:val="TableTextLeft"/>
              <w:numPr>
                <w:ilvl w:val="0"/>
                <w:numId w:val="5"/>
              </w:numPr>
            </w:pPr>
            <w:r w:rsidRPr="00A42FB4">
              <w:t>Transformative Systems Change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335755A" w14:textId="77777777" w:rsidR="003B666F" w:rsidRPr="00A42FB4" w:rsidRDefault="003B666F" w:rsidP="00F73909">
            <w:pPr>
              <w:pStyle w:val="TableTextLeft"/>
            </w:pPr>
            <w:r w:rsidRPr="00A42FB4">
              <w:t>1, 2, 3, 4 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24E3CE65" w14:textId="77777777" w:rsidR="003B666F" w:rsidRPr="00A42FB4" w:rsidRDefault="003B666F" w:rsidP="00F73909">
            <w:pPr>
              <w:pStyle w:val="TableTextLeft"/>
            </w:pPr>
            <w:r w:rsidRPr="00A42FB4">
              <w:t>1, 3 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5271C438" w14:textId="3889004E" w:rsidR="003B666F" w:rsidRPr="00A42FB4" w:rsidRDefault="003B666F" w:rsidP="00F73909">
            <w:pPr>
              <w:pStyle w:val="TableTextLeft"/>
            </w:pPr>
            <w:r w:rsidRPr="00A42FB4">
              <w:t>2 </w:t>
            </w:r>
          </w:p>
        </w:tc>
      </w:tr>
      <w:tr w:rsidR="003B666F" w:rsidRPr="00A42FB4" w14:paraId="26C45A6F" w14:textId="77777777" w:rsidTr="009542BA">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0E90408B" w14:textId="53F9813D" w:rsidR="003B666F" w:rsidRPr="00A42FB4" w:rsidRDefault="003B666F" w:rsidP="000A7F4D">
            <w:pPr>
              <w:pStyle w:val="TableTextLeft"/>
              <w:numPr>
                <w:ilvl w:val="0"/>
                <w:numId w:val="5"/>
              </w:numPr>
            </w:pPr>
            <w:r w:rsidRPr="00A42FB4">
              <w:t>Investment in the</w:t>
            </w:r>
            <w:r w:rsidR="007C030C">
              <w:t xml:space="preserve"> Aboriginal and Torres Strait Islander</w:t>
            </w:r>
            <w:r w:rsidRPr="00A42FB4">
              <w:t xml:space="preserve"> Community-Controlled Sector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4F08C1AD" w14:textId="77777777" w:rsidR="003B666F" w:rsidRPr="00A42FB4" w:rsidRDefault="003B666F" w:rsidP="00F73909">
            <w:pPr>
              <w:pStyle w:val="TableTextLeft"/>
            </w:pPr>
            <w:r w:rsidRPr="00A42FB4">
              <w:t>1, 4 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DFAF7FF" w14:textId="77777777" w:rsidR="003B666F" w:rsidRPr="00A42FB4" w:rsidRDefault="003B666F" w:rsidP="00F73909">
            <w:pPr>
              <w:pStyle w:val="TableTextLeft"/>
            </w:pPr>
            <w:r w:rsidRPr="00A42FB4">
              <w:t>2, 3 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4008A590" w14:textId="1CA69914" w:rsidR="003B666F" w:rsidRPr="00A42FB4" w:rsidRDefault="003B666F" w:rsidP="00F73909">
            <w:pPr>
              <w:pStyle w:val="TableTextLeft"/>
            </w:pPr>
            <w:r w:rsidRPr="00A42FB4">
              <w:t xml:space="preserve"> 2 </w:t>
            </w:r>
          </w:p>
        </w:tc>
      </w:tr>
      <w:tr w:rsidR="003B666F" w:rsidRPr="00A42FB4" w14:paraId="39603901" w14:textId="77777777" w:rsidTr="009542BA">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55CE14FD" w14:textId="77777777" w:rsidR="003B666F" w:rsidRPr="00A42FB4" w:rsidRDefault="003B666F" w:rsidP="000A7F4D">
            <w:pPr>
              <w:pStyle w:val="TableTextLeft"/>
              <w:numPr>
                <w:ilvl w:val="0"/>
                <w:numId w:val="5"/>
              </w:numPr>
            </w:pPr>
            <w:r w:rsidRPr="00A42FB4">
              <w:t>Delegated Authority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5E07FE62" w14:textId="77777777" w:rsidR="003B666F" w:rsidRPr="00A42FB4" w:rsidRDefault="003B666F" w:rsidP="00F73909">
            <w:pPr>
              <w:pStyle w:val="TableTextLeft"/>
            </w:pPr>
            <w:r w:rsidRPr="00A42FB4">
              <w:t>2, 3 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3B6D296" w14:textId="77777777" w:rsidR="003B666F" w:rsidRPr="00A42FB4" w:rsidRDefault="003B666F" w:rsidP="00F73909">
            <w:pPr>
              <w:pStyle w:val="TableTextLeft"/>
            </w:pPr>
            <w:r w:rsidRPr="00A42FB4">
              <w:t>1, 2 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47B9AE4A" w14:textId="3E4B583A" w:rsidR="003B666F" w:rsidRPr="00A42FB4" w:rsidRDefault="003B666F" w:rsidP="00F73909">
            <w:pPr>
              <w:pStyle w:val="TableTextLeft"/>
            </w:pPr>
            <w:r w:rsidRPr="00A42FB4">
              <w:t>1 </w:t>
            </w:r>
          </w:p>
        </w:tc>
      </w:tr>
      <w:tr w:rsidR="003B666F" w:rsidRPr="00A42FB4" w14:paraId="64056F72" w14:textId="77777777" w:rsidTr="009542BA">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3B77B953" w14:textId="77777777" w:rsidR="003B666F" w:rsidRPr="00A42FB4" w:rsidRDefault="003B666F" w:rsidP="000A7F4D">
            <w:pPr>
              <w:pStyle w:val="TableTextLeft"/>
              <w:numPr>
                <w:ilvl w:val="0"/>
                <w:numId w:val="5"/>
              </w:numPr>
            </w:pPr>
            <w:r w:rsidRPr="00A42FB4">
              <w:t>Prevention and Early Intervention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B0D7672" w14:textId="77777777" w:rsidR="003B666F" w:rsidRPr="00A42FB4" w:rsidRDefault="003B666F" w:rsidP="00F73909">
            <w:pPr>
              <w:pStyle w:val="TableTextLeft"/>
            </w:pPr>
            <w:r w:rsidRPr="00A42FB4">
              <w:t>1, 2 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4E85F6B0" w14:textId="77777777" w:rsidR="003B666F" w:rsidRPr="00A42FB4" w:rsidRDefault="003B666F" w:rsidP="00F73909">
            <w:pPr>
              <w:pStyle w:val="TableTextLeft"/>
            </w:pPr>
            <w:r w:rsidRPr="00A42FB4">
              <w:t>2 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0455A0C6" w14:textId="6B84793E" w:rsidR="003B666F" w:rsidRPr="00A42FB4" w:rsidRDefault="003B666F" w:rsidP="00F73909">
            <w:pPr>
              <w:pStyle w:val="TableTextLeft"/>
            </w:pPr>
            <w:r w:rsidRPr="00A42FB4">
              <w:t xml:space="preserve">2, </w:t>
            </w:r>
            <w:r w:rsidR="00500255" w:rsidRPr="00A42FB4">
              <w:t>5</w:t>
            </w:r>
            <w:r w:rsidRPr="00A42FB4">
              <w:t> </w:t>
            </w:r>
          </w:p>
        </w:tc>
      </w:tr>
      <w:tr w:rsidR="003B666F" w:rsidRPr="00A42FB4" w14:paraId="439D9D37" w14:textId="77777777" w:rsidTr="009542BA">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3F914600" w14:textId="77777777" w:rsidR="003B666F" w:rsidRPr="00A42FB4" w:rsidRDefault="003B666F" w:rsidP="000A7F4D">
            <w:pPr>
              <w:pStyle w:val="TableTextLeft"/>
              <w:numPr>
                <w:ilvl w:val="0"/>
                <w:numId w:val="5"/>
              </w:numPr>
            </w:pPr>
            <w:r w:rsidRPr="00A42FB4">
              <w:t>Family Participation and Control of Decision Making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433742D2" w14:textId="77777777" w:rsidR="003B666F" w:rsidRPr="00A42FB4" w:rsidRDefault="003B666F" w:rsidP="00F73909">
            <w:pPr>
              <w:pStyle w:val="TableTextLeft"/>
            </w:pPr>
            <w:r w:rsidRPr="00A42FB4">
              <w:t>2, 3 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A0B3D71" w14:textId="77777777" w:rsidR="003B666F" w:rsidRPr="00A42FB4" w:rsidRDefault="003B666F" w:rsidP="00F73909">
            <w:pPr>
              <w:pStyle w:val="TableTextLeft"/>
            </w:pPr>
            <w:r w:rsidRPr="00A42FB4">
              <w:t>1, 2 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5C40F902" w14:textId="542C2700" w:rsidR="003B666F" w:rsidRPr="00A42FB4" w:rsidRDefault="00500255" w:rsidP="00F73909">
            <w:pPr>
              <w:pStyle w:val="TableTextLeft"/>
            </w:pPr>
            <w:r w:rsidRPr="00A42FB4">
              <w:t xml:space="preserve">2, </w:t>
            </w:r>
            <w:r w:rsidR="003B666F" w:rsidRPr="00A42FB4">
              <w:t>5 </w:t>
            </w:r>
          </w:p>
        </w:tc>
      </w:tr>
      <w:tr w:rsidR="003B666F" w:rsidRPr="00A42FB4" w14:paraId="7ADB362E" w14:textId="77777777" w:rsidTr="009542BA">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10A51881" w14:textId="77777777" w:rsidR="003B666F" w:rsidRPr="00A42FB4" w:rsidRDefault="003B666F" w:rsidP="000A7F4D">
            <w:pPr>
              <w:pStyle w:val="TableTextLeft"/>
              <w:numPr>
                <w:ilvl w:val="0"/>
                <w:numId w:val="5"/>
              </w:numPr>
            </w:pPr>
            <w:r w:rsidRPr="00A42FB4">
              <w:t>Aboriginal and Torres Strait Islander Workforce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28A9D851" w14:textId="77777777" w:rsidR="003B666F" w:rsidRPr="00A42FB4" w:rsidRDefault="003B666F" w:rsidP="00F73909">
            <w:pPr>
              <w:pStyle w:val="TableTextLeft"/>
            </w:pPr>
            <w:r w:rsidRPr="00A42FB4">
              <w:t>1 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6DC71E5" w14:textId="77777777" w:rsidR="003B666F" w:rsidRPr="00A42FB4" w:rsidRDefault="003B666F" w:rsidP="00F73909">
            <w:pPr>
              <w:pStyle w:val="TableTextLeft"/>
            </w:pPr>
            <w:r w:rsidRPr="00A42FB4">
              <w:t>2 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220A2932" w14:textId="77777777" w:rsidR="003B666F" w:rsidRPr="00A42FB4" w:rsidRDefault="003B666F" w:rsidP="00F73909">
            <w:pPr>
              <w:pStyle w:val="TableTextLeft"/>
            </w:pPr>
            <w:r w:rsidRPr="00A42FB4">
              <w:t>4 </w:t>
            </w:r>
          </w:p>
        </w:tc>
      </w:tr>
      <w:tr w:rsidR="003B666F" w:rsidRPr="00A42FB4" w14:paraId="19C67264" w14:textId="77777777" w:rsidTr="009542BA">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46BA8CCE" w14:textId="77777777" w:rsidR="003B666F" w:rsidRPr="00A42FB4" w:rsidRDefault="003B666F" w:rsidP="000A7F4D">
            <w:pPr>
              <w:pStyle w:val="TableTextLeft"/>
              <w:numPr>
                <w:ilvl w:val="0"/>
                <w:numId w:val="5"/>
              </w:numPr>
            </w:pPr>
            <w:r w:rsidRPr="00A42FB4">
              <w:t>Cross-Government Commitment to Address Over-Representation and Improve Wellbeing Outcomes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DB88BAE" w14:textId="77777777" w:rsidR="003B666F" w:rsidRPr="00A42FB4" w:rsidRDefault="003B666F" w:rsidP="00F73909">
            <w:pPr>
              <w:pStyle w:val="TableTextLeft"/>
            </w:pPr>
            <w:r w:rsidRPr="00A42FB4">
              <w:t>1, 3 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2BD3920A" w14:textId="77777777" w:rsidR="003B666F" w:rsidRPr="00A42FB4" w:rsidRDefault="003B666F" w:rsidP="00F73909">
            <w:pPr>
              <w:pStyle w:val="TableTextLeft"/>
            </w:pPr>
            <w:r w:rsidRPr="00A42FB4">
              <w:t>3 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E965EF9" w14:textId="3CE0FEFF" w:rsidR="003B666F" w:rsidRPr="00A42FB4" w:rsidRDefault="00500255" w:rsidP="00F73909">
            <w:pPr>
              <w:pStyle w:val="TableTextLeft"/>
            </w:pPr>
            <w:r w:rsidRPr="00A42FB4">
              <w:t>8</w:t>
            </w:r>
            <w:r w:rsidR="003B666F" w:rsidRPr="00A42FB4">
              <w:t> </w:t>
            </w:r>
          </w:p>
        </w:tc>
      </w:tr>
      <w:tr w:rsidR="003B666F" w:rsidRPr="00A42FB4" w14:paraId="54238850" w14:textId="77777777" w:rsidTr="009542BA">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6D1F2A96" w14:textId="77777777" w:rsidR="003B666F" w:rsidRPr="00A42FB4" w:rsidRDefault="003B666F" w:rsidP="000A7F4D">
            <w:pPr>
              <w:pStyle w:val="TableTextLeft"/>
              <w:numPr>
                <w:ilvl w:val="0"/>
                <w:numId w:val="5"/>
              </w:numPr>
            </w:pPr>
            <w:r w:rsidRPr="00A42FB4">
              <w:t>Voice, Accountability and Oversight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5FB1A88A" w14:textId="77777777" w:rsidR="003B666F" w:rsidRPr="00A42FB4" w:rsidRDefault="003B666F" w:rsidP="00F73909">
            <w:pPr>
              <w:pStyle w:val="TableTextLeft"/>
            </w:pPr>
            <w:r w:rsidRPr="00A42FB4">
              <w:t>2, 4 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D9B8D46" w14:textId="77777777" w:rsidR="003B666F" w:rsidRPr="00A42FB4" w:rsidRDefault="003B666F" w:rsidP="00F73909">
            <w:pPr>
              <w:pStyle w:val="TableTextLeft"/>
            </w:pPr>
            <w:r w:rsidRPr="00A42FB4">
              <w:t>1, 2, 4 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38799CA" w14:textId="1EA347DE" w:rsidR="003B666F" w:rsidRPr="00A42FB4" w:rsidRDefault="00500255" w:rsidP="00F73909">
            <w:pPr>
              <w:pStyle w:val="TableTextLeft"/>
            </w:pPr>
            <w:r w:rsidRPr="00A42FB4">
              <w:t xml:space="preserve">3, </w:t>
            </w:r>
            <w:r w:rsidR="003B666F" w:rsidRPr="00A42FB4">
              <w:t>7 </w:t>
            </w:r>
          </w:p>
        </w:tc>
      </w:tr>
    </w:tbl>
    <w:p w14:paraId="6843BEB2" w14:textId="1389510C" w:rsidR="00A55EED" w:rsidRDefault="00A55EED" w:rsidP="00A42FB4"/>
    <w:p w14:paraId="15F6F801" w14:textId="77777777" w:rsidR="00A55EED" w:rsidRDefault="00A55EED">
      <w:pPr>
        <w:spacing w:after="0" w:line="240" w:lineRule="auto"/>
      </w:pPr>
      <w:r>
        <w:br w:type="page"/>
      </w:r>
    </w:p>
    <w:tbl>
      <w:tblPr>
        <w:tblW w:w="9631" w:type="dxa"/>
        <w:tblBorders>
          <w:top w:val="outset" w:sz="6" w:space="0" w:color="auto"/>
          <w:left w:val="outset" w:sz="6" w:space="0" w:color="auto"/>
          <w:bottom w:val="outset" w:sz="6" w:space="0" w:color="auto"/>
          <w:right w:val="outset" w:sz="6" w:space="0" w:color="auto"/>
        </w:tblBorders>
        <w:tblCellMar>
          <w:top w:w="28" w:type="dxa"/>
          <w:left w:w="57" w:type="dxa"/>
          <w:bottom w:w="28" w:type="dxa"/>
          <w:right w:w="57" w:type="dxa"/>
        </w:tblCellMar>
        <w:tblLook w:val="04A0" w:firstRow="1" w:lastRow="0" w:firstColumn="1" w:lastColumn="0" w:noHBand="0" w:noVBand="1"/>
      </w:tblPr>
      <w:tblGrid>
        <w:gridCol w:w="4815"/>
        <w:gridCol w:w="4816"/>
      </w:tblGrid>
      <w:tr w:rsidR="003B666F" w:rsidRPr="003B666F" w14:paraId="26B2EC7E" w14:textId="77777777" w:rsidTr="00F73909">
        <w:trPr>
          <w:trHeight w:val="454"/>
        </w:trPr>
        <w:tc>
          <w:tcPr>
            <w:tcW w:w="4815" w:type="dxa"/>
            <w:tcBorders>
              <w:top w:val="single" w:sz="6" w:space="0" w:color="auto"/>
              <w:left w:val="single" w:sz="6" w:space="0" w:color="auto"/>
              <w:bottom w:val="single" w:sz="6" w:space="0" w:color="auto"/>
              <w:right w:val="single" w:sz="6" w:space="0" w:color="auto"/>
            </w:tcBorders>
            <w:shd w:val="clear" w:color="auto" w:fill="FBCCA5" w:themeFill="background2" w:themeFillTint="66"/>
            <w:vAlign w:val="center"/>
            <w:hideMark/>
          </w:tcPr>
          <w:p w14:paraId="09F7B1F9" w14:textId="77777777" w:rsidR="003B666F" w:rsidRPr="003B666F" w:rsidRDefault="003B666F" w:rsidP="00A42FB4">
            <w:pPr>
              <w:pStyle w:val="TableHeadingLeft"/>
              <w:rPr>
                <w:rFonts w:ascii="Times New Roman" w:hAnsi="Times New Roman"/>
                <w:lang w:eastAsia="en-AU"/>
              </w:rPr>
            </w:pPr>
            <w:r w:rsidRPr="003B666F">
              <w:rPr>
                <w:lang w:eastAsia="en-AU"/>
              </w:rPr>
              <w:lastRenderedPageBreak/>
              <w:t>Family Matters Building Blocks </w:t>
            </w:r>
          </w:p>
        </w:tc>
        <w:tc>
          <w:tcPr>
            <w:tcW w:w="4816" w:type="dxa"/>
            <w:tcBorders>
              <w:top w:val="single" w:sz="6" w:space="0" w:color="auto"/>
              <w:left w:val="nil"/>
              <w:bottom w:val="single" w:sz="6" w:space="0" w:color="auto"/>
              <w:right w:val="single" w:sz="6" w:space="0" w:color="auto"/>
            </w:tcBorders>
            <w:shd w:val="clear" w:color="auto" w:fill="FBCCA5" w:themeFill="background2" w:themeFillTint="66"/>
            <w:vAlign w:val="center"/>
            <w:hideMark/>
          </w:tcPr>
          <w:p w14:paraId="7E7341DE" w14:textId="562D567E" w:rsidR="003B666F" w:rsidRPr="003B666F" w:rsidRDefault="003B666F" w:rsidP="00A42FB4">
            <w:pPr>
              <w:pStyle w:val="TableHeadingLeft"/>
              <w:rPr>
                <w:rFonts w:ascii="Times New Roman" w:hAnsi="Times New Roman"/>
                <w:lang w:eastAsia="en-AU"/>
              </w:rPr>
            </w:pPr>
            <w:r w:rsidRPr="003B666F">
              <w:rPr>
                <w:lang w:eastAsia="en-AU"/>
              </w:rPr>
              <w:t xml:space="preserve">Closing the Gap </w:t>
            </w:r>
            <w:r w:rsidR="000A52B0">
              <w:rPr>
                <w:lang w:eastAsia="en-AU"/>
              </w:rPr>
              <w:t>p</w:t>
            </w:r>
            <w:r w:rsidRPr="003B666F">
              <w:rPr>
                <w:lang w:eastAsia="en-AU"/>
              </w:rPr>
              <w:t xml:space="preserve">riority </w:t>
            </w:r>
            <w:r w:rsidR="000A52B0">
              <w:rPr>
                <w:lang w:eastAsia="en-AU"/>
              </w:rPr>
              <w:t>r</w:t>
            </w:r>
            <w:r w:rsidRPr="003B666F">
              <w:rPr>
                <w:lang w:eastAsia="en-AU"/>
              </w:rPr>
              <w:t>eforms </w:t>
            </w:r>
          </w:p>
        </w:tc>
      </w:tr>
      <w:tr w:rsidR="003B666F" w:rsidRPr="003B666F" w14:paraId="7966DB8A" w14:textId="77777777" w:rsidTr="00F73909">
        <w:trPr>
          <w:trHeight w:val="76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9276794" w14:textId="70BC580D" w:rsidR="003B666F" w:rsidRPr="001367C4" w:rsidRDefault="001367C4" w:rsidP="001367C4">
            <w:pPr>
              <w:pStyle w:val="TableTextLeft"/>
              <w:rPr>
                <w:rFonts w:ascii="Times New Roman" w:hAnsi="Times New Roman"/>
                <w:lang w:eastAsia="en-AU"/>
              </w:rPr>
            </w:pPr>
            <w:bookmarkStart w:id="1" w:name="_Hlk146634236"/>
            <w:r>
              <w:rPr>
                <w:noProof/>
              </w:rPr>
              <w:drawing>
                <wp:inline distT="0" distB="0" distL="0" distR="0" wp14:anchorId="3214F3A4" wp14:editId="414AE0C7">
                  <wp:extent cx="339271" cy="323850"/>
                  <wp:effectExtent l="0" t="0" r="3810" b="0"/>
                  <wp:docPr id="5" name="Picture 5" descr="A pink circle with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06674" name="Picture 5" descr="A pink circle with white lines&#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3940" cy="328307"/>
                          </a:xfrm>
                          <a:prstGeom prst="rect">
                            <a:avLst/>
                          </a:prstGeom>
                        </pic:spPr>
                      </pic:pic>
                    </a:graphicData>
                  </a:graphic>
                </wp:inline>
              </w:drawing>
            </w:r>
            <w:r w:rsidR="003B666F" w:rsidRPr="001367C4">
              <w:rPr>
                <w:lang w:eastAsia="en-AU"/>
              </w:rPr>
              <w:t>All families enjoy access to quality, culturally safe universal and targeted services necessary for Aboriginal and Torres Strait Islander children to thrive  </w:t>
            </w:r>
          </w:p>
        </w:tc>
        <w:tc>
          <w:tcPr>
            <w:tcW w:w="4816" w:type="dxa"/>
            <w:tcBorders>
              <w:top w:val="single" w:sz="6" w:space="0" w:color="auto"/>
              <w:left w:val="nil"/>
              <w:bottom w:val="single" w:sz="6" w:space="0" w:color="auto"/>
              <w:right w:val="single" w:sz="6" w:space="0" w:color="auto"/>
            </w:tcBorders>
            <w:shd w:val="clear" w:color="auto" w:fill="auto"/>
            <w:hideMark/>
          </w:tcPr>
          <w:p w14:paraId="37BD6F62" w14:textId="7AC48F00" w:rsidR="003B666F" w:rsidRPr="00A42FB4" w:rsidRDefault="003B666F" w:rsidP="000A7F4D">
            <w:pPr>
              <w:pStyle w:val="TableTextLeft"/>
              <w:numPr>
                <w:ilvl w:val="0"/>
                <w:numId w:val="3"/>
              </w:numPr>
              <w:ind w:left="281" w:hanging="281"/>
              <w:rPr>
                <w:rFonts w:ascii="Times New Roman" w:hAnsi="Times New Roman"/>
                <w:lang w:eastAsia="en-AU"/>
              </w:rPr>
            </w:pPr>
            <w:r w:rsidRPr="00A42FB4">
              <w:rPr>
                <w:lang w:eastAsia="en-AU"/>
              </w:rPr>
              <w:t>Formal Partnerships and Shared Decision Making </w:t>
            </w:r>
          </w:p>
        </w:tc>
      </w:tr>
      <w:tr w:rsidR="003B666F" w:rsidRPr="003B666F" w14:paraId="66FCCF30" w14:textId="77777777" w:rsidTr="00F73909">
        <w:trPr>
          <w:trHeight w:val="70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A012E45" w14:textId="556DCF73" w:rsidR="003B666F" w:rsidRPr="001367C4" w:rsidRDefault="001367C4" w:rsidP="001367C4">
            <w:pPr>
              <w:pStyle w:val="TableTextLeft"/>
              <w:rPr>
                <w:rFonts w:ascii="Times New Roman" w:hAnsi="Times New Roman"/>
                <w:lang w:eastAsia="en-AU"/>
              </w:rPr>
            </w:pPr>
            <w:r>
              <w:rPr>
                <w:noProof/>
              </w:rPr>
              <w:drawing>
                <wp:inline distT="0" distB="0" distL="0" distR="0" wp14:anchorId="3E855A81" wp14:editId="7C77B4E7">
                  <wp:extent cx="340408" cy="333375"/>
                  <wp:effectExtent l="0" t="0" r="2540" b="0"/>
                  <wp:docPr id="1" name="Picture 1" descr="A blue and white 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057787" name="Picture 2" descr="A blue and white circl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5371" cy="338235"/>
                          </a:xfrm>
                          <a:prstGeom prst="rect">
                            <a:avLst/>
                          </a:prstGeom>
                        </pic:spPr>
                      </pic:pic>
                    </a:graphicData>
                  </a:graphic>
                </wp:inline>
              </w:drawing>
            </w:r>
            <w:r w:rsidR="003B666F" w:rsidRPr="001367C4">
              <w:rPr>
                <w:lang w:eastAsia="en-AU"/>
              </w:rPr>
              <w:t>Aboriginal and Torres Strait Islander peoples and organisations participate in and have control over decisions that affect their children  </w:t>
            </w:r>
          </w:p>
        </w:tc>
        <w:tc>
          <w:tcPr>
            <w:tcW w:w="4816" w:type="dxa"/>
            <w:tcBorders>
              <w:top w:val="single" w:sz="6" w:space="0" w:color="auto"/>
              <w:left w:val="nil"/>
              <w:bottom w:val="single" w:sz="6" w:space="0" w:color="auto"/>
              <w:right w:val="single" w:sz="6" w:space="0" w:color="auto"/>
            </w:tcBorders>
            <w:shd w:val="clear" w:color="auto" w:fill="auto"/>
            <w:hideMark/>
          </w:tcPr>
          <w:p w14:paraId="1A591810" w14:textId="47C61293" w:rsidR="003B666F" w:rsidRPr="00A42FB4" w:rsidRDefault="003B666F" w:rsidP="000A7F4D">
            <w:pPr>
              <w:pStyle w:val="TableTextLeft"/>
              <w:numPr>
                <w:ilvl w:val="0"/>
                <w:numId w:val="3"/>
              </w:numPr>
              <w:ind w:left="281" w:hanging="281"/>
              <w:rPr>
                <w:lang w:eastAsia="en-AU"/>
              </w:rPr>
            </w:pPr>
            <w:r w:rsidRPr="00A42FB4">
              <w:rPr>
                <w:lang w:eastAsia="en-AU"/>
              </w:rPr>
              <w:t>Build</w:t>
            </w:r>
            <w:r w:rsidR="00493AC4" w:rsidRPr="00A42FB4">
              <w:rPr>
                <w:lang w:eastAsia="en-AU"/>
              </w:rPr>
              <w:t>ing</w:t>
            </w:r>
            <w:r w:rsidRPr="00A42FB4">
              <w:rPr>
                <w:lang w:eastAsia="en-AU"/>
              </w:rPr>
              <w:t xml:space="preserve"> the Community-Controlled Sector </w:t>
            </w:r>
          </w:p>
        </w:tc>
      </w:tr>
      <w:tr w:rsidR="003B666F" w:rsidRPr="003B666F" w14:paraId="78445C5D" w14:textId="77777777" w:rsidTr="00F73909">
        <w:trPr>
          <w:trHeight w:val="52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BA5592E" w14:textId="048ACC6F" w:rsidR="003B666F" w:rsidRPr="001367C4" w:rsidRDefault="001367C4" w:rsidP="001367C4">
            <w:pPr>
              <w:pStyle w:val="TableTextLeft"/>
              <w:rPr>
                <w:rFonts w:ascii="Times New Roman" w:hAnsi="Times New Roman"/>
                <w:lang w:eastAsia="en-AU"/>
              </w:rPr>
            </w:pPr>
            <w:r>
              <w:rPr>
                <w:noProof/>
              </w:rPr>
              <w:drawing>
                <wp:inline distT="0" distB="0" distL="0" distR="0" wp14:anchorId="2E16F097" wp14:editId="39A862C8">
                  <wp:extent cx="336149" cy="323850"/>
                  <wp:effectExtent l="0" t="0" r="6985" b="0"/>
                  <wp:docPr id="4" name="Picture 4" descr="A picture containing circle, graphics,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21952" name="Picture 3" descr="A picture containing circle, graphics, colorfulnes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9404" cy="336620"/>
                          </a:xfrm>
                          <a:prstGeom prst="rect">
                            <a:avLst/>
                          </a:prstGeom>
                        </pic:spPr>
                      </pic:pic>
                    </a:graphicData>
                  </a:graphic>
                </wp:inline>
              </w:drawing>
            </w:r>
            <w:r w:rsidR="003B666F" w:rsidRPr="001367C4">
              <w:rPr>
                <w:lang w:eastAsia="en-AU"/>
              </w:rPr>
              <w:t>Law, policy and practice in child and family welfare are culturally safe and responsive  </w:t>
            </w:r>
          </w:p>
        </w:tc>
        <w:tc>
          <w:tcPr>
            <w:tcW w:w="4816" w:type="dxa"/>
            <w:tcBorders>
              <w:top w:val="single" w:sz="6" w:space="0" w:color="auto"/>
              <w:left w:val="nil"/>
              <w:bottom w:val="single" w:sz="6" w:space="0" w:color="auto"/>
              <w:right w:val="single" w:sz="6" w:space="0" w:color="auto"/>
            </w:tcBorders>
            <w:shd w:val="clear" w:color="auto" w:fill="auto"/>
            <w:hideMark/>
          </w:tcPr>
          <w:p w14:paraId="615AED09" w14:textId="3798AFA9" w:rsidR="003B666F" w:rsidRPr="00A42FB4" w:rsidRDefault="003B666F" w:rsidP="000A7F4D">
            <w:pPr>
              <w:pStyle w:val="TableTextLeft"/>
              <w:numPr>
                <w:ilvl w:val="0"/>
                <w:numId w:val="3"/>
              </w:numPr>
              <w:ind w:left="281" w:hanging="281"/>
              <w:rPr>
                <w:lang w:eastAsia="en-AU"/>
              </w:rPr>
            </w:pPr>
            <w:r w:rsidRPr="00A42FB4">
              <w:rPr>
                <w:lang w:eastAsia="en-AU"/>
              </w:rPr>
              <w:t>Transforming Government Organisations </w:t>
            </w:r>
          </w:p>
        </w:tc>
      </w:tr>
      <w:tr w:rsidR="003B666F" w:rsidRPr="003B666F" w14:paraId="61BF7417" w14:textId="77777777" w:rsidTr="00F73909">
        <w:trPr>
          <w:trHeight w:val="54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19863C7" w14:textId="5BD16C67" w:rsidR="003B666F" w:rsidRPr="001367C4" w:rsidRDefault="001367C4" w:rsidP="001367C4">
            <w:pPr>
              <w:pStyle w:val="TableTextLeft"/>
              <w:rPr>
                <w:rFonts w:ascii="Times New Roman" w:hAnsi="Times New Roman"/>
                <w:lang w:eastAsia="en-AU"/>
              </w:rPr>
            </w:pPr>
            <w:r>
              <w:rPr>
                <w:noProof/>
              </w:rPr>
              <w:drawing>
                <wp:inline distT="0" distB="0" distL="0" distR="0" wp14:anchorId="3EAF5346" wp14:editId="6524F23C">
                  <wp:extent cx="365640" cy="352425"/>
                  <wp:effectExtent l="0" t="0" r="0" b="0"/>
                  <wp:docPr id="6" name="Picture 6" descr="A green circle with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555423" name="Picture 6" descr="A green circle with white lines&#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5106" cy="361549"/>
                          </a:xfrm>
                          <a:prstGeom prst="rect">
                            <a:avLst/>
                          </a:prstGeom>
                        </pic:spPr>
                      </pic:pic>
                    </a:graphicData>
                  </a:graphic>
                </wp:inline>
              </w:drawing>
            </w:r>
            <w:r w:rsidR="003B666F" w:rsidRPr="001367C4">
              <w:rPr>
                <w:lang w:eastAsia="en-AU"/>
              </w:rPr>
              <w:t>Government</w:t>
            </w:r>
            <w:r w:rsidR="00F0327B" w:rsidRPr="001367C4">
              <w:rPr>
                <w:lang w:eastAsia="en-AU"/>
              </w:rPr>
              <w:t>s</w:t>
            </w:r>
            <w:r w:rsidR="003B666F" w:rsidRPr="001367C4">
              <w:rPr>
                <w:lang w:eastAsia="en-AU"/>
              </w:rPr>
              <w:t xml:space="preserve"> and services are accountable to Aboriginal and Torres Strait Islander peoples </w:t>
            </w:r>
          </w:p>
        </w:tc>
        <w:tc>
          <w:tcPr>
            <w:tcW w:w="4816" w:type="dxa"/>
            <w:tcBorders>
              <w:top w:val="single" w:sz="6" w:space="0" w:color="auto"/>
              <w:left w:val="nil"/>
              <w:bottom w:val="single" w:sz="6" w:space="0" w:color="auto"/>
              <w:right w:val="single" w:sz="6" w:space="0" w:color="auto"/>
            </w:tcBorders>
            <w:shd w:val="clear" w:color="auto" w:fill="auto"/>
            <w:hideMark/>
          </w:tcPr>
          <w:p w14:paraId="7E38BD34" w14:textId="61BB4254" w:rsidR="003B666F" w:rsidRPr="00A42FB4" w:rsidRDefault="003B666F" w:rsidP="000A7F4D">
            <w:pPr>
              <w:pStyle w:val="TableTextLeft"/>
              <w:numPr>
                <w:ilvl w:val="0"/>
                <w:numId w:val="3"/>
              </w:numPr>
              <w:ind w:left="281" w:hanging="281"/>
              <w:rPr>
                <w:lang w:eastAsia="en-AU"/>
              </w:rPr>
            </w:pPr>
            <w:r w:rsidRPr="00A42FB4">
              <w:rPr>
                <w:lang w:eastAsia="en-AU"/>
              </w:rPr>
              <w:t>Shared Access to D</w:t>
            </w:r>
            <w:r w:rsidR="00F72A63">
              <w:rPr>
                <w:lang w:eastAsia="en-AU"/>
              </w:rPr>
              <w:t>ata</w:t>
            </w:r>
            <w:r w:rsidRPr="00A42FB4">
              <w:rPr>
                <w:lang w:eastAsia="en-AU"/>
              </w:rPr>
              <w:t xml:space="preserve"> and Information at a Regional Level </w:t>
            </w:r>
          </w:p>
        </w:tc>
      </w:tr>
      <w:bookmarkEnd w:id="1"/>
      <w:tr w:rsidR="003B666F" w:rsidRPr="003B666F" w14:paraId="03C74B98" w14:textId="77777777" w:rsidTr="009542BA">
        <w:trPr>
          <w:trHeight w:val="585"/>
        </w:trPr>
        <w:tc>
          <w:tcPr>
            <w:tcW w:w="9631" w:type="dxa"/>
            <w:gridSpan w:val="2"/>
            <w:tcBorders>
              <w:top w:val="single" w:sz="6" w:space="0" w:color="auto"/>
              <w:left w:val="single" w:sz="6" w:space="0" w:color="auto"/>
              <w:bottom w:val="single" w:sz="6" w:space="0" w:color="auto"/>
              <w:right w:val="single" w:sz="6" w:space="0" w:color="auto"/>
            </w:tcBorders>
            <w:shd w:val="clear" w:color="auto" w:fill="FBCCA5" w:themeFill="background2" w:themeFillTint="66"/>
            <w:vAlign w:val="center"/>
            <w:hideMark/>
          </w:tcPr>
          <w:p w14:paraId="08D58E78" w14:textId="5D0868E4" w:rsidR="003B666F" w:rsidRPr="003B666F" w:rsidRDefault="003B666F" w:rsidP="00A42FB4">
            <w:pPr>
              <w:pStyle w:val="TableHeadingLeft"/>
              <w:rPr>
                <w:rFonts w:ascii="Times New Roman" w:hAnsi="Times New Roman"/>
                <w:lang w:eastAsia="en-AU"/>
              </w:rPr>
            </w:pPr>
            <w:r w:rsidRPr="003B666F">
              <w:rPr>
                <w:lang w:eastAsia="en-AU"/>
              </w:rPr>
              <w:t xml:space="preserve">Safe </w:t>
            </w:r>
            <w:r w:rsidR="000A52B0">
              <w:rPr>
                <w:lang w:eastAsia="en-AU"/>
              </w:rPr>
              <w:t>and</w:t>
            </w:r>
            <w:r w:rsidRPr="003B666F">
              <w:rPr>
                <w:lang w:eastAsia="en-AU"/>
              </w:rPr>
              <w:t xml:space="preserve"> Supported Aboriginal and Torres Strait Islander </w:t>
            </w:r>
            <w:r w:rsidR="000B7470">
              <w:rPr>
                <w:lang w:eastAsia="en-AU"/>
              </w:rPr>
              <w:t>F</w:t>
            </w:r>
            <w:r w:rsidRPr="003B666F">
              <w:rPr>
                <w:lang w:eastAsia="en-AU"/>
              </w:rPr>
              <w:t xml:space="preserve">irst </w:t>
            </w:r>
            <w:r w:rsidR="000B7470">
              <w:rPr>
                <w:lang w:eastAsia="en-AU"/>
              </w:rPr>
              <w:t>A</w:t>
            </w:r>
            <w:r w:rsidRPr="003B666F">
              <w:rPr>
                <w:lang w:eastAsia="en-AU"/>
              </w:rPr>
              <w:t xml:space="preserve">ction </w:t>
            </w:r>
            <w:r w:rsidR="000B7470">
              <w:rPr>
                <w:lang w:eastAsia="en-AU"/>
              </w:rPr>
              <w:t>P</w:t>
            </w:r>
            <w:r w:rsidRPr="003B666F">
              <w:rPr>
                <w:lang w:eastAsia="en-AU"/>
              </w:rPr>
              <w:t>lan  </w:t>
            </w:r>
          </w:p>
        </w:tc>
      </w:tr>
      <w:tr w:rsidR="00500255" w:rsidRPr="00F27EF3" w14:paraId="1219737C" w14:textId="77777777" w:rsidTr="009542BA">
        <w:trPr>
          <w:trHeight w:val="340"/>
        </w:trPr>
        <w:tc>
          <w:tcPr>
            <w:tcW w:w="963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19451F8" w14:textId="1F9888C8" w:rsidR="00500255" w:rsidRPr="00D37997" w:rsidRDefault="00500255" w:rsidP="000A7F4D">
            <w:pPr>
              <w:pStyle w:val="TableTextLeft"/>
              <w:numPr>
                <w:ilvl w:val="0"/>
                <w:numId w:val="4"/>
              </w:numPr>
              <w:rPr>
                <w:lang w:eastAsia="en-AU"/>
              </w:rPr>
            </w:pPr>
            <w:r w:rsidRPr="00D37997">
              <w:rPr>
                <w:lang w:eastAsia="en-AU"/>
              </w:rPr>
              <w:t xml:space="preserve">Delegated Authority </w:t>
            </w:r>
          </w:p>
        </w:tc>
      </w:tr>
      <w:tr w:rsidR="00500255" w:rsidRPr="00F27EF3" w14:paraId="7BCCE697" w14:textId="77777777" w:rsidTr="009542BA">
        <w:trPr>
          <w:trHeight w:val="340"/>
        </w:trPr>
        <w:tc>
          <w:tcPr>
            <w:tcW w:w="963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7A40E7F" w14:textId="4978907F" w:rsidR="00500255" w:rsidRPr="00D37997" w:rsidRDefault="2D68433B" w:rsidP="000A7F4D">
            <w:pPr>
              <w:pStyle w:val="TableTextLeft"/>
              <w:numPr>
                <w:ilvl w:val="0"/>
                <w:numId w:val="4"/>
              </w:numPr>
              <w:ind w:left="281" w:hanging="281"/>
              <w:rPr>
                <w:lang w:eastAsia="en-AU"/>
              </w:rPr>
            </w:pPr>
            <w:r w:rsidRPr="2B2AC87B">
              <w:rPr>
                <w:lang w:eastAsia="en-AU"/>
              </w:rPr>
              <w:t>Investing in the</w:t>
            </w:r>
            <w:r w:rsidR="00F72A63">
              <w:rPr>
                <w:lang w:eastAsia="en-AU"/>
              </w:rPr>
              <w:t xml:space="preserve"> Aboriginal and Torres Strait Islander</w:t>
            </w:r>
            <w:r w:rsidRPr="2B2AC87B">
              <w:rPr>
                <w:lang w:eastAsia="en-AU"/>
              </w:rPr>
              <w:t xml:space="preserve"> Community Controlled Sector </w:t>
            </w:r>
          </w:p>
        </w:tc>
      </w:tr>
      <w:tr w:rsidR="00500255" w:rsidRPr="00F27EF3" w14:paraId="00D47443" w14:textId="77777777" w:rsidTr="009542BA">
        <w:trPr>
          <w:trHeight w:val="340"/>
        </w:trPr>
        <w:tc>
          <w:tcPr>
            <w:tcW w:w="963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28CDBAE" w14:textId="12CE7228" w:rsidR="00500255" w:rsidRPr="00D37997" w:rsidRDefault="2D68433B" w:rsidP="000A7F4D">
            <w:pPr>
              <w:pStyle w:val="TableTextLeft"/>
              <w:numPr>
                <w:ilvl w:val="0"/>
                <w:numId w:val="4"/>
              </w:numPr>
              <w:ind w:left="281" w:hanging="281"/>
              <w:rPr>
                <w:lang w:eastAsia="en-AU"/>
              </w:rPr>
            </w:pPr>
            <w:r w:rsidRPr="2B2AC87B">
              <w:rPr>
                <w:lang w:eastAsia="en-AU"/>
              </w:rPr>
              <w:t>Data Sovereignty </w:t>
            </w:r>
          </w:p>
        </w:tc>
      </w:tr>
      <w:tr w:rsidR="00500255" w:rsidRPr="00F27EF3" w14:paraId="5EF44661" w14:textId="77777777" w:rsidTr="009542BA">
        <w:trPr>
          <w:trHeight w:val="340"/>
        </w:trPr>
        <w:tc>
          <w:tcPr>
            <w:tcW w:w="963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E578774" w14:textId="7774156D" w:rsidR="00500255" w:rsidRPr="00D37997" w:rsidRDefault="2D68433B" w:rsidP="000A7F4D">
            <w:pPr>
              <w:pStyle w:val="TableTextLeft"/>
              <w:numPr>
                <w:ilvl w:val="0"/>
                <w:numId w:val="4"/>
              </w:numPr>
              <w:ind w:left="281" w:hanging="281"/>
              <w:rPr>
                <w:lang w:eastAsia="en-AU"/>
              </w:rPr>
            </w:pPr>
            <w:r w:rsidRPr="2B2AC87B">
              <w:rPr>
                <w:lang w:eastAsia="en-AU"/>
              </w:rPr>
              <w:t>Aboriginal and Torres Strait Islander Workforce </w:t>
            </w:r>
          </w:p>
        </w:tc>
      </w:tr>
      <w:tr w:rsidR="00500255" w:rsidRPr="00F27EF3" w14:paraId="32E534E2" w14:textId="77777777" w:rsidTr="009542BA">
        <w:trPr>
          <w:trHeight w:val="340"/>
        </w:trPr>
        <w:tc>
          <w:tcPr>
            <w:tcW w:w="963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61947D3" w14:textId="36D20E9A" w:rsidR="00500255" w:rsidRPr="00D37997" w:rsidRDefault="2D68433B" w:rsidP="000A7F4D">
            <w:pPr>
              <w:pStyle w:val="TableTextLeft"/>
              <w:numPr>
                <w:ilvl w:val="0"/>
                <w:numId w:val="4"/>
              </w:numPr>
              <w:ind w:left="281" w:hanging="281"/>
              <w:rPr>
                <w:lang w:eastAsia="en-AU"/>
              </w:rPr>
            </w:pPr>
            <w:r w:rsidRPr="2B2AC87B">
              <w:rPr>
                <w:lang w:eastAsia="en-AU"/>
              </w:rPr>
              <w:t>Active Efforts </w:t>
            </w:r>
          </w:p>
        </w:tc>
      </w:tr>
      <w:tr w:rsidR="00500255" w:rsidRPr="00F27EF3" w14:paraId="771AE585" w14:textId="77777777" w:rsidTr="009542BA">
        <w:trPr>
          <w:trHeight w:val="340"/>
        </w:trPr>
        <w:tc>
          <w:tcPr>
            <w:tcW w:w="963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009E81F" w14:textId="38FF6DD3" w:rsidR="00500255" w:rsidRPr="0040528F" w:rsidRDefault="2D68433B" w:rsidP="000A7F4D">
            <w:pPr>
              <w:pStyle w:val="TableTextLeft"/>
              <w:numPr>
                <w:ilvl w:val="0"/>
                <w:numId w:val="4"/>
              </w:numPr>
              <w:ind w:left="281" w:hanging="281"/>
              <w:rPr>
                <w:lang w:eastAsia="en-AU"/>
              </w:rPr>
            </w:pPr>
            <w:r w:rsidRPr="2B2AC87B">
              <w:rPr>
                <w:lang w:eastAsia="en-AU"/>
              </w:rPr>
              <w:t>Legal Supports </w:t>
            </w:r>
          </w:p>
        </w:tc>
      </w:tr>
      <w:tr w:rsidR="00500255" w:rsidRPr="00F27EF3" w14:paraId="22B4A16F" w14:textId="77777777" w:rsidTr="009542BA">
        <w:trPr>
          <w:trHeight w:val="340"/>
        </w:trPr>
        <w:tc>
          <w:tcPr>
            <w:tcW w:w="963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0EB01E6" w14:textId="22B6E170" w:rsidR="00500255" w:rsidRPr="00D37997" w:rsidRDefault="2D68433B" w:rsidP="000A7F4D">
            <w:pPr>
              <w:pStyle w:val="TableTextLeft"/>
              <w:numPr>
                <w:ilvl w:val="0"/>
                <w:numId w:val="4"/>
              </w:numPr>
              <w:ind w:left="281" w:hanging="281"/>
              <w:rPr>
                <w:lang w:eastAsia="en-AU"/>
              </w:rPr>
            </w:pPr>
            <w:r w:rsidRPr="2B2AC87B">
              <w:rPr>
                <w:lang w:eastAsia="en-AU"/>
              </w:rPr>
              <w:t>Advocating for Accountability and Oversight </w:t>
            </w:r>
          </w:p>
        </w:tc>
      </w:tr>
      <w:tr w:rsidR="00500255" w:rsidRPr="00F27EF3" w14:paraId="6AA0587E" w14:textId="77777777" w:rsidTr="009542BA">
        <w:trPr>
          <w:trHeight w:val="340"/>
        </w:trPr>
        <w:tc>
          <w:tcPr>
            <w:tcW w:w="963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B377C18" w14:textId="548CBB45" w:rsidR="00500255" w:rsidRPr="00D37997" w:rsidRDefault="2D68433B" w:rsidP="000A7F4D">
            <w:pPr>
              <w:pStyle w:val="TableTextLeft"/>
              <w:numPr>
                <w:ilvl w:val="0"/>
                <w:numId w:val="4"/>
              </w:numPr>
              <w:ind w:left="281" w:hanging="281"/>
              <w:rPr>
                <w:lang w:eastAsia="en-AU"/>
              </w:rPr>
            </w:pPr>
            <w:r w:rsidRPr="2B2AC87B">
              <w:rPr>
                <w:lang w:eastAsia="en-AU"/>
              </w:rPr>
              <w:t>Social Determinants of Child Safety and Wellbeing </w:t>
            </w:r>
          </w:p>
        </w:tc>
      </w:tr>
    </w:tbl>
    <w:p w14:paraId="1E1A96E4" w14:textId="77777777" w:rsidR="00E317AF" w:rsidRDefault="00E317AF" w:rsidP="00A42FB4"/>
    <w:p w14:paraId="7461BDED" w14:textId="77777777" w:rsidR="00A47FB7" w:rsidRDefault="00A47FB7" w:rsidP="00A42FB4"/>
    <w:p w14:paraId="03DCB2E3" w14:textId="77777777" w:rsidR="00A47FB7" w:rsidRDefault="00A47FB7">
      <w:pPr>
        <w:spacing w:after="0" w:line="240" w:lineRule="auto"/>
        <w:rPr>
          <w:rFonts w:eastAsiaTheme="majorEastAsia" w:cstheme="majorBidi"/>
          <w:b/>
          <w:color w:val="F58220" w:themeColor="background2"/>
          <w:sz w:val="44"/>
          <w:szCs w:val="32"/>
        </w:rPr>
      </w:pPr>
      <w:bookmarkStart w:id="2" w:name="_Toc81030565"/>
      <w:bookmarkStart w:id="3" w:name="_Toc1821381151"/>
      <w:bookmarkStart w:id="4" w:name="_Toc136006674"/>
      <w:r>
        <w:br w:type="page"/>
      </w:r>
    </w:p>
    <w:p w14:paraId="64C010E6" w14:textId="6139DCE9" w:rsidR="00A47FB7" w:rsidRPr="00BB7544" w:rsidRDefault="00A47FB7" w:rsidP="00FB6919">
      <w:pPr>
        <w:pStyle w:val="Heading1"/>
      </w:pPr>
      <w:r w:rsidRPr="00BB7544">
        <w:lastRenderedPageBreak/>
        <w:t>Acronyms</w:t>
      </w:r>
      <w:bookmarkEnd w:id="2"/>
      <w:bookmarkEnd w:id="3"/>
      <w:bookmarkEnd w:id="4"/>
    </w:p>
    <w:tbl>
      <w:tblPr>
        <w:tblStyle w:val="TableGrid"/>
        <w:tblW w:w="0" w:type="auto"/>
        <w:tblBorders>
          <w:top w:val="dashed" w:sz="4" w:space="0" w:color="000000" w:themeColor="text1"/>
          <w:left w:val="dashed" w:sz="4" w:space="0" w:color="000000" w:themeColor="text1"/>
          <w:bottom w:val="dashed" w:sz="4" w:space="0" w:color="000000" w:themeColor="text1"/>
          <w:right w:val="dashed" w:sz="4" w:space="0" w:color="000000" w:themeColor="text1"/>
          <w:insideH w:val="dashed" w:sz="4" w:space="0" w:color="000000" w:themeColor="text1"/>
          <w:insideV w:val="dashed" w:sz="4" w:space="0" w:color="000000" w:themeColor="text1"/>
        </w:tblBorders>
        <w:tblLook w:val="04A0" w:firstRow="1" w:lastRow="0" w:firstColumn="1" w:lastColumn="0" w:noHBand="0" w:noVBand="1"/>
      </w:tblPr>
      <w:tblGrid>
        <w:gridCol w:w="1838"/>
        <w:gridCol w:w="7790"/>
      </w:tblGrid>
      <w:tr w:rsidR="00A47FB7" w:rsidRPr="00A47FB7" w14:paraId="01CE8942" w14:textId="77777777" w:rsidTr="00B2787D">
        <w:trPr>
          <w:trHeight w:val="328"/>
        </w:trPr>
        <w:tc>
          <w:tcPr>
            <w:tcW w:w="1838" w:type="dxa"/>
            <w:shd w:val="clear" w:color="auto" w:fill="FBCCA5" w:themeFill="background2" w:themeFillTint="66"/>
            <w:vAlign w:val="center"/>
          </w:tcPr>
          <w:p w14:paraId="375545A9" w14:textId="77777777" w:rsidR="00A47FB7" w:rsidRPr="00A47FB7" w:rsidRDefault="00A47FB7" w:rsidP="00D96BA2">
            <w:pPr>
              <w:rPr>
                <w:rFonts w:cs="Arial"/>
                <w:b/>
                <w:bCs/>
                <w:sz w:val="20"/>
                <w:szCs w:val="20"/>
              </w:rPr>
            </w:pPr>
            <w:r w:rsidRPr="00A47FB7">
              <w:rPr>
                <w:rFonts w:cs="Arial"/>
                <w:b/>
                <w:bCs/>
                <w:sz w:val="20"/>
                <w:szCs w:val="20"/>
              </w:rPr>
              <w:t>Abbreviation</w:t>
            </w:r>
          </w:p>
        </w:tc>
        <w:tc>
          <w:tcPr>
            <w:tcW w:w="7790" w:type="dxa"/>
            <w:shd w:val="clear" w:color="auto" w:fill="FBCCA5" w:themeFill="background2" w:themeFillTint="66"/>
            <w:vAlign w:val="center"/>
          </w:tcPr>
          <w:p w14:paraId="5D5E32C5" w14:textId="77777777" w:rsidR="00A47FB7" w:rsidRPr="00A47FB7" w:rsidRDefault="00A47FB7" w:rsidP="00D96BA2">
            <w:pPr>
              <w:rPr>
                <w:rFonts w:cs="Arial"/>
                <w:b/>
                <w:bCs/>
                <w:sz w:val="20"/>
                <w:szCs w:val="20"/>
              </w:rPr>
            </w:pPr>
            <w:r w:rsidRPr="00A47FB7">
              <w:rPr>
                <w:rFonts w:cs="Arial"/>
                <w:b/>
                <w:bCs/>
                <w:sz w:val="20"/>
                <w:szCs w:val="20"/>
              </w:rPr>
              <w:t>Title</w:t>
            </w:r>
          </w:p>
        </w:tc>
      </w:tr>
      <w:tr w:rsidR="00A47FB7" w:rsidRPr="00A47FB7" w14:paraId="54AEA13A" w14:textId="77777777" w:rsidTr="00D96BA2">
        <w:trPr>
          <w:trHeight w:val="340"/>
        </w:trPr>
        <w:tc>
          <w:tcPr>
            <w:tcW w:w="1838" w:type="dxa"/>
            <w:vAlign w:val="center"/>
          </w:tcPr>
          <w:p w14:paraId="6B746CB6" w14:textId="77777777" w:rsidR="00A47FB7" w:rsidRPr="00A47FB7" w:rsidRDefault="00A47FB7" w:rsidP="00D96BA2">
            <w:pPr>
              <w:rPr>
                <w:rFonts w:cs="Arial"/>
                <w:sz w:val="20"/>
                <w:szCs w:val="20"/>
              </w:rPr>
            </w:pPr>
            <w:r w:rsidRPr="00A47FB7">
              <w:rPr>
                <w:rFonts w:eastAsiaTheme="minorEastAsia" w:cs="Arial"/>
                <w:sz w:val="20"/>
                <w:szCs w:val="20"/>
              </w:rPr>
              <w:t>ATSICCO</w:t>
            </w:r>
          </w:p>
        </w:tc>
        <w:tc>
          <w:tcPr>
            <w:tcW w:w="7790" w:type="dxa"/>
            <w:vAlign w:val="center"/>
          </w:tcPr>
          <w:p w14:paraId="6C7B63C0" w14:textId="77777777" w:rsidR="00A47FB7" w:rsidRPr="00A47FB7" w:rsidRDefault="00A47FB7" w:rsidP="00D96BA2">
            <w:pPr>
              <w:rPr>
                <w:rFonts w:cs="Arial"/>
                <w:sz w:val="20"/>
                <w:szCs w:val="20"/>
              </w:rPr>
            </w:pPr>
            <w:r w:rsidRPr="00A47FB7">
              <w:rPr>
                <w:rFonts w:cs="Arial"/>
                <w:sz w:val="20"/>
                <w:szCs w:val="20"/>
              </w:rPr>
              <w:t>Aboriginal and Torres Strait Islander community-controlled organisation</w:t>
            </w:r>
          </w:p>
        </w:tc>
      </w:tr>
      <w:tr w:rsidR="00A47FB7" w:rsidRPr="00A47FB7" w14:paraId="699645E7" w14:textId="77777777" w:rsidTr="00D96BA2">
        <w:trPr>
          <w:trHeight w:val="340"/>
        </w:trPr>
        <w:tc>
          <w:tcPr>
            <w:tcW w:w="1838" w:type="dxa"/>
            <w:vAlign w:val="center"/>
          </w:tcPr>
          <w:p w14:paraId="7857C792" w14:textId="77777777" w:rsidR="00A47FB7" w:rsidRPr="00A47FB7" w:rsidRDefault="00A47FB7" w:rsidP="00D96BA2">
            <w:pPr>
              <w:rPr>
                <w:rFonts w:cs="Arial"/>
                <w:sz w:val="20"/>
                <w:szCs w:val="20"/>
              </w:rPr>
            </w:pPr>
            <w:r w:rsidRPr="00A47FB7">
              <w:rPr>
                <w:rFonts w:cs="Arial"/>
                <w:sz w:val="20"/>
                <w:szCs w:val="20"/>
              </w:rPr>
              <w:t>ADF</w:t>
            </w:r>
          </w:p>
        </w:tc>
        <w:tc>
          <w:tcPr>
            <w:tcW w:w="7790" w:type="dxa"/>
            <w:vAlign w:val="center"/>
          </w:tcPr>
          <w:p w14:paraId="5A9036E1" w14:textId="77777777" w:rsidR="00A47FB7" w:rsidRPr="00A47FB7" w:rsidRDefault="00A47FB7" w:rsidP="00D96BA2">
            <w:pPr>
              <w:rPr>
                <w:rFonts w:cs="Arial"/>
                <w:sz w:val="20"/>
                <w:szCs w:val="20"/>
              </w:rPr>
            </w:pPr>
            <w:r w:rsidRPr="00A47FB7">
              <w:rPr>
                <w:rFonts w:eastAsia="Calibri" w:cs="Arial"/>
                <w:sz w:val="20"/>
                <w:szCs w:val="20"/>
              </w:rPr>
              <w:t>Australian Defence Force</w:t>
            </w:r>
          </w:p>
        </w:tc>
      </w:tr>
      <w:tr w:rsidR="00A47FB7" w:rsidRPr="00A47FB7" w14:paraId="391925EA" w14:textId="77777777" w:rsidTr="00D96BA2">
        <w:trPr>
          <w:trHeight w:val="340"/>
        </w:trPr>
        <w:tc>
          <w:tcPr>
            <w:tcW w:w="1838" w:type="dxa"/>
            <w:vAlign w:val="center"/>
          </w:tcPr>
          <w:p w14:paraId="4504ABE6" w14:textId="77777777" w:rsidR="00A47FB7" w:rsidRPr="00A47FB7" w:rsidRDefault="00A47FB7" w:rsidP="00D96BA2">
            <w:pPr>
              <w:rPr>
                <w:rFonts w:cs="Arial"/>
                <w:sz w:val="20"/>
                <w:szCs w:val="20"/>
              </w:rPr>
            </w:pPr>
            <w:r w:rsidRPr="00A47FB7">
              <w:rPr>
                <w:rFonts w:cs="Arial"/>
                <w:sz w:val="20"/>
                <w:szCs w:val="20"/>
              </w:rPr>
              <w:t>ATSICPP</w:t>
            </w:r>
          </w:p>
        </w:tc>
        <w:tc>
          <w:tcPr>
            <w:tcW w:w="7790" w:type="dxa"/>
            <w:vAlign w:val="center"/>
          </w:tcPr>
          <w:p w14:paraId="5F436F7E" w14:textId="77777777" w:rsidR="00A47FB7" w:rsidRPr="00A47FB7" w:rsidRDefault="00A47FB7" w:rsidP="00D96BA2">
            <w:pPr>
              <w:rPr>
                <w:rFonts w:cs="Arial"/>
                <w:sz w:val="20"/>
                <w:szCs w:val="20"/>
              </w:rPr>
            </w:pPr>
            <w:r w:rsidRPr="00A47FB7">
              <w:rPr>
                <w:rFonts w:cs="Arial"/>
                <w:sz w:val="20"/>
                <w:szCs w:val="20"/>
              </w:rPr>
              <w:t>Aboriginal and Torres Strait Islander Child Placement Principle</w:t>
            </w:r>
          </w:p>
        </w:tc>
      </w:tr>
      <w:tr w:rsidR="00A47FB7" w:rsidRPr="00A47FB7" w14:paraId="70319BB9" w14:textId="77777777" w:rsidTr="00D96BA2">
        <w:trPr>
          <w:trHeight w:val="340"/>
        </w:trPr>
        <w:tc>
          <w:tcPr>
            <w:tcW w:w="1838" w:type="dxa"/>
            <w:vAlign w:val="center"/>
          </w:tcPr>
          <w:p w14:paraId="14D0667D" w14:textId="77777777" w:rsidR="00A47FB7" w:rsidRPr="00A47FB7" w:rsidRDefault="00A47FB7" w:rsidP="00D96BA2">
            <w:pPr>
              <w:rPr>
                <w:rFonts w:eastAsiaTheme="minorEastAsia" w:cs="Arial"/>
                <w:sz w:val="20"/>
                <w:szCs w:val="20"/>
              </w:rPr>
            </w:pPr>
            <w:r w:rsidRPr="00A47FB7">
              <w:rPr>
                <w:rFonts w:eastAsiaTheme="minorEastAsia" w:cs="Arial"/>
                <w:sz w:val="20"/>
                <w:szCs w:val="20"/>
              </w:rPr>
              <w:t>COE</w:t>
            </w:r>
          </w:p>
        </w:tc>
        <w:tc>
          <w:tcPr>
            <w:tcW w:w="7790" w:type="dxa"/>
            <w:vAlign w:val="center"/>
          </w:tcPr>
          <w:p w14:paraId="19F89324" w14:textId="77777777" w:rsidR="00A47FB7" w:rsidRPr="00A47FB7" w:rsidRDefault="00A47FB7" w:rsidP="00D96BA2">
            <w:pPr>
              <w:rPr>
                <w:rFonts w:cs="Arial"/>
                <w:sz w:val="20"/>
                <w:szCs w:val="20"/>
              </w:rPr>
            </w:pPr>
            <w:r w:rsidRPr="00A47FB7">
              <w:rPr>
                <w:rFonts w:cs="Arial"/>
                <w:sz w:val="20"/>
                <w:szCs w:val="20"/>
              </w:rPr>
              <w:t>Centre of Excellence</w:t>
            </w:r>
          </w:p>
        </w:tc>
      </w:tr>
      <w:tr w:rsidR="00A47FB7" w:rsidRPr="00A47FB7" w14:paraId="54F1355B" w14:textId="77777777" w:rsidTr="00D96BA2">
        <w:trPr>
          <w:trHeight w:val="340"/>
        </w:trPr>
        <w:tc>
          <w:tcPr>
            <w:tcW w:w="1838" w:type="dxa"/>
            <w:vAlign w:val="center"/>
          </w:tcPr>
          <w:p w14:paraId="3A300BA2" w14:textId="77777777" w:rsidR="00A47FB7" w:rsidRPr="00A47FB7" w:rsidRDefault="00A47FB7" w:rsidP="00D96BA2">
            <w:pPr>
              <w:rPr>
                <w:rFonts w:cs="Arial"/>
                <w:sz w:val="20"/>
                <w:szCs w:val="20"/>
              </w:rPr>
            </w:pPr>
            <w:r w:rsidRPr="00A47FB7">
              <w:rPr>
                <w:rFonts w:cs="Arial"/>
                <w:sz w:val="20"/>
                <w:szCs w:val="20"/>
              </w:rPr>
              <w:t>DCSSDS</w:t>
            </w:r>
          </w:p>
        </w:tc>
        <w:tc>
          <w:tcPr>
            <w:tcW w:w="7790" w:type="dxa"/>
            <w:vAlign w:val="center"/>
          </w:tcPr>
          <w:p w14:paraId="603B1067" w14:textId="77777777" w:rsidR="00A47FB7" w:rsidRPr="00A47FB7" w:rsidRDefault="00A47FB7" w:rsidP="00D96BA2">
            <w:pPr>
              <w:rPr>
                <w:rFonts w:cs="Arial"/>
                <w:sz w:val="20"/>
                <w:szCs w:val="20"/>
              </w:rPr>
            </w:pPr>
            <w:r w:rsidRPr="00A47FB7">
              <w:rPr>
                <w:rFonts w:cs="Arial"/>
                <w:sz w:val="20"/>
                <w:szCs w:val="20"/>
              </w:rPr>
              <w:t xml:space="preserve">Department of Child Safety, </w:t>
            </w:r>
            <w:proofErr w:type="gramStart"/>
            <w:r w:rsidRPr="00A47FB7">
              <w:rPr>
                <w:rFonts w:cs="Arial"/>
                <w:sz w:val="20"/>
                <w:szCs w:val="20"/>
              </w:rPr>
              <w:t>Seniors</w:t>
            </w:r>
            <w:proofErr w:type="gramEnd"/>
            <w:r w:rsidRPr="00A47FB7">
              <w:rPr>
                <w:rFonts w:cs="Arial"/>
                <w:sz w:val="20"/>
                <w:szCs w:val="20"/>
              </w:rPr>
              <w:t xml:space="preserve"> and Disability Services</w:t>
            </w:r>
          </w:p>
        </w:tc>
      </w:tr>
      <w:tr w:rsidR="00A47FB7" w:rsidRPr="00A47FB7" w14:paraId="18CDC5EE" w14:textId="77777777" w:rsidTr="00D96BA2">
        <w:trPr>
          <w:trHeight w:val="340"/>
        </w:trPr>
        <w:tc>
          <w:tcPr>
            <w:tcW w:w="1838" w:type="dxa"/>
            <w:vAlign w:val="center"/>
          </w:tcPr>
          <w:p w14:paraId="4498BA27" w14:textId="77777777" w:rsidR="00A47FB7" w:rsidRPr="00A47FB7" w:rsidRDefault="00A47FB7" w:rsidP="00D96BA2">
            <w:pPr>
              <w:rPr>
                <w:rFonts w:cs="Arial"/>
                <w:sz w:val="20"/>
                <w:szCs w:val="20"/>
              </w:rPr>
            </w:pPr>
            <w:r w:rsidRPr="00A47FB7">
              <w:rPr>
                <w:rFonts w:cs="Arial"/>
                <w:sz w:val="20"/>
                <w:szCs w:val="20"/>
              </w:rPr>
              <w:t>DJAG</w:t>
            </w:r>
          </w:p>
        </w:tc>
        <w:tc>
          <w:tcPr>
            <w:tcW w:w="7790" w:type="dxa"/>
            <w:vAlign w:val="center"/>
          </w:tcPr>
          <w:p w14:paraId="322A38B2" w14:textId="77777777" w:rsidR="00A47FB7" w:rsidRPr="00A47FB7" w:rsidRDefault="00A47FB7" w:rsidP="00D96BA2">
            <w:pPr>
              <w:rPr>
                <w:rFonts w:cs="Arial"/>
                <w:sz w:val="20"/>
                <w:szCs w:val="20"/>
              </w:rPr>
            </w:pPr>
            <w:r w:rsidRPr="00A47FB7">
              <w:rPr>
                <w:rFonts w:cs="Arial"/>
                <w:sz w:val="20"/>
                <w:szCs w:val="20"/>
              </w:rPr>
              <w:t xml:space="preserve">Department of Justice and Attorney-General </w:t>
            </w:r>
          </w:p>
        </w:tc>
      </w:tr>
      <w:tr w:rsidR="00A47FB7" w:rsidRPr="00A47FB7" w14:paraId="5E93999C" w14:textId="77777777" w:rsidTr="00D96BA2">
        <w:trPr>
          <w:trHeight w:val="340"/>
        </w:trPr>
        <w:tc>
          <w:tcPr>
            <w:tcW w:w="1838" w:type="dxa"/>
            <w:vAlign w:val="center"/>
          </w:tcPr>
          <w:p w14:paraId="292EF6F5" w14:textId="77777777" w:rsidR="00A47FB7" w:rsidRPr="00A47FB7" w:rsidRDefault="00A47FB7" w:rsidP="00D96BA2">
            <w:pPr>
              <w:rPr>
                <w:rFonts w:cs="Arial"/>
                <w:sz w:val="20"/>
                <w:szCs w:val="20"/>
              </w:rPr>
            </w:pPr>
            <w:r w:rsidRPr="00A47FB7">
              <w:rPr>
                <w:rFonts w:cs="Arial"/>
                <w:sz w:val="20"/>
                <w:szCs w:val="20"/>
              </w:rPr>
              <w:t>DOE</w:t>
            </w:r>
          </w:p>
        </w:tc>
        <w:tc>
          <w:tcPr>
            <w:tcW w:w="7790" w:type="dxa"/>
            <w:vAlign w:val="center"/>
          </w:tcPr>
          <w:p w14:paraId="09C4D106" w14:textId="77777777" w:rsidR="00A47FB7" w:rsidRPr="00A47FB7" w:rsidRDefault="00A47FB7" w:rsidP="00D96BA2">
            <w:pPr>
              <w:rPr>
                <w:rFonts w:cs="Arial"/>
                <w:sz w:val="20"/>
                <w:szCs w:val="20"/>
              </w:rPr>
            </w:pPr>
            <w:r w:rsidRPr="00A47FB7">
              <w:rPr>
                <w:rFonts w:cs="Arial"/>
                <w:sz w:val="20"/>
                <w:szCs w:val="20"/>
              </w:rPr>
              <w:t xml:space="preserve">Department of Education </w:t>
            </w:r>
          </w:p>
        </w:tc>
      </w:tr>
      <w:tr w:rsidR="00A47FB7" w:rsidRPr="00A47FB7" w14:paraId="0F25602F" w14:textId="77777777" w:rsidTr="00D96BA2">
        <w:trPr>
          <w:trHeight w:val="340"/>
        </w:trPr>
        <w:tc>
          <w:tcPr>
            <w:tcW w:w="1838" w:type="dxa"/>
            <w:vAlign w:val="center"/>
          </w:tcPr>
          <w:p w14:paraId="5F78EBFB" w14:textId="77777777" w:rsidR="00A47FB7" w:rsidRPr="00A47FB7" w:rsidRDefault="00A47FB7" w:rsidP="00D96BA2">
            <w:pPr>
              <w:rPr>
                <w:rFonts w:cs="Arial"/>
                <w:sz w:val="20"/>
                <w:szCs w:val="20"/>
              </w:rPr>
            </w:pPr>
            <w:r w:rsidRPr="00A47FB7">
              <w:rPr>
                <w:rFonts w:cs="Arial"/>
                <w:sz w:val="20"/>
                <w:szCs w:val="20"/>
              </w:rPr>
              <w:t>DOH</w:t>
            </w:r>
          </w:p>
        </w:tc>
        <w:tc>
          <w:tcPr>
            <w:tcW w:w="7790" w:type="dxa"/>
            <w:vAlign w:val="center"/>
          </w:tcPr>
          <w:p w14:paraId="3D01F51E" w14:textId="77777777" w:rsidR="00A47FB7" w:rsidRPr="00A47FB7" w:rsidRDefault="00A47FB7" w:rsidP="00D96BA2">
            <w:pPr>
              <w:rPr>
                <w:rFonts w:cs="Arial"/>
                <w:sz w:val="20"/>
                <w:szCs w:val="20"/>
              </w:rPr>
            </w:pPr>
            <w:r w:rsidRPr="00A47FB7">
              <w:rPr>
                <w:rFonts w:cs="Arial"/>
                <w:sz w:val="20"/>
                <w:szCs w:val="20"/>
              </w:rPr>
              <w:t>Department of Housing</w:t>
            </w:r>
          </w:p>
        </w:tc>
      </w:tr>
      <w:tr w:rsidR="00A47FB7" w:rsidRPr="00A47FB7" w14:paraId="3E6D95BB" w14:textId="77777777" w:rsidTr="00D96BA2">
        <w:trPr>
          <w:trHeight w:val="340"/>
        </w:trPr>
        <w:tc>
          <w:tcPr>
            <w:tcW w:w="1838" w:type="dxa"/>
          </w:tcPr>
          <w:p w14:paraId="27E7AE36" w14:textId="77777777" w:rsidR="00A47FB7" w:rsidRPr="00A47FB7" w:rsidRDefault="00A47FB7" w:rsidP="00D96BA2">
            <w:pPr>
              <w:rPr>
                <w:rFonts w:cs="Arial"/>
                <w:sz w:val="20"/>
                <w:szCs w:val="20"/>
              </w:rPr>
            </w:pPr>
            <w:r w:rsidRPr="00A47FB7">
              <w:rPr>
                <w:rFonts w:cs="Arial"/>
                <w:sz w:val="20"/>
                <w:szCs w:val="20"/>
              </w:rPr>
              <w:t>DTATSIPCA</w:t>
            </w:r>
          </w:p>
        </w:tc>
        <w:tc>
          <w:tcPr>
            <w:tcW w:w="7790" w:type="dxa"/>
            <w:vAlign w:val="center"/>
          </w:tcPr>
          <w:p w14:paraId="7E131DDD" w14:textId="77777777" w:rsidR="00A47FB7" w:rsidRPr="00A47FB7" w:rsidRDefault="00A47FB7" w:rsidP="00D96BA2">
            <w:pPr>
              <w:rPr>
                <w:rFonts w:cs="Arial"/>
                <w:sz w:val="20"/>
                <w:szCs w:val="20"/>
              </w:rPr>
            </w:pPr>
            <w:r w:rsidRPr="00A47FB7">
              <w:rPr>
                <w:rFonts w:cs="Arial"/>
                <w:sz w:val="20"/>
                <w:szCs w:val="20"/>
              </w:rPr>
              <w:t xml:space="preserve">Department of Treaty, Aboriginal and Torres Strait Islander Partnerships, </w:t>
            </w:r>
            <w:proofErr w:type="gramStart"/>
            <w:r w:rsidRPr="00A47FB7">
              <w:rPr>
                <w:rFonts w:cs="Arial"/>
                <w:sz w:val="20"/>
                <w:szCs w:val="20"/>
              </w:rPr>
              <w:t>Communities</w:t>
            </w:r>
            <w:proofErr w:type="gramEnd"/>
            <w:r w:rsidRPr="00A47FB7">
              <w:rPr>
                <w:rFonts w:cs="Arial"/>
                <w:sz w:val="20"/>
                <w:szCs w:val="20"/>
              </w:rPr>
              <w:t xml:space="preserve"> and the Arts </w:t>
            </w:r>
          </w:p>
        </w:tc>
      </w:tr>
      <w:tr w:rsidR="00A47FB7" w:rsidRPr="00A47FB7" w14:paraId="7018BCC4" w14:textId="77777777" w:rsidTr="00D96BA2">
        <w:trPr>
          <w:trHeight w:val="340"/>
        </w:trPr>
        <w:tc>
          <w:tcPr>
            <w:tcW w:w="1838" w:type="dxa"/>
            <w:vAlign w:val="center"/>
          </w:tcPr>
          <w:p w14:paraId="0D15F6E3" w14:textId="77777777" w:rsidR="00A47FB7" w:rsidRPr="00A47FB7" w:rsidRDefault="00A47FB7" w:rsidP="00D96BA2">
            <w:pPr>
              <w:rPr>
                <w:rFonts w:cs="Arial"/>
                <w:sz w:val="20"/>
                <w:szCs w:val="20"/>
              </w:rPr>
            </w:pPr>
            <w:r w:rsidRPr="00A47FB7">
              <w:rPr>
                <w:rFonts w:cs="Arial"/>
                <w:sz w:val="20"/>
                <w:szCs w:val="20"/>
              </w:rPr>
              <w:t>DYJESBT</w:t>
            </w:r>
          </w:p>
        </w:tc>
        <w:tc>
          <w:tcPr>
            <w:tcW w:w="7790" w:type="dxa"/>
            <w:vAlign w:val="center"/>
          </w:tcPr>
          <w:p w14:paraId="1EAD0EAD" w14:textId="77777777" w:rsidR="00A47FB7" w:rsidRPr="00A47FB7" w:rsidRDefault="00A47FB7" w:rsidP="00D96BA2">
            <w:pPr>
              <w:rPr>
                <w:rFonts w:cs="Arial"/>
                <w:sz w:val="20"/>
                <w:szCs w:val="20"/>
              </w:rPr>
            </w:pPr>
            <w:r w:rsidRPr="00A47FB7">
              <w:rPr>
                <w:rFonts w:cs="Arial"/>
                <w:sz w:val="20"/>
                <w:szCs w:val="20"/>
              </w:rPr>
              <w:t>Department of Youth Justice, Employment, Small Business and Training</w:t>
            </w:r>
          </w:p>
        </w:tc>
      </w:tr>
      <w:tr w:rsidR="00A47FB7" w:rsidRPr="00A47FB7" w14:paraId="4E871BBC" w14:textId="77777777" w:rsidTr="00D96BA2">
        <w:trPr>
          <w:trHeight w:val="340"/>
        </w:trPr>
        <w:tc>
          <w:tcPr>
            <w:tcW w:w="1838" w:type="dxa"/>
            <w:vAlign w:val="center"/>
          </w:tcPr>
          <w:p w14:paraId="0BC4F4D5" w14:textId="77777777" w:rsidR="00A47FB7" w:rsidRPr="00A47FB7" w:rsidRDefault="00A47FB7" w:rsidP="00D96BA2">
            <w:pPr>
              <w:rPr>
                <w:rFonts w:cs="Arial"/>
                <w:sz w:val="20"/>
                <w:szCs w:val="20"/>
              </w:rPr>
            </w:pPr>
            <w:r w:rsidRPr="00A47FB7">
              <w:rPr>
                <w:rFonts w:cs="Arial"/>
                <w:sz w:val="20"/>
                <w:szCs w:val="20"/>
              </w:rPr>
              <w:t>FPP</w:t>
            </w:r>
          </w:p>
        </w:tc>
        <w:tc>
          <w:tcPr>
            <w:tcW w:w="7790" w:type="dxa"/>
            <w:vAlign w:val="center"/>
          </w:tcPr>
          <w:p w14:paraId="1DF15643" w14:textId="77777777" w:rsidR="00A47FB7" w:rsidRPr="00A47FB7" w:rsidRDefault="00A47FB7" w:rsidP="00D96BA2">
            <w:pPr>
              <w:rPr>
                <w:rFonts w:cs="Arial"/>
                <w:sz w:val="20"/>
                <w:szCs w:val="20"/>
              </w:rPr>
            </w:pPr>
            <w:r w:rsidRPr="00A47FB7">
              <w:rPr>
                <w:rFonts w:cs="Arial"/>
                <w:sz w:val="20"/>
                <w:szCs w:val="20"/>
              </w:rPr>
              <w:t>Family Participation Program</w:t>
            </w:r>
          </w:p>
        </w:tc>
      </w:tr>
      <w:tr w:rsidR="00A47FB7" w:rsidRPr="00A47FB7" w14:paraId="29CBE510" w14:textId="77777777" w:rsidTr="00D96BA2">
        <w:trPr>
          <w:trHeight w:val="340"/>
        </w:trPr>
        <w:tc>
          <w:tcPr>
            <w:tcW w:w="1838" w:type="dxa"/>
            <w:vAlign w:val="center"/>
          </w:tcPr>
          <w:p w14:paraId="303FDB82" w14:textId="77777777" w:rsidR="00A47FB7" w:rsidRPr="00A47FB7" w:rsidRDefault="00A47FB7" w:rsidP="00D96BA2">
            <w:pPr>
              <w:rPr>
                <w:rFonts w:cs="Arial"/>
                <w:sz w:val="20"/>
                <w:szCs w:val="20"/>
              </w:rPr>
            </w:pPr>
            <w:r w:rsidRPr="00A47FB7">
              <w:rPr>
                <w:rFonts w:cs="Arial"/>
                <w:sz w:val="20"/>
                <w:szCs w:val="20"/>
              </w:rPr>
              <w:t>FWS</w:t>
            </w:r>
          </w:p>
        </w:tc>
        <w:tc>
          <w:tcPr>
            <w:tcW w:w="7790" w:type="dxa"/>
            <w:vAlign w:val="center"/>
          </w:tcPr>
          <w:p w14:paraId="1CD4C665" w14:textId="77777777" w:rsidR="00A47FB7" w:rsidRPr="00A47FB7" w:rsidRDefault="00A47FB7" w:rsidP="00D96BA2">
            <w:pPr>
              <w:rPr>
                <w:rFonts w:cs="Arial"/>
                <w:sz w:val="20"/>
                <w:szCs w:val="20"/>
              </w:rPr>
            </w:pPr>
            <w:r w:rsidRPr="00A47FB7">
              <w:rPr>
                <w:rFonts w:cs="Arial"/>
                <w:sz w:val="20"/>
                <w:szCs w:val="20"/>
              </w:rPr>
              <w:t>Family Wellbeing Services</w:t>
            </w:r>
          </w:p>
        </w:tc>
      </w:tr>
      <w:tr w:rsidR="00A47FB7" w:rsidRPr="00A47FB7" w14:paraId="0F08A441" w14:textId="77777777" w:rsidTr="00D96BA2">
        <w:trPr>
          <w:trHeight w:val="340"/>
        </w:trPr>
        <w:tc>
          <w:tcPr>
            <w:tcW w:w="1838" w:type="dxa"/>
            <w:vAlign w:val="center"/>
          </w:tcPr>
          <w:p w14:paraId="3C4E15CB" w14:textId="77777777" w:rsidR="00A47FB7" w:rsidRPr="00A47FB7" w:rsidRDefault="00A47FB7" w:rsidP="00D96BA2">
            <w:pPr>
              <w:rPr>
                <w:rFonts w:cs="Arial"/>
                <w:sz w:val="20"/>
                <w:szCs w:val="20"/>
              </w:rPr>
            </w:pPr>
            <w:r w:rsidRPr="00A47FB7">
              <w:rPr>
                <w:rFonts w:cs="Arial"/>
                <w:sz w:val="20"/>
                <w:szCs w:val="20"/>
              </w:rPr>
              <w:t>QAIHC</w:t>
            </w:r>
          </w:p>
        </w:tc>
        <w:tc>
          <w:tcPr>
            <w:tcW w:w="7790" w:type="dxa"/>
            <w:vAlign w:val="center"/>
          </w:tcPr>
          <w:p w14:paraId="1AA6E0BE" w14:textId="77777777" w:rsidR="00A47FB7" w:rsidRPr="00A47FB7" w:rsidRDefault="00A47FB7" w:rsidP="00D96BA2">
            <w:pPr>
              <w:rPr>
                <w:rFonts w:eastAsia="Calibri" w:cs="Arial"/>
                <w:sz w:val="20"/>
                <w:szCs w:val="20"/>
                <w:lang w:eastAsia="en-AU"/>
              </w:rPr>
            </w:pPr>
            <w:r w:rsidRPr="00A47FB7">
              <w:rPr>
                <w:rFonts w:eastAsia="Calibri" w:cs="Arial"/>
                <w:sz w:val="20"/>
                <w:szCs w:val="20"/>
                <w:lang w:eastAsia="en-AU"/>
              </w:rPr>
              <w:t xml:space="preserve">Queensland Aboriginal and Islander Health Council </w:t>
            </w:r>
          </w:p>
        </w:tc>
      </w:tr>
      <w:tr w:rsidR="00A47FB7" w:rsidRPr="00A47FB7" w14:paraId="321B4A61" w14:textId="77777777" w:rsidTr="00D96BA2">
        <w:trPr>
          <w:trHeight w:val="340"/>
        </w:trPr>
        <w:tc>
          <w:tcPr>
            <w:tcW w:w="1838" w:type="dxa"/>
            <w:vAlign w:val="center"/>
          </w:tcPr>
          <w:p w14:paraId="5992132D" w14:textId="77777777" w:rsidR="00A47FB7" w:rsidRPr="00A47FB7" w:rsidRDefault="00A47FB7" w:rsidP="00D96BA2">
            <w:pPr>
              <w:rPr>
                <w:rFonts w:cs="Arial"/>
                <w:sz w:val="20"/>
                <w:szCs w:val="20"/>
              </w:rPr>
            </w:pPr>
            <w:r w:rsidRPr="00A47FB7">
              <w:rPr>
                <w:rFonts w:cs="Arial"/>
                <w:sz w:val="20"/>
                <w:szCs w:val="20"/>
              </w:rPr>
              <w:t>QATSIC</w:t>
            </w:r>
          </w:p>
        </w:tc>
        <w:tc>
          <w:tcPr>
            <w:tcW w:w="7790" w:type="dxa"/>
            <w:vAlign w:val="center"/>
          </w:tcPr>
          <w:p w14:paraId="53F67CB7" w14:textId="77777777" w:rsidR="00A47FB7" w:rsidRPr="00A47FB7" w:rsidRDefault="00A47FB7" w:rsidP="00D96BA2">
            <w:pPr>
              <w:rPr>
                <w:rFonts w:cs="Arial"/>
                <w:sz w:val="20"/>
                <w:szCs w:val="20"/>
              </w:rPr>
            </w:pPr>
            <w:r w:rsidRPr="00A47FB7">
              <w:rPr>
                <w:rFonts w:cs="Arial"/>
                <w:sz w:val="20"/>
                <w:szCs w:val="20"/>
              </w:rPr>
              <w:t>Queensland Aboriginal and Torres Strait Islander Coalition</w:t>
            </w:r>
          </w:p>
        </w:tc>
      </w:tr>
      <w:tr w:rsidR="00A47FB7" w:rsidRPr="00A47FB7" w14:paraId="7D02B1B4" w14:textId="77777777" w:rsidTr="00D96BA2">
        <w:trPr>
          <w:trHeight w:val="340"/>
        </w:trPr>
        <w:tc>
          <w:tcPr>
            <w:tcW w:w="1838" w:type="dxa"/>
            <w:vAlign w:val="center"/>
          </w:tcPr>
          <w:p w14:paraId="5C01332B" w14:textId="77777777" w:rsidR="00A47FB7" w:rsidRPr="00A47FB7" w:rsidRDefault="00A47FB7" w:rsidP="00D96BA2">
            <w:pPr>
              <w:rPr>
                <w:rFonts w:cs="Arial"/>
                <w:sz w:val="20"/>
                <w:szCs w:val="20"/>
              </w:rPr>
            </w:pPr>
            <w:r w:rsidRPr="00A47FB7">
              <w:rPr>
                <w:rFonts w:cs="Arial"/>
                <w:sz w:val="20"/>
                <w:szCs w:val="20"/>
              </w:rPr>
              <w:t>QATSICPP</w:t>
            </w:r>
          </w:p>
        </w:tc>
        <w:tc>
          <w:tcPr>
            <w:tcW w:w="7790" w:type="dxa"/>
            <w:vAlign w:val="center"/>
          </w:tcPr>
          <w:p w14:paraId="3514E0D9" w14:textId="77777777" w:rsidR="00A47FB7" w:rsidRPr="00A47FB7" w:rsidRDefault="00A47FB7" w:rsidP="00D96BA2">
            <w:pPr>
              <w:rPr>
                <w:rFonts w:cs="Arial"/>
                <w:sz w:val="20"/>
                <w:szCs w:val="20"/>
              </w:rPr>
            </w:pPr>
            <w:r w:rsidRPr="00A47FB7">
              <w:rPr>
                <w:rFonts w:cs="Arial"/>
                <w:sz w:val="20"/>
                <w:szCs w:val="20"/>
              </w:rPr>
              <w:t>Queensland Aboriginal and Torres Strait Islander Child Protection Peak</w:t>
            </w:r>
          </w:p>
        </w:tc>
      </w:tr>
      <w:tr w:rsidR="00A47FB7" w:rsidRPr="00A47FB7" w14:paraId="696601D3" w14:textId="77777777" w:rsidTr="00D96BA2">
        <w:trPr>
          <w:trHeight w:val="340"/>
        </w:trPr>
        <w:tc>
          <w:tcPr>
            <w:tcW w:w="1838" w:type="dxa"/>
            <w:vAlign w:val="center"/>
          </w:tcPr>
          <w:p w14:paraId="6B685487" w14:textId="77777777" w:rsidR="00A47FB7" w:rsidRPr="00A47FB7" w:rsidRDefault="00A47FB7" w:rsidP="00D96BA2">
            <w:pPr>
              <w:rPr>
                <w:rFonts w:cs="Arial"/>
                <w:sz w:val="20"/>
                <w:szCs w:val="20"/>
              </w:rPr>
            </w:pPr>
            <w:r w:rsidRPr="00A47FB7">
              <w:rPr>
                <w:rFonts w:cs="Arial"/>
                <w:sz w:val="20"/>
                <w:szCs w:val="20"/>
              </w:rPr>
              <w:t>QATSIH</w:t>
            </w:r>
          </w:p>
        </w:tc>
        <w:tc>
          <w:tcPr>
            <w:tcW w:w="7790" w:type="dxa"/>
            <w:vAlign w:val="center"/>
          </w:tcPr>
          <w:p w14:paraId="1C7FAEEA" w14:textId="77777777" w:rsidR="00A47FB7" w:rsidRPr="00A47FB7" w:rsidRDefault="00A47FB7" w:rsidP="00D96BA2">
            <w:pPr>
              <w:rPr>
                <w:rFonts w:cs="Arial"/>
                <w:sz w:val="20"/>
                <w:szCs w:val="20"/>
              </w:rPr>
            </w:pPr>
            <w:r w:rsidRPr="00A47FB7">
              <w:rPr>
                <w:rFonts w:cs="Arial"/>
                <w:sz w:val="20"/>
                <w:szCs w:val="20"/>
              </w:rPr>
              <w:t xml:space="preserve">Queensland Aboriginal and Torres Strait Islander Housing </w:t>
            </w:r>
          </w:p>
        </w:tc>
      </w:tr>
      <w:tr w:rsidR="00A47FB7" w:rsidRPr="00A47FB7" w14:paraId="1846B3E5" w14:textId="77777777" w:rsidTr="00D96BA2">
        <w:trPr>
          <w:trHeight w:val="340"/>
        </w:trPr>
        <w:tc>
          <w:tcPr>
            <w:tcW w:w="1838" w:type="dxa"/>
            <w:vAlign w:val="center"/>
          </w:tcPr>
          <w:p w14:paraId="0960EC0C" w14:textId="77777777" w:rsidR="00A47FB7" w:rsidRPr="00A47FB7" w:rsidRDefault="00A47FB7" w:rsidP="00D96BA2">
            <w:pPr>
              <w:rPr>
                <w:rFonts w:cs="Arial"/>
                <w:sz w:val="20"/>
                <w:szCs w:val="20"/>
              </w:rPr>
            </w:pPr>
            <w:r w:rsidRPr="00A47FB7">
              <w:rPr>
                <w:rFonts w:cs="Arial"/>
                <w:sz w:val="20"/>
                <w:szCs w:val="20"/>
              </w:rPr>
              <w:t>QFCC</w:t>
            </w:r>
          </w:p>
        </w:tc>
        <w:tc>
          <w:tcPr>
            <w:tcW w:w="7790" w:type="dxa"/>
            <w:vAlign w:val="center"/>
          </w:tcPr>
          <w:p w14:paraId="664C4D84" w14:textId="77777777" w:rsidR="00A47FB7" w:rsidRPr="00A47FB7" w:rsidRDefault="00A47FB7" w:rsidP="00D96BA2">
            <w:pPr>
              <w:rPr>
                <w:rFonts w:cs="Arial"/>
                <w:sz w:val="20"/>
                <w:szCs w:val="20"/>
              </w:rPr>
            </w:pPr>
            <w:r w:rsidRPr="00A47FB7">
              <w:rPr>
                <w:rFonts w:cs="Arial"/>
                <w:sz w:val="20"/>
                <w:szCs w:val="20"/>
              </w:rPr>
              <w:t>Queensland Family and Child Commission</w:t>
            </w:r>
          </w:p>
        </w:tc>
      </w:tr>
      <w:tr w:rsidR="00A47FB7" w:rsidRPr="00A47FB7" w14:paraId="62AACD7D" w14:textId="77777777" w:rsidTr="00D96BA2">
        <w:trPr>
          <w:trHeight w:val="340"/>
        </w:trPr>
        <w:tc>
          <w:tcPr>
            <w:tcW w:w="1838" w:type="dxa"/>
            <w:vAlign w:val="center"/>
          </w:tcPr>
          <w:p w14:paraId="6B702417" w14:textId="77777777" w:rsidR="00A47FB7" w:rsidRPr="00A47FB7" w:rsidRDefault="00A47FB7" w:rsidP="00D96BA2">
            <w:pPr>
              <w:rPr>
                <w:rFonts w:cs="Arial"/>
                <w:sz w:val="20"/>
                <w:szCs w:val="20"/>
              </w:rPr>
            </w:pPr>
            <w:r w:rsidRPr="00A47FB7">
              <w:rPr>
                <w:rFonts w:cs="Arial"/>
                <w:sz w:val="20"/>
                <w:szCs w:val="20"/>
              </w:rPr>
              <w:t>QFCFB</w:t>
            </w:r>
          </w:p>
        </w:tc>
        <w:tc>
          <w:tcPr>
            <w:tcW w:w="7790" w:type="dxa"/>
            <w:vAlign w:val="center"/>
          </w:tcPr>
          <w:p w14:paraId="482586A2" w14:textId="77777777" w:rsidR="00A47FB7" w:rsidRPr="00A47FB7" w:rsidRDefault="00A47FB7" w:rsidP="00D96BA2">
            <w:pPr>
              <w:rPr>
                <w:rFonts w:cs="Arial"/>
                <w:sz w:val="20"/>
                <w:szCs w:val="20"/>
              </w:rPr>
            </w:pPr>
            <w:r w:rsidRPr="00A47FB7">
              <w:rPr>
                <w:rFonts w:cs="Arial"/>
                <w:sz w:val="20"/>
                <w:szCs w:val="20"/>
              </w:rPr>
              <w:t>Queensland First Children and Families Board</w:t>
            </w:r>
          </w:p>
        </w:tc>
      </w:tr>
      <w:tr w:rsidR="00A47FB7" w:rsidRPr="00A47FB7" w14:paraId="281B89D1" w14:textId="77777777" w:rsidTr="00D96BA2">
        <w:trPr>
          <w:trHeight w:val="340"/>
        </w:trPr>
        <w:tc>
          <w:tcPr>
            <w:tcW w:w="1838" w:type="dxa"/>
            <w:vAlign w:val="center"/>
          </w:tcPr>
          <w:p w14:paraId="4D9A300B" w14:textId="77777777" w:rsidR="00A47FB7" w:rsidRPr="00A47FB7" w:rsidRDefault="00A47FB7" w:rsidP="00D96BA2">
            <w:pPr>
              <w:rPr>
                <w:rFonts w:cs="Arial"/>
                <w:sz w:val="20"/>
                <w:szCs w:val="20"/>
              </w:rPr>
            </w:pPr>
            <w:r w:rsidRPr="00A47FB7">
              <w:rPr>
                <w:rFonts w:cs="Arial"/>
                <w:sz w:val="20"/>
                <w:szCs w:val="20"/>
              </w:rPr>
              <w:t>QH</w:t>
            </w:r>
          </w:p>
        </w:tc>
        <w:tc>
          <w:tcPr>
            <w:tcW w:w="7790" w:type="dxa"/>
            <w:vAlign w:val="center"/>
          </w:tcPr>
          <w:p w14:paraId="2F31E499" w14:textId="77777777" w:rsidR="00A47FB7" w:rsidRPr="00A47FB7" w:rsidRDefault="00A47FB7" w:rsidP="00D96BA2">
            <w:pPr>
              <w:rPr>
                <w:rFonts w:cs="Arial"/>
                <w:sz w:val="20"/>
                <w:szCs w:val="20"/>
              </w:rPr>
            </w:pPr>
            <w:r w:rsidRPr="00A47FB7">
              <w:rPr>
                <w:rFonts w:cs="Arial"/>
                <w:sz w:val="20"/>
                <w:szCs w:val="20"/>
              </w:rPr>
              <w:t xml:space="preserve">Queensland Health </w:t>
            </w:r>
          </w:p>
        </w:tc>
      </w:tr>
      <w:tr w:rsidR="00A47FB7" w:rsidRPr="00A47FB7" w14:paraId="531A050F" w14:textId="77777777" w:rsidTr="00D96BA2">
        <w:trPr>
          <w:trHeight w:val="340"/>
        </w:trPr>
        <w:tc>
          <w:tcPr>
            <w:tcW w:w="1838" w:type="dxa"/>
            <w:vAlign w:val="center"/>
          </w:tcPr>
          <w:p w14:paraId="4382CE4C" w14:textId="77777777" w:rsidR="00A47FB7" w:rsidRPr="00A47FB7" w:rsidRDefault="00A47FB7" w:rsidP="00D96BA2">
            <w:pPr>
              <w:rPr>
                <w:rFonts w:cs="Arial"/>
                <w:sz w:val="20"/>
                <w:szCs w:val="20"/>
              </w:rPr>
            </w:pPr>
            <w:r w:rsidRPr="00A47FB7">
              <w:rPr>
                <w:rFonts w:cs="Arial"/>
                <w:sz w:val="20"/>
                <w:szCs w:val="20"/>
              </w:rPr>
              <w:t>QMHC</w:t>
            </w:r>
          </w:p>
        </w:tc>
        <w:tc>
          <w:tcPr>
            <w:tcW w:w="7790" w:type="dxa"/>
            <w:vAlign w:val="center"/>
          </w:tcPr>
          <w:p w14:paraId="0C311C5E" w14:textId="77777777" w:rsidR="00A47FB7" w:rsidRPr="00A47FB7" w:rsidRDefault="00A47FB7" w:rsidP="00D96BA2">
            <w:pPr>
              <w:rPr>
                <w:rFonts w:cs="Arial"/>
                <w:sz w:val="20"/>
                <w:szCs w:val="20"/>
              </w:rPr>
            </w:pPr>
            <w:r w:rsidRPr="00A47FB7">
              <w:rPr>
                <w:rFonts w:cs="Arial"/>
                <w:sz w:val="20"/>
                <w:szCs w:val="20"/>
              </w:rPr>
              <w:t xml:space="preserve">Queensland Mental Health Commission </w:t>
            </w:r>
          </w:p>
        </w:tc>
      </w:tr>
      <w:tr w:rsidR="00A47FB7" w:rsidRPr="00A47FB7" w14:paraId="57DC917E" w14:textId="77777777" w:rsidTr="00D96BA2">
        <w:trPr>
          <w:trHeight w:val="340"/>
        </w:trPr>
        <w:tc>
          <w:tcPr>
            <w:tcW w:w="1838" w:type="dxa"/>
            <w:vAlign w:val="center"/>
          </w:tcPr>
          <w:p w14:paraId="2840F228" w14:textId="77777777" w:rsidR="00A47FB7" w:rsidRPr="00A47FB7" w:rsidRDefault="00A47FB7" w:rsidP="00D96BA2">
            <w:pPr>
              <w:rPr>
                <w:rFonts w:cs="Arial"/>
                <w:sz w:val="20"/>
                <w:szCs w:val="20"/>
              </w:rPr>
            </w:pPr>
            <w:r w:rsidRPr="00A47FB7">
              <w:rPr>
                <w:rFonts w:cs="Arial"/>
                <w:sz w:val="20"/>
                <w:szCs w:val="20"/>
              </w:rPr>
              <w:t>SAE</w:t>
            </w:r>
          </w:p>
        </w:tc>
        <w:tc>
          <w:tcPr>
            <w:tcW w:w="7790" w:type="dxa"/>
            <w:vAlign w:val="center"/>
          </w:tcPr>
          <w:p w14:paraId="5E96BCF9" w14:textId="77777777" w:rsidR="00A47FB7" w:rsidRPr="00A47FB7" w:rsidRDefault="00A47FB7" w:rsidP="00D96BA2">
            <w:pPr>
              <w:rPr>
                <w:rFonts w:cs="Arial"/>
                <w:sz w:val="20"/>
                <w:szCs w:val="20"/>
              </w:rPr>
            </w:pPr>
            <w:r w:rsidRPr="00A47FB7">
              <w:rPr>
                <w:rFonts w:cs="Arial"/>
                <w:sz w:val="20"/>
                <w:szCs w:val="20"/>
              </w:rPr>
              <w:t>Standard Australian English</w:t>
            </w:r>
          </w:p>
        </w:tc>
      </w:tr>
      <w:tr w:rsidR="00A47FB7" w:rsidRPr="00A47FB7" w14:paraId="07C0A4B1" w14:textId="77777777" w:rsidTr="00D96BA2">
        <w:trPr>
          <w:trHeight w:val="340"/>
        </w:trPr>
        <w:tc>
          <w:tcPr>
            <w:tcW w:w="1838" w:type="dxa"/>
            <w:vAlign w:val="center"/>
          </w:tcPr>
          <w:p w14:paraId="43C68456" w14:textId="77777777" w:rsidR="00A47FB7" w:rsidRPr="00A47FB7" w:rsidRDefault="00A47FB7" w:rsidP="00D96BA2">
            <w:pPr>
              <w:rPr>
                <w:rFonts w:cs="Arial"/>
                <w:sz w:val="20"/>
                <w:szCs w:val="20"/>
              </w:rPr>
            </w:pPr>
            <w:r w:rsidRPr="00A47FB7">
              <w:rPr>
                <w:rFonts w:cs="Arial"/>
                <w:sz w:val="20"/>
                <w:szCs w:val="20"/>
              </w:rPr>
              <w:t>SDM</w:t>
            </w:r>
          </w:p>
        </w:tc>
        <w:tc>
          <w:tcPr>
            <w:tcW w:w="7790" w:type="dxa"/>
            <w:vAlign w:val="center"/>
          </w:tcPr>
          <w:p w14:paraId="31CFB0DC" w14:textId="77777777" w:rsidR="00A47FB7" w:rsidRPr="00A47FB7" w:rsidRDefault="00A47FB7" w:rsidP="00D96BA2">
            <w:pPr>
              <w:rPr>
                <w:rFonts w:cs="Arial"/>
                <w:sz w:val="20"/>
                <w:szCs w:val="20"/>
              </w:rPr>
            </w:pPr>
            <w:r w:rsidRPr="00A47FB7">
              <w:rPr>
                <w:rFonts w:cs="Arial"/>
                <w:sz w:val="20"/>
                <w:szCs w:val="20"/>
              </w:rPr>
              <w:t>Structured Decision Making</w:t>
            </w:r>
          </w:p>
        </w:tc>
      </w:tr>
      <w:tr w:rsidR="00A47FB7" w:rsidRPr="00A47FB7" w14:paraId="6C60CDBC" w14:textId="77777777" w:rsidTr="00D96BA2">
        <w:trPr>
          <w:trHeight w:val="340"/>
        </w:trPr>
        <w:tc>
          <w:tcPr>
            <w:tcW w:w="1838" w:type="dxa"/>
            <w:vAlign w:val="center"/>
          </w:tcPr>
          <w:p w14:paraId="047AD9B2" w14:textId="77777777" w:rsidR="00A47FB7" w:rsidRPr="00A47FB7" w:rsidRDefault="00A47FB7" w:rsidP="00D96BA2">
            <w:pPr>
              <w:rPr>
                <w:rFonts w:cs="Arial"/>
                <w:sz w:val="20"/>
                <w:szCs w:val="20"/>
              </w:rPr>
            </w:pPr>
            <w:r w:rsidRPr="00A47FB7">
              <w:rPr>
                <w:rFonts w:cs="Arial"/>
                <w:sz w:val="20"/>
                <w:szCs w:val="20"/>
              </w:rPr>
              <w:t>SNAICC</w:t>
            </w:r>
          </w:p>
        </w:tc>
        <w:tc>
          <w:tcPr>
            <w:tcW w:w="7790" w:type="dxa"/>
            <w:vAlign w:val="center"/>
          </w:tcPr>
          <w:p w14:paraId="77FE2866" w14:textId="77777777" w:rsidR="00A47FB7" w:rsidRPr="00A47FB7" w:rsidRDefault="00A47FB7" w:rsidP="00D96BA2">
            <w:pPr>
              <w:rPr>
                <w:rFonts w:cs="Arial"/>
                <w:sz w:val="20"/>
                <w:szCs w:val="20"/>
              </w:rPr>
            </w:pPr>
            <w:r w:rsidRPr="00A47FB7">
              <w:rPr>
                <w:rFonts w:cs="Arial"/>
                <w:sz w:val="20"/>
                <w:szCs w:val="20"/>
              </w:rPr>
              <w:t>Secretariat of National Aboriginal and Islander Child Care</w:t>
            </w:r>
          </w:p>
        </w:tc>
      </w:tr>
      <w:tr w:rsidR="00A47FB7" w:rsidRPr="00A47FB7" w14:paraId="0DF3083C" w14:textId="77777777" w:rsidTr="00D96BA2">
        <w:trPr>
          <w:trHeight w:val="340"/>
        </w:trPr>
        <w:tc>
          <w:tcPr>
            <w:tcW w:w="1838" w:type="dxa"/>
            <w:vAlign w:val="center"/>
          </w:tcPr>
          <w:p w14:paraId="58C188BA" w14:textId="77777777" w:rsidR="00A47FB7" w:rsidRPr="00A47FB7" w:rsidRDefault="00A47FB7" w:rsidP="00D96BA2">
            <w:pPr>
              <w:rPr>
                <w:rFonts w:cs="Arial"/>
                <w:sz w:val="20"/>
                <w:szCs w:val="20"/>
              </w:rPr>
            </w:pPr>
            <w:r w:rsidRPr="00A47FB7">
              <w:rPr>
                <w:rFonts w:eastAsia="Times New Roman" w:cs="Arial"/>
                <w:color w:val="000000" w:themeColor="text1"/>
                <w:sz w:val="20"/>
                <w:szCs w:val="20"/>
                <w:lang w:eastAsia="en-AU"/>
              </w:rPr>
              <w:t>SQW</w:t>
            </w:r>
          </w:p>
        </w:tc>
        <w:tc>
          <w:tcPr>
            <w:tcW w:w="7790" w:type="dxa"/>
            <w:vAlign w:val="center"/>
          </w:tcPr>
          <w:p w14:paraId="13A722E9" w14:textId="77777777" w:rsidR="00A47FB7" w:rsidRPr="00A47FB7" w:rsidRDefault="00A47FB7" w:rsidP="00D96BA2">
            <w:pPr>
              <w:rPr>
                <w:rFonts w:cs="Arial"/>
                <w:sz w:val="20"/>
                <w:szCs w:val="20"/>
              </w:rPr>
            </w:pPr>
            <w:r w:rsidRPr="00A47FB7">
              <w:rPr>
                <w:rFonts w:cs="Arial"/>
                <w:sz w:val="20"/>
                <w:szCs w:val="20"/>
              </w:rPr>
              <w:t>Skilling Queenslanders for Work</w:t>
            </w:r>
          </w:p>
        </w:tc>
      </w:tr>
    </w:tbl>
    <w:p w14:paraId="02098715" w14:textId="1E2108F7" w:rsidR="00A47FB7" w:rsidRPr="004B4F24" w:rsidRDefault="00A47FB7" w:rsidP="00A42FB4">
      <w:pPr>
        <w:sectPr w:rsidR="00A47FB7" w:rsidRPr="004B4F24" w:rsidSect="009542BA">
          <w:headerReference w:type="even" r:id="rId15"/>
          <w:headerReference w:type="default" r:id="rId16"/>
          <w:footerReference w:type="even" r:id="rId17"/>
          <w:footerReference w:type="default" r:id="rId18"/>
          <w:headerReference w:type="first" r:id="rId19"/>
          <w:footerReference w:type="first" r:id="rId20"/>
          <w:pgSz w:w="11906" w:h="16838" w:code="9"/>
          <w:pgMar w:top="1985" w:right="1134" w:bottom="1134" w:left="1134" w:header="709" w:footer="567" w:gutter="0"/>
          <w:cols w:space="708"/>
          <w:docGrid w:linePitch="360"/>
        </w:sectPr>
      </w:pPr>
    </w:p>
    <w:p w14:paraId="6DCF1E5A" w14:textId="6F372241" w:rsidR="008E7763" w:rsidRPr="004B4F24" w:rsidRDefault="001E22BF" w:rsidP="00FB6919">
      <w:pPr>
        <w:pStyle w:val="Heading1"/>
      </w:pPr>
      <w:r w:rsidRPr="004B4F24">
        <w:lastRenderedPageBreak/>
        <w:t>Breaking Cycles 2023</w:t>
      </w:r>
      <w:r w:rsidR="00F73909">
        <w:t>–</w:t>
      </w:r>
      <w:r w:rsidR="00B62E42" w:rsidRPr="004B4F24">
        <w:t>20</w:t>
      </w:r>
      <w:r w:rsidRPr="004B4F24">
        <w:t>25 Actions</w:t>
      </w:r>
    </w:p>
    <w:p w14:paraId="251C2DDA" w14:textId="0F8DD73D" w:rsidR="00E317AF" w:rsidRPr="00A42FB4" w:rsidRDefault="00A607BD" w:rsidP="00A42FB4">
      <w:pPr>
        <w:rPr>
          <w:i/>
          <w:iCs/>
        </w:rPr>
      </w:pPr>
      <w:r w:rsidRPr="00A42FB4">
        <w:rPr>
          <w:b/>
          <w:bCs/>
          <w:i/>
          <w:iCs/>
        </w:rPr>
        <w:t>*</w:t>
      </w:r>
      <w:r w:rsidRPr="00A42FB4">
        <w:rPr>
          <w:i/>
          <w:iCs/>
        </w:rPr>
        <w:t xml:space="preserve">Please note the </w:t>
      </w:r>
      <w:r w:rsidR="00BD754D" w:rsidRPr="00A42FB4">
        <w:rPr>
          <w:i/>
          <w:iCs/>
        </w:rPr>
        <w:t>O</w:t>
      </w:r>
      <w:r w:rsidRPr="00A42FB4">
        <w:rPr>
          <w:i/>
          <w:iCs/>
        </w:rPr>
        <w:t>utcomes</w:t>
      </w:r>
      <w:r w:rsidR="00BD754D" w:rsidRPr="00A42FB4">
        <w:rPr>
          <w:i/>
          <w:iCs/>
        </w:rPr>
        <w:t xml:space="preserve">* </w:t>
      </w:r>
      <w:r w:rsidRPr="00A42FB4">
        <w:rPr>
          <w:i/>
          <w:iCs/>
        </w:rPr>
        <w:t xml:space="preserve">are derived from the </w:t>
      </w:r>
      <w:hyperlink r:id="rId21" w:history="1">
        <w:r w:rsidRPr="00A42FB4">
          <w:rPr>
            <w:rStyle w:val="Hyperlink"/>
            <w:i/>
            <w:iCs/>
          </w:rPr>
          <w:t>Our Way Breaking Cycles program</w:t>
        </w:r>
        <w:r w:rsidR="004B4F24" w:rsidRPr="00A42FB4">
          <w:rPr>
            <w:rStyle w:val="Hyperlink"/>
            <w:i/>
            <w:iCs/>
          </w:rPr>
          <w:t xml:space="preserve"> logic</w:t>
        </w:r>
      </w:hyperlink>
      <w:r w:rsidR="00C014BF" w:rsidRPr="00A42FB4">
        <w:rPr>
          <w:i/>
          <w:iCs/>
        </w:rPr>
        <w:t>.</w:t>
      </w:r>
      <w:r w:rsidR="00BD754D" w:rsidRPr="00A42FB4">
        <w:rPr>
          <w:i/>
          <w:iCs/>
        </w:rPr>
        <w:t xml:space="preserve"> </w:t>
      </w:r>
    </w:p>
    <w:tbl>
      <w:tblPr>
        <w:tblStyle w:val="TableGrid"/>
        <w:tblpPr w:leftFromText="180" w:rightFromText="180" w:vertAnchor="text" w:tblpY="1"/>
        <w:tblOverlap w:val="never"/>
        <w:tblW w:w="21408" w:type="dxa"/>
        <w:tblCellMar>
          <w:top w:w="28" w:type="dxa"/>
          <w:bottom w:w="28" w:type="dxa"/>
        </w:tblCellMar>
        <w:tblLook w:val="04A0" w:firstRow="1" w:lastRow="0" w:firstColumn="1" w:lastColumn="0" w:noHBand="0" w:noVBand="1"/>
      </w:tblPr>
      <w:tblGrid>
        <w:gridCol w:w="1847"/>
        <w:gridCol w:w="1928"/>
        <w:gridCol w:w="3061"/>
        <w:gridCol w:w="3685"/>
        <w:gridCol w:w="3118"/>
        <w:gridCol w:w="3685"/>
        <w:gridCol w:w="1627"/>
        <w:gridCol w:w="1197"/>
        <w:gridCol w:w="1260"/>
      </w:tblGrid>
      <w:tr w:rsidR="001044D2" w:rsidRPr="00E07195" w14:paraId="35FBFA07" w14:textId="33AD4AC1" w:rsidTr="25F521CE">
        <w:trPr>
          <w:tblHeader/>
        </w:trPr>
        <w:tc>
          <w:tcPr>
            <w:tcW w:w="1847" w:type="dxa"/>
            <w:tcBorders>
              <w:bottom w:val="single" w:sz="4" w:space="0" w:color="auto"/>
            </w:tcBorders>
            <w:shd w:val="clear" w:color="auto" w:fill="FBCCA5" w:themeFill="background2" w:themeFillTint="66"/>
          </w:tcPr>
          <w:p w14:paraId="29335C28" w14:textId="7772B86B" w:rsidR="003B666F" w:rsidRPr="00E07195" w:rsidRDefault="003B666F" w:rsidP="009252D5">
            <w:pPr>
              <w:pStyle w:val="TableHeadingLeft"/>
              <w:rPr>
                <w:rFonts w:cs="Arial"/>
                <w:szCs w:val="20"/>
              </w:rPr>
            </w:pPr>
            <w:r w:rsidRPr="00E07195">
              <w:rPr>
                <w:rFonts w:cs="Arial"/>
                <w:szCs w:val="20"/>
              </w:rPr>
              <w:t>Priority Area</w:t>
            </w:r>
          </w:p>
        </w:tc>
        <w:tc>
          <w:tcPr>
            <w:tcW w:w="1928" w:type="dxa"/>
            <w:tcBorders>
              <w:bottom w:val="single" w:sz="4" w:space="0" w:color="auto"/>
            </w:tcBorders>
            <w:shd w:val="clear" w:color="auto" w:fill="FBCCA5" w:themeFill="background2" w:themeFillTint="66"/>
          </w:tcPr>
          <w:p w14:paraId="3263304A" w14:textId="79C91F04" w:rsidR="003B666F" w:rsidRPr="00E07195" w:rsidRDefault="003B666F" w:rsidP="009542BA">
            <w:pPr>
              <w:pStyle w:val="TableHeadingLeft"/>
              <w:rPr>
                <w:rFonts w:cs="Arial"/>
                <w:szCs w:val="20"/>
              </w:rPr>
            </w:pPr>
            <w:r w:rsidRPr="00E07195">
              <w:rPr>
                <w:rFonts w:cs="Arial"/>
                <w:szCs w:val="20"/>
              </w:rPr>
              <w:t xml:space="preserve">Lead agency </w:t>
            </w:r>
            <w:r w:rsidRPr="00954710">
              <w:rPr>
                <w:rFonts w:cs="Arial"/>
                <w:b w:val="0"/>
                <w:bCs/>
                <w:szCs w:val="20"/>
              </w:rPr>
              <w:t xml:space="preserve">and </w:t>
            </w:r>
            <w:r w:rsidRPr="00E07195">
              <w:rPr>
                <w:rFonts w:cs="Arial"/>
                <w:b w:val="0"/>
                <w:szCs w:val="20"/>
              </w:rPr>
              <w:t>partners</w:t>
            </w:r>
          </w:p>
        </w:tc>
        <w:tc>
          <w:tcPr>
            <w:tcW w:w="3061" w:type="dxa"/>
            <w:tcBorders>
              <w:bottom w:val="single" w:sz="4" w:space="0" w:color="auto"/>
            </w:tcBorders>
            <w:shd w:val="clear" w:color="auto" w:fill="FBCCA5" w:themeFill="background2" w:themeFillTint="66"/>
          </w:tcPr>
          <w:p w14:paraId="224064D8" w14:textId="6896FF10" w:rsidR="003B666F" w:rsidRPr="00E07195" w:rsidRDefault="003B666F" w:rsidP="009542BA">
            <w:pPr>
              <w:pStyle w:val="TableHeadingLeft"/>
              <w:rPr>
                <w:rFonts w:cs="Arial"/>
                <w:szCs w:val="20"/>
              </w:rPr>
            </w:pPr>
            <w:r w:rsidRPr="00E07195">
              <w:rPr>
                <w:rFonts w:cs="Arial"/>
                <w:szCs w:val="20"/>
              </w:rPr>
              <w:t>Proposed Actions</w:t>
            </w:r>
          </w:p>
        </w:tc>
        <w:tc>
          <w:tcPr>
            <w:tcW w:w="3685" w:type="dxa"/>
            <w:tcBorders>
              <w:bottom w:val="single" w:sz="4" w:space="0" w:color="auto"/>
            </w:tcBorders>
            <w:shd w:val="clear" w:color="auto" w:fill="FBCCA5" w:themeFill="background2" w:themeFillTint="66"/>
          </w:tcPr>
          <w:p w14:paraId="1B6983C5" w14:textId="2679FB1F" w:rsidR="003B666F" w:rsidRPr="00E07195" w:rsidRDefault="003B666F" w:rsidP="009542BA">
            <w:pPr>
              <w:pStyle w:val="TableHeadingLeft"/>
              <w:rPr>
                <w:rFonts w:cs="Arial"/>
                <w:szCs w:val="20"/>
              </w:rPr>
            </w:pPr>
            <w:r w:rsidRPr="00E07195">
              <w:rPr>
                <w:rFonts w:cs="Arial"/>
                <w:szCs w:val="20"/>
              </w:rPr>
              <w:t>Deliverables (D) and Success Indicators (SI)</w:t>
            </w:r>
          </w:p>
        </w:tc>
        <w:tc>
          <w:tcPr>
            <w:tcW w:w="3118" w:type="dxa"/>
            <w:tcBorders>
              <w:bottom w:val="single" w:sz="4" w:space="0" w:color="auto"/>
            </w:tcBorders>
            <w:shd w:val="clear" w:color="auto" w:fill="FBCCA5" w:themeFill="background2" w:themeFillTint="66"/>
          </w:tcPr>
          <w:p w14:paraId="39F0D31D" w14:textId="695C3DAF" w:rsidR="003B666F" w:rsidRPr="00BA48EF" w:rsidRDefault="003B666F" w:rsidP="007C1C61">
            <w:pPr>
              <w:pStyle w:val="TableTextLeft"/>
              <w:rPr>
                <w:rFonts w:cs="Arial"/>
                <w:b/>
                <w:bCs/>
                <w:szCs w:val="20"/>
              </w:rPr>
            </w:pPr>
            <w:r w:rsidRPr="00BA48EF">
              <w:rPr>
                <w:rFonts w:cs="Arial"/>
                <w:b/>
                <w:bCs/>
                <w:szCs w:val="20"/>
              </w:rPr>
              <w:t>Outcomes (O)*</w:t>
            </w:r>
          </w:p>
        </w:tc>
        <w:tc>
          <w:tcPr>
            <w:tcW w:w="3685" w:type="dxa"/>
            <w:tcBorders>
              <w:bottom w:val="single" w:sz="4" w:space="0" w:color="auto"/>
            </w:tcBorders>
            <w:shd w:val="clear" w:color="auto" w:fill="FBCCA5" w:themeFill="background2" w:themeFillTint="66"/>
          </w:tcPr>
          <w:p w14:paraId="66DFE25D" w14:textId="48EE41A5" w:rsidR="003B666F" w:rsidRPr="00E07195" w:rsidRDefault="003B666F" w:rsidP="009542BA">
            <w:pPr>
              <w:pStyle w:val="TableHeadingLeft"/>
              <w:rPr>
                <w:rFonts w:cs="Arial"/>
                <w:szCs w:val="20"/>
              </w:rPr>
            </w:pPr>
            <w:r w:rsidRPr="00E07195">
              <w:rPr>
                <w:rFonts w:cs="Arial"/>
                <w:szCs w:val="20"/>
              </w:rPr>
              <w:t>Rationale</w:t>
            </w:r>
          </w:p>
        </w:tc>
        <w:tc>
          <w:tcPr>
            <w:tcW w:w="1627" w:type="dxa"/>
            <w:tcBorders>
              <w:bottom w:val="single" w:sz="4" w:space="0" w:color="auto"/>
            </w:tcBorders>
            <w:shd w:val="clear" w:color="auto" w:fill="FBCCA5" w:themeFill="background2" w:themeFillTint="66"/>
          </w:tcPr>
          <w:p w14:paraId="3314585C" w14:textId="505C7442" w:rsidR="003B666F" w:rsidRPr="00E07195" w:rsidRDefault="003B666F" w:rsidP="009542BA">
            <w:pPr>
              <w:pStyle w:val="TableHeadingLeft"/>
              <w:rPr>
                <w:rFonts w:cs="Arial"/>
                <w:szCs w:val="20"/>
              </w:rPr>
            </w:pPr>
            <w:r w:rsidRPr="00E07195">
              <w:rPr>
                <w:rFonts w:cs="Arial"/>
                <w:szCs w:val="20"/>
              </w:rPr>
              <w:t>Family Matters Building Blocks</w:t>
            </w:r>
          </w:p>
        </w:tc>
        <w:tc>
          <w:tcPr>
            <w:tcW w:w="1197" w:type="dxa"/>
            <w:tcBorders>
              <w:bottom w:val="single" w:sz="4" w:space="0" w:color="auto"/>
            </w:tcBorders>
            <w:shd w:val="clear" w:color="auto" w:fill="FBCCA5" w:themeFill="background2" w:themeFillTint="66"/>
          </w:tcPr>
          <w:p w14:paraId="287AF2A9" w14:textId="7EA583DA" w:rsidR="003B666F" w:rsidRPr="00E07195" w:rsidRDefault="003B666F" w:rsidP="009542BA">
            <w:pPr>
              <w:pStyle w:val="TableHeadingLeft"/>
              <w:rPr>
                <w:rFonts w:cs="Arial"/>
                <w:szCs w:val="20"/>
              </w:rPr>
            </w:pPr>
            <w:r w:rsidRPr="00E07195">
              <w:rPr>
                <w:rFonts w:cs="Arial"/>
                <w:szCs w:val="20"/>
              </w:rPr>
              <w:t xml:space="preserve">Closing the Gap </w:t>
            </w:r>
            <w:r w:rsidR="00954710">
              <w:rPr>
                <w:rFonts w:cs="Arial"/>
                <w:szCs w:val="20"/>
              </w:rPr>
              <w:t>p</w:t>
            </w:r>
            <w:r w:rsidRPr="00E07195">
              <w:rPr>
                <w:rFonts w:cs="Arial"/>
                <w:szCs w:val="20"/>
              </w:rPr>
              <w:t xml:space="preserve">riority </w:t>
            </w:r>
            <w:r w:rsidR="00954710">
              <w:rPr>
                <w:rFonts w:cs="Arial"/>
                <w:szCs w:val="20"/>
              </w:rPr>
              <w:t>r</w:t>
            </w:r>
            <w:r w:rsidRPr="00E07195">
              <w:rPr>
                <w:rFonts w:cs="Arial"/>
                <w:szCs w:val="20"/>
              </w:rPr>
              <w:t>eforms</w:t>
            </w:r>
          </w:p>
        </w:tc>
        <w:tc>
          <w:tcPr>
            <w:tcW w:w="1260" w:type="dxa"/>
            <w:tcBorders>
              <w:bottom w:val="single" w:sz="4" w:space="0" w:color="auto"/>
            </w:tcBorders>
            <w:shd w:val="clear" w:color="auto" w:fill="FBCCA5" w:themeFill="background2" w:themeFillTint="66"/>
          </w:tcPr>
          <w:p w14:paraId="1A1992E6" w14:textId="79355D3C" w:rsidR="003B666F" w:rsidRPr="00E07195" w:rsidRDefault="003B666F" w:rsidP="009542BA">
            <w:pPr>
              <w:pStyle w:val="TableHeadingLeft"/>
              <w:rPr>
                <w:rFonts w:cs="Arial"/>
                <w:szCs w:val="20"/>
              </w:rPr>
            </w:pPr>
            <w:r w:rsidRPr="00E07195">
              <w:rPr>
                <w:rFonts w:cs="Arial"/>
                <w:szCs w:val="20"/>
              </w:rPr>
              <w:t xml:space="preserve">Safe </w:t>
            </w:r>
            <w:r w:rsidR="00D06EF0" w:rsidRPr="00E07195">
              <w:rPr>
                <w:rFonts w:cs="Arial"/>
                <w:szCs w:val="20"/>
              </w:rPr>
              <w:t>and</w:t>
            </w:r>
            <w:r w:rsidRPr="00E07195">
              <w:rPr>
                <w:rFonts w:cs="Arial"/>
                <w:szCs w:val="20"/>
              </w:rPr>
              <w:t xml:space="preserve"> Supported </w:t>
            </w:r>
            <w:r w:rsidR="00954710">
              <w:rPr>
                <w:rFonts w:cs="Arial"/>
                <w:szCs w:val="20"/>
              </w:rPr>
              <w:t>a</w:t>
            </w:r>
            <w:r w:rsidRPr="00E07195">
              <w:rPr>
                <w:rFonts w:cs="Arial"/>
                <w:szCs w:val="20"/>
              </w:rPr>
              <w:t xml:space="preserve">ction </w:t>
            </w:r>
            <w:r w:rsidR="00954710">
              <w:rPr>
                <w:rFonts w:cs="Arial"/>
                <w:szCs w:val="20"/>
              </w:rPr>
              <w:t>p</w:t>
            </w:r>
            <w:r w:rsidRPr="00E07195">
              <w:rPr>
                <w:rFonts w:cs="Arial"/>
                <w:szCs w:val="20"/>
              </w:rPr>
              <w:t>lan</w:t>
            </w:r>
          </w:p>
        </w:tc>
      </w:tr>
      <w:tr w:rsidR="00F73909" w:rsidRPr="00E07195" w14:paraId="217381BE" w14:textId="233C1A64" w:rsidTr="25F521CE">
        <w:tc>
          <w:tcPr>
            <w:tcW w:w="1847" w:type="dxa"/>
            <w:vMerge w:val="restart"/>
            <w:tcBorders>
              <w:top w:val="single" w:sz="4" w:space="0" w:color="auto"/>
            </w:tcBorders>
            <w:shd w:val="clear" w:color="auto" w:fill="FBCCA5" w:themeFill="background2" w:themeFillTint="66"/>
          </w:tcPr>
          <w:p w14:paraId="1EB3BC21" w14:textId="07E33FB5" w:rsidR="003B666F" w:rsidRPr="00E07195" w:rsidRDefault="003B666F" w:rsidP="009252D5">
            <w:pPr>
              <w:pStyle w:val="TableHeadingLeft"/>
              <w:rPr>
                <w:rFonts w:cs="Arial"/>
                <w:szCs w:val="20"/>
              </w:rPr>
            </w:pPr>
            <w:r w:rsidRPr="00E07195">
              <w:rPr>
                <w:rFonts w:cs="Arial"/>
                <w:szCs w:val="20"/>
              </w:rPr>
              <w:t>1:</w:t>
            </w:r>
            <w:r w:rsidR="00A42FB4" w:rsidRPr="00E07195">
              <w:rPr>
                <w:rFonts w:cs="Arial"/>
                <w:szCs w:val="20"/>
              </w:rPr>
              <w:t xml:space="preserve"> </w:t>
            </w:r>
            <w:r w:rsidRPr="00E07195">
              <w:rPr>
                <w:rFonts w:cs="Arial"/>
                <w:szCs w:val="20"/>
              </w:rPr>
              <w:t>Transformative systems change</w:t>
            </w:r>
          </w:p>
        </w:tc>
        <w:tc>
          <w:tcPr>
            <w:tcW w:w="1928" w:type="dxa"/>
            <w:tcBorders>
              <w:top w:val="single" w:sz="4" w:space="0" w:color="auto"/>
            </w:tcBorders>
          </w:tcPr>
          <w:p w14:paraId="7CED4325" w14:textId="5BBBCD3C" w:rsidR="00C36A63" w:rsidRPr="00106869" w:rsidRDefault="003B666F" w:rsidP="009252D5">
            <w:pPr>
              <w:pStyle w:val="TableTextLeft"/>
              <w:rPr>
                <w:rFonts w:cs="Arial"/>
                <w:b/>
                <w:bCs/>
                <w:szCs w:val="20"/>
              </w:rPr>
            </w:pPr>
            <w:r w:rsidRPr="00106869">
              <w:rPr>
                <w:rFonts w:cs="Arial"/>
                <w:b/>
                <w:bCs/>
                <w:szCs w:val="20"/>
              </w:rPr>
              <w:t>DC</w:t>
            </w:r>
            <w:r w:rsidR="00515BB6" w:rsidRPr="00106869">
              <w:rPr>
                <w:rFonts w:cs="Arial"/>
                <w:b/>
                <w:bCs/>
                <w:szCs w:val="20"/>
              </w:rPr>
              <w:t>SSDS</w:t>
            </w:r>
          </w:p>
          <w:p w14:paraId="2947D09A" w14:textId="77777777" w:rsidR="00106869" w:rsidRDefault="00106869" w:rsidP="009252D5">
            <w:pPr>
              <w:pStyle w:val="TableTextLeft"/>
              <w:rPr>
                <w:rFonts w:cs="Arial"/>
                <w:szCs w:val="20"/>
              </w:rPr>
            </w:pPr>
          </w:p>
          <w:p w14:paraId="36309E58" w14:textId="5D2E2FD7" w:rsidR="00C36A63" w:rsidRPr="00E07195" w:rsidRDefault="00BB20B5" w:rsidP="009252D5">
            <w:pPr>
              <w:pStyle w:val="TableTextLeft"/>
              <w:rPr>
                <w:rFonts w:cs="Arial"/>
                <w:szCs w:val="20"/>
              </w:rPr>
            </w:pPr>
            <w:r w:rsidRPr="00E07195">
              <w:rPr>
                <w:rFonts w:cs="Arial"/>
                <w:szCs w:val="20"/>
              </w:rPr>
              <w:t xml:space="preserve">DTATSIPCA </w:t>
            </w:r>
            <w:r w:rsidR="003B666F" w:rsidRPr="00E07195">
              <w:rPr>
                <w:rFonts w:cs="Arial"/>
                <w:szCs w:val="20"/>
              </w:rPr>
              <w:t>QFCFB</w:t>
            </w:r>
          </w:p>
          <w:p w14:paraId="6DC76CCF" w14:textId="7A3CE28D" w:rsidR="00C36A63" w:rsidRPr="00E07195" w:rsidRDefault="003B666F" w:rsidP="009252D5">
            <w:pPr>
              <w:pStyle w:val="TableTextLeft"/>
              <w:rPr>
                <w:rFonts w:cs="Arial"/>
                <w:szCs w:val="20"/>
              </w:rPr>
            </w:pPr>
            <w:r w:rsidRPr="00E07195">
              <w:rPr>
                <w:rFonts w:cs="Arial"/>
                <w:szCs w:val="20"/>
              </w:rPr>
              <w:t>QATSICPP</w:t>
            </w:r>
          </w:p>
          <w:p w14:paraId="5B4984CC" w14:textId="37262DC2" w:rsidR="00C36A63" w:rsidRPr="00E07195" w:rsidRDefault="003B666F" w:rsidP="009252D5">
            <w:pPr>
              <w:pStyle w:val="TableTextLeft"/>
              <w:rPr>
                <w:rFonts w:cs="Arial"/>
                <w:szCs w:val="20"/>
              </w:rPr>
            </w:pPr>
            <w:r w:rsidRPr="00E07195">
              <w:rPr>
                <w:rFonts w:cs="Arial"/>
                <w:szCs w:val="20"/>
              </w:rPr>
              <w:t>FMQ</w:t>
            </w:r>
          </w:p>
          <w:p w14:paraId="704512CE" w14:textId="6BE9260D" w:rsidR="003B666F" w:rsidRPr="00B7120C" w:rsidRDefault="003B666F" w:rsidP="00B7120C">
            <w:pPr>
              <w:rPr>
                <w:rFonts w:cs="Arial"/>
                <w:sz w:val="20"/>
                <w:szCs w:val="20"/>
              </w:rPr>
            </w:pPr>
          </w:p>
        </w:tc>
        <w:tc>
          <w:tcPr>
            <w:tcW w:w="3061" w:type="dxa"/>
            <w:tcBorders>
              <w:top w:val="single" w:sz="4" w:space="0" w:color="auto"/>
            </w:tcBorders>
          </w:tcPr>
          <w:p w14:paraId="03F5BF86" w14:textId="6CCEF4B2" w:rsidR="005B1D42" w:rsidRPr="00D91396" w:rsidRDefault="00DA18C6" w:rsidP="005B1D42">
            <w:pPr>
              <w:pStyle w:val="TableTextLeft"/>
            </w:pPr>
            <w:r w:rsidRPr="00D91396">
              <w:rPr>
                <w:b/>
                <w:bCs/>
              </w:rPr>
              <w:t>1.1</w:t>
            </w:r>
            <w:r w:rsidRPr="00D91396">
              <w:t xml:space="preserve"> Negotiate</w:t>
            </w:r>
            <w:r w:rsidR="005B1D42" w:rsidRPr="00D91396">
              <w:t xml:space="preserve"> a </w:t>
            </w:r>
            <w:r w:rsidRPr="00D91396">
              <w:t>formal partnership</w:t>
            </w:r>
            <w:r w:rsidR="005B1D42" w:rsidRPr="00D91396">
              <w:t xml:space="preserve"> agreement between </w:t>
            </w:r>
            <w:r w:rsidR="005B1D42">
              <w:t>DCSSDS</w:t>
            </w:r>
            <w:r w:rsidR="005B1D42" w:rsidRPr="00D91396">
              <w:t>, D</w:t>
            </w:r>
            <w:r w:rsidR="005B1D42">
              <w:t>TATSIPCA</w:t>
            </w:r>
            <w:r w:rsidR="005B1D42" w:rsidRPr="00D91396">
              <w:t xml:space="preserve">, QFCFB, QATSICPP and FMQ to support implementation and oversight of </w:t>
            </w:r>
            <w:r w:rsidR="005B1D42" w:rsidRPr="00F866BC">
              <w:rPr>
                <w:i/>
                <w:iCs/>
              </w:rPr>
              <w:t>Breaking</w:t>
            </w:r>
            <w:r w:rsidR="005B1D42" w:rsidRPr="00D91396">
              <w:t xml:space="preserve"> </w:t>
            </w:r>
            <w:r w:rsidR="005B1D42" w:rsidRPr="00F866BC">
              <w:rPr>
                <w:i/>
                <w:iCs/>
              </w:rPr>
              <w:t>Cycles</w:t>
            </w:r>
            <w:r w:rsidR="005B1D42" w:rsidRPr="00D91396">
              <w:t xml:space="preserve">, the second implementation phase of the </w:t>
            </w:r>
            <w:r w:rsidR="005B1D42" w:rsidRPr="00D91396">
              <w:rPr>
                <w:i/>
                <w:iCs/>
              </w:rPr>
              <w:t>Our Way</w:t>
            </w:r>
            <w:r w:rsidR="005B1D42" w:rsidRPr="00D91396">
              <w:t xml:space="preserve"> strategy. </w:t>
            </w:r>
          </w:p>
          <w:p w14:paraId="088FB428" w14:textId="77777777" w:rsidR="00573CFD" w:rsidRDefault="00573CFD" w:rsidP="009252D5">
            <w:pPr>
              <w:pStyle w:val="TableTextLeft"/>
              <w:rPr>
                <w:rFonts w:cs="Arial"/>
                <w:b/>
                <w:bCs/>
                <w:szCs w:val="20"/>
              </w:rPr>
            </w:pPr>
          </w:p>
          <w:p w14:paraId="7641D96A" w14:textId="4C9DEB88" w:rsidR="003B666F" w:rsidRPr="00E07195" w:rsidRDefault="003B666F" w:rsidP="009252D5">
            <w:pPr>
              <w:pStyle w:val="TableTextLeft"/>
              <w:rPr>
                <w:rFonts w:cs="Arial"/>
                <w:szCs w:val="20"/>
              </w:rPr>
            </w:pPr>
            <w:r w:rsidRPr="00E07195">
              <w:rPr>
                <w:rFonts w:cs="Arial"/>
                <w:b/>
                <w:bCs/>
                <w:szCs w:val="20"/>
              </w:rPr>
              <w:t>Timing:</w:t>
            </w:r>
            <w:r w:rsidRPr="00E07195">
              <w:rPr>
                <w:rFonts w:cs="Arial"/>
                <w:szCs w:val="20"/>
              </w:rPr>
              <w:t xml:space="preserve">  Year 1</w:t>
            </w:r>
            <w:r w:rsidR="00B30B45">
              <w:rPr>
                <w:rFonts w:cs="Arial"/>
                <w:szCs w:val="20"/>
              </w:rPr>
              <w:t xml:space="preserve"> and</w:t>
            </w:r>
            <w:r w:rsidR="00044A94">
              <w:rPr>
                <w:rFonts w:cs="Arial"/>
                <w:szCs w:val="20"/>
              </w:rPr>
              <w:t xml:space="preserve"> </w:t>
            </w:r>
            <w:r w:rsidRPr="00E07195">
              <w:rPr>
                <w:rFonts w:cs="Arial"/>
                <w:szCs w:val="20"/>
              </w:rPr>
              <w:t>2 (2023</w:t>
            </w:r>
            <w:r w:rsidR="00044A94">
              <w:rPr>
                <w:rFonts w:eastAsia="Calibri"/>
              </w:rPr>
              <w:t>–</w:t>
            </w:r>
            <w:r w:rsidRPr="00E07195">
              <w:rPr>
                <w:rFonts w:cs="Arial"/>
                <w:szCs w:val="20"/>
              </w:rPr>
              <w:t>24)</w:t>
            </w:r>
          </w:p>
          <w:p w14:paraId="24EF5A5B" w14:textId="3CB1E0FF" w:rsidR="003B666F" w:rsidRPr="00E07195" w:rsidRDefault="003B666F" w:rsidP="009252D5">
            <w:pPr>
              <w:pStyle w:val="TableTextLeft"/>
              <w:rPr>
                <w:rFonts w:cs="Arial"/>
                <w:szCs w:val="20"/>
              </w:rPr>
            </w:pPr>
            <w:r w:rsidRPr="00E07195">
              <w:rPr>
                <w:rFonts w:cs="Arial"/>
                <w:szCs w:val="20"/>
              </w:rPr>
              <w:t>*Ongoing implementation over the course of Breaking Cycles (2023</w:t>
            </w:r>
            <w:r w:rsidR="00044A94">
              <w:rPr>
                <w:rFonts w:eastAsia="Calibri"/>
              </w:rPr>
              <w:t>–</w:t>
            </w:r>
            <w:r w:rsidRPr="00E07195">
              <w:rPr>
                <w:rFonts w:cs="Arial"/>
                <w:szCs w:val="20"/>
              </w:rPr>
              <w:t>2031)</w:t>
            </w:r>
          </w:p>
        </w:tc>
        <w:tc>
          <w:tcPr>
            <w:tcW w:w="3685" w:type="dxa"/>
            <w:tcBorders>
              <w:top w:val="single" w:sz="4" w:space="0" w:color="auto"/>
            </w:tcBorders>
          </w:tcPr>
          <w:p w14:paraId="2379355D" w14:textId="2B719E79" w:rsidR="003B666F" w:rsidRPr="00E07195" w:rsidRDefault="003B666F" w:rsidP="009252D5">
            <w:pPr>
              <w:pStyle w:val="TableTextLeft"/>
              <w:rPr>
                <w:rFonts w:cs="Arial"/>
                <w:szCs w:val="20"/>
              </w:rPr>
            </w:pPr>
            <w:r w:rsidRPr="00E07195">
              <w:rPr>
                <w:rFonts w:cs="Arial"/>
                <w:b/>
                <w:bCs/>
                <w:szCs w:val="20"/>
              </w:rPr>
              <w:t>D:</w:t>
            </w:r>
            <w:r w:rsidRPr="00E07195">
              <w:rPr>
                <w:rFonts w:cs="Arial"/>
                <w:szCs w:val="20"/>
              </w:rPr>
              <w:t xml:space="preserve">  Formal partnership agreement between the</w:t>
            </w:r>
            <w:r w:rsidR="00466465" w:rsidRPr="00E07195">
              <w:rPr>
                <w:rFonts w:cs="Arial"/>
                <w:szCs w:val="20"/>
              </w:rPr>
              <w:t xml:space="preserve"> </w:t>
            </w:r>
            <w:r w:rsidR="00DA18C6" w:rsidRPr="00E07195">
              <w:rPr>
                <w:rFonts w:cs="Arial"/>
                <w:szCs w:val="20"/>
              </w:rPr>
              <w:t>DCSSDS, DTATSIPCA</w:t>
            </w:r>
            <w:r w:rsidR="0016174A" w:rsidRPr="00E07195">
              <w:rPr>
                <w:rFonts w:cs="Arial"/>
                <w:szCs w:val="20"/>
              </w:rPr>
              <w:t>,</w:t>
            </w:r>
            <w:r w:rsidRPr="00E07195">
              <w:rPr>
                <w:rFonts w:cs="Arial"/>
                <w:szCs w:val="20"/>
              </w:rPr>
              <w:t xml:space="preserve"> </w:t>
            </w:r>
            <w:r w:rsidR="00A86E7D" w:rsidRPr="00E07195">
              <w:rPr>
                <w:rFonts w:cs="Arial"/>
                <w:szCs w:val="20"/>
              </w:rPr>
              <w:t>QFCFB, QATSICPP and FMQ</w:t>
            </w:r>
            <w:r w:rsidRPr="00E07195">
              <w:rPr>
                <w:rFonts w:cs="Arial"/>
                <w:szCs w:val="20"/>
              </w:rPr>
              <w:t>, including each parties’ obligations and accountabilities at the state, regional and local levels, and consistent with the:</w:t>
            </w:r>
          </w:p>
          <w:p w14:paraId="676BD2EB" w14:textId="42BAB295" w:rsidR="003B666F" w:rsidRPr="00E07195" w:rsidRDefault="003B666F" w:rsidP="000A7F4D">
            <w:pPr>
              <w:pStyle w:val="TableTextLeft"/>
              <w:numPr>
                <w:ilvl w:val="0"/>
                <w:numId w:val="7"/>
              </w:numPr>
              <w:rPr>
                <w:rFonts w:cs="Arial"/>
                <w:szCs w:val="20"/>
              </w:rPr>
            </w:pPr>
            <w:r w:rsidRPr="00E07195">
              <w:rPr>
                <w:rFonts w:cs="Arial"/>
                <w:szCs w:val="20"/>
              </w:rPr>
              <w:t>strong partnership elements contained in the National Agreement on Closing the Gap (clauses 32-33)</w:t>
            </w:r>
          </w:p>
          <w:p w14:paraId="7B71B650" w14:textId="2A5C82FE" w:rsidR="003B666F" w:rsidRPr="00E07195" w:rsidRDefault="003B666F" w:rsidP="000A7F4D">
            <w:pPr>
              <w:pStyle w:val="TableTextLeft"/>
              <w:numPr>
                <w:ilvl w:val="0"/>
                <w:numId w:val="7"/>
              </w:numPr>
              <w:rPr>
                <w:rFonts w:cs="Arial"/>
                <w:szCs w:val="20"/>
              </w:rPr>
            </w:pPr>
            <w:r w:rsidRPr="00E07195">
              <w:rPr>
                <w:rFonts w:cs="Arial"/>
                <w:szCs w:val="20"/>
              </w:rPr>
              <w:t>principles and framework outlined in the SNAICC Guide to Genuine Partnerships</w:t>
            </w:r>
            <w:r w:rsidR="006337D8" w:rsidRPr="00E07195">
              <w:rPr>
                <w:rFonts w:cs="Arial"/>
                <w:szCs w:val="20"/>
              </w:rPr>
              <w:t>.</w:t>
            </w:r>
          </w:p>
          <w:p w14:paraId="0A2C3CE5" w14:textId="77777777" w:rsidR="00B7120C" w:rsidRDefault="00B7120C" w:rsidP="009252D5">
            <w:pPr>
              <w:pStyle w:val="TableTextLeft"/>
              <w:rPr>
                <w:rFonts w:cs="Arial"/>
                <w:b/>
                <w:bCs/>
                <w:szCs w:val="20"/>
              </w:rPr>
            </w:pPr>
          </w:p>
          <w:p w14:paraId="293DDD9F" w14:textId="76287C0F" w:rsidR="2B2AC87B" w:rsidRPr="00E07195" w:rsidRDefault="2041E5B6" w:rsidP="009252D5">
            <w:pPr>
              <w:pStyle w:val="TableTextLeft"/>
              <w:rPr>
                <w:rFonts w:cs="Arial"/>
                <w:szCs w:val="20"/>
              </w:rPr>
            </w:pPr>
            <w:r w:rsidRPr="00E07195">
              <w:rPr>
                <w:rFonts w:cs="Arial"/>
                <w:b/>
                <w:bCs/>
                <w:szCs w:val="20"/>
              </w:rPr>
              <w:t>SI:</w:t>
            </w:r>
            <w:r w:rsidRPr="00E07195">
              <w:rPr>
                <w:rFonts w:cs="Arial"/>
                <w:szCs w:val="20"/>
              </w:rPr>
              <w:t xml:space="preserve"> The partnership agreement meets the Close the Gap standard for </w:t>
            </w:r>
            <w:r w:rsidR="006337D8" w:rsidRPr="00E07195">
              <w:rPr>
                <w:rFonts w:cs="Arial"/>
                <w:szCs w:val="20"/>
              </w:rPr>
              <w:t>s</w:t>
            </w:r>
            <w:r w:rsidRPr="00E07195">
              <w:rPr>
                <w:rFonts w:cs="Arial"/>
                <w:szCs w:val="20"/>
              </w:rPr>
              <w:t>trong p</w:t>
            </w:r>
            <w:r w:rsidR="46520A93" w:rsidRPr="00E07195">
              <w:rPr>
                <w:rFonts w:cs="Arial"/>
                <w:szCs w:val="20"/>
              </w:rPr>
              <w:t>artnership elements</w:t>
            </w:r>
            <w:r w:rsidR="006337D8" w:rsidRPr="00E07195">
              <w:rPr>
                <w:rFonts w:cs="Arial"/>
                <w:szCs w:val="20"/>
              </w:rPr>
              <w:t>.</w:t>
            </w:r>
          </w:p>
          <w:p w14:paraId="09CF87B4" w14:textId="508AA307" w:rsidR="003B666F" w:rsidRPr="00E07195" w:rsidRDefault="003B666F" w:rsidP="009252D5">
            <w:pPr>
              <w:pStyle w:val="TableTextLeft"/>
              <w:rPr>
                <w:rFonts w:cs="Arial"/>
                <w:szCs w:val="20"/>
              </w:rPr>
            </w:pPr>
            <w:r w:rsidRPr="00E07195">
              <w:rPr>
                <w:rFonts w:cs="Arial"/>
                <w:b/>
                <w:bCs/>
                <w:szCs w:val="20"/>
              </w:rPr>
              <w:t>SI:</w:t>
            </w:r>
            <w:r w:rsidRPr="00E07195">
              <w:rPr>
                <w:rFonts w:cs="Arial"/>
                <w:szCs w:val="20"/>
              </w:rPr>
              <w:t xml:space="preserve"> Other Queensland Government agencies commit to negotiate </w:t>
            </w:r>
            <w:r w:rsidR="6559A32D" w:rsidRPr="00E07195">
              <w:rPr>
                <w:rFonts w:cs="Arial"/>
                <w:szCs w:val="20"/>
              </w:rPr>
              <w:t xml:space="preserve">or join the </w:t>
            </w:r>
            <w:r w:rsidRPr="00E07195">
              <w:rPr>
                <w:rFonts w:cs="Arial"/>
                <w:szCs w:val="20"/>
              </w:rPr>
              <w:t>partnership agreement in future Breaking Cycles action plans</w:t>
            </w:r>
            <w:r w:rsidR="006337D8" w:rsidRPr="00E07195">
              <w:rPr>
                <w:rFonts w:cs="Arial"/>
                <w:szCs w:val="20"/>
              </w:rPr>
              <w:t>.</w:t>
            </w:r>
          </w:p>
          <w:p w14:paraId="0D6A0FBB" w14:textId="5D53EF96" w:rsidR="003B666F" w:rsidRPr="00E07195" w:rsidRDefault="50F5106C" w:rsidP="009252D5">
            <w:pPr>
              <w:pStyle w:val="TableTextLeft"/>
              <w:rPr>
                <w:rFonts w:cs="Arial"/>
                <w:szCs w:val="20"/>
              </w:rPr>
            </w:pPr>
            <w:r w:rsidRPr="00E07195">
              <w:rPr>
                <w:rFonts w:cs="Arial"/>
                <w:b/>
                <w:bCs/>
                <w:szCs w:val="20"/>
              </w:rPr>
              <w:t xml:space="preserve">SI: </w:t>
            </w:r>
            <w:r w:rsidRPr="00E07195">
              <w:rPr>
                <w:rFonts w:cs="Arial"/>
                <w:szCs w:val="20"/>
              </w:rPr>
              <w:t>Active participation by Queensland Government agencies in the O</w:t>
            </w:r>
            <w:r w:rsidR="00755D81" w:rsidRPr="00E07195">
              <w:rPr>
                <w:rFonts w:cs="Arial"/>
                <w:szCs w:val="20"/>
              </w:rPr>
              <w:t xml:space="preserve">ur </w:t>
            </w:r>
            <w:r w:rsidRPr="00E07195">
              <w:rPr>
                <w:rFonts w:cs="Arial"/>
                <w:szCs w:val="20"/>
              </w:rPr>
              <w:t>W</w:t>
            </w:r>
            <w:r w:rsidR="00755D81" w:rsidRPr="00E07195">
              <w:rPr>
                <w:rFonts w:cs="Arial"/>
                <w:szCs w:val="20"/>
              </w:rPr>
              <w:t>ay</w:t>
            </w:r>
            <w:r w:rsidRPr="00E07195">
              <w:rPr>
                <w:rFonts w:cs="Arial"/>
                <w:szCs w:val="20"/>
              </w:rPr>
              <w:t xml:space="preserve"> </w:t>
            </w:r>
            <w:r w:rsidR="00755D81" w:rsidRPr="00E07195">
              <w:rPr>
                <w:rFonts w:cs="Arial"/>
                <w:szCs w:val="20"/>
              </w:rPr>
              <w:t xml:space="preserve">Interagency </w:t>
            </w:r>
            <w:r w:rsidRPr="00E07195">
              <w:rPr>
                <w:rFonts w:cs="Arial"/>
                <w:szCs w:val="20"/>
              </w:rPr>
              <w:t>S</w:t>
            </w:r>
            <w:r w:rsidR="00755D81" w:rsidRPr="00E07195">
              <w:rPr>
                <w:rFonts w:cs="Arial"/>
                <w:szCs w:val="20"/>
              </w:rPr>
              <w:t xml:space="preserve">trategic </w:t>
            </w:r>
            <w:r w:rsidRPr="00E07195">
              <w:rPr>
                <w:rFonts w:cs="Arial"/>
                <w:szCs w:val="20"/>
              </w:rPr>
              <w:t>P</w:t>
            </w:r>
            <w:r w:rsidR="00755D81" w:rsidRPr="00E07195">
              <w:rPr>
                <w:rFonts w:cs="Arial"/>
                <w:szCs w:val="20"/>
              </w:rPr>
              <w:t>artnership (Deputy Directors-General)</w:t>
            </w:r>
            <w:r w:rsidRPr="00E07195">
              <w:rPr>
                <w:rFonts w:cs="Arial"/>
                <w:szCs w:val="20"/>
              </w:rPr>
              <w:t xml:space="preserve"> and </w:t>
            </w:r>
            <w:r w:rsidR="00AC6E33" w:rsidRPr="00E07195">
              <w:rPr>
                <w:rFonts w:cs="Arial"/>
                <w:szCs w:val="20"/>
              </w:rPr>
              <w:t>engagement with the</w:t>
            </w:r>
            <w:r w:rsidRPr="00E07195">
              <w:rPr>
                <w:rFonts w:cs="Arial"/>
                <w:szCs w:val="20"/>
              </w:rPr>
              <w:t xml:space="preserve"> QFCFB</w:t>
            </w:r>
            <w:r w:rsidR="006337D8" w:rsidRPr="00E07195">
              <w:rPr>
                <w:rFonts w:cs="Arial"/>
                <w:szCs w:val="20"/>
              </w:rPr>
              <w:t>.</w:t>
            </w:r>
          </w:p>
        </w:tc>
        <w:tc>
          <w:tcPr>
            <w:tcW w:w="3118" w:type="dxa"/>
            <w:tcBorders>
              <w:top w:val="single" w:sz="4" w:space="0" w:color="auto"/>
            </w:tcBorders>
          </w:tcPr>
          <w:p w14:paraId="62977B4D" w14:textId="03CC13D9" w:rsidR="003B666F" w:rsidRPr="007C1C61" w:rsidRDefault="003B666F" w:rsidP="009252D5">
            <w:pPr>
              <w:pStyle w:val="TableTextLeft"/>
              <w:rPr>
                <w:rFonts w:cs="Arial"/>
                <w:szCs w:val="20"/>
              </w:rPr>
            </w:pPr>
            <w:r w:rsidRPr="008F737E">
              <w:rPr>
                <w:rFonts w:cs="Arial"/>
                <w:b/>
                <w:bCs/>
                <w:szCs w:val="20"/>
              </w:rPr>
              <w:t>O:</w:t>
            </w:r>
            <w:r w:rsidRPr="007C1C61">
              <w:rPr>
                <w:rFonts w:cs="Arial"/>
                <w:szCs w:val="20"/>
              </w:rPr>
              <w:t xml:space="preserve">  Strengthened accountability mechanisms at all levels to ensure the service needs of Aboriginal and Torres Strait Islander peoples are met</w:t>
            </w:r>
            <w:r w:rsidR="006337D8" w:rsidRPr="007C1C61">
              <w:rPr>
                <w:rFonts w:cs="Arial"/>
                <w:szCs w:val="20"/>
              </w:rPr>
              <w:t>.</w:t>
            </w:r>
          </w:p>
          <w:p w14:paraId="5A2C69A8" w14:textId="4A5A62B3" w:rsidR="003B666F" w:rsidRPr="007C1C61" w:rsidRDefault="003B666F" w:rsidP="009252D5">
            <w:pPr>
              <w:pStyle w:val="TableTextLeft"/>
              <w:rPr>
                <w:rFonts w:cs="Arial"/>
                <w:szCs w:val="20"/>
              </w:rPr>
            </w:pPr>
            <w:r w:rsidRPr="008F737E">
              <w:rPr>
                <w:rFonts w:cs="Arial"/>
                <w:b/>
                <w:bCs/>
                <w:szCs w:val="20"/>
              </w:rPr>
              <w:t>O:</w:t>
            </w:r>
            <w:r w:rsidRPr="007C1C61">
              <w:rPr>
                <w:rFonts w:cs="Arial"/>
                <w:szCs w:val="20"/>
              </w:rPr>
              <w:t xml:space="preserve">  All government agencies and service providers change governance arrangements to reflect the genuine partnership with the community and </w:t>
            </w:r>
            <w:r w:rsidR="006337D8" w:rsidRPr="007C1C61">
              <w:rPr>
                <w:rFonts w:cs="Arial"/>
                <w:szCs w:val="20"/>
              </w:rPr>
              <w:t>the</w:t>
            </w:r>
            <w:r w:rsidRPr="007C1C61">
              <w:rPr>
                <w:rFonts w:cs="Arial"/>
                <w:szCs w:val="20"/>
              </w:rPr>
              <w:t xml:space="preserve"> </w:t>
            </w:r>
            <w:r w:rsidR="006337D8" w:rsidRPr="007C1C61">
              <w:rPr>
                <w:rFonts w:cs="Arial"/>
                <w:szCs w:val="20"/>
              </w:rPr>
              <w:t xml:space="preserve">ATSICCO </w:t>
            </w:r>
            <w:r w:rsidRPr="007C1C61">
              <w:rPr>
                <w:rFonts w:cs="Arial"/>
                <w:szCs w:val="20"/>
              </w:rPr>
              <w:t>sector</w:t>
            </w:r>
            <w:r w:rsidR="006337D8" w:rsidRPr="007C1C61">
              <w:rPr>
                <w:rFonts w:cs="Arial"/>
                <w:szCs w:val="20"/>
              </w:rPr>
              <w:t>.</w:t>
            </w:r>
          </w:p>
          <w:p w14:paraId="3BC3287A" w14:textId="5A5A66DF" w:rsidR="003B666F" w:rsidRPr="007C1C61" w:rsidRDefault="003B666F" w:rsidP="009252D5">
            <w:pPr>
              <w:pStyle w:val="TableTextLeft"/>
              <w:rPr>
                <w:rFonts w:cs="Arial"/>
                <w:szCs w:val="20"/>
              </w:rPr>
            </w:pPr>
            <w:r w:rsidRPr="008F737E">
              <w:rPr>
                <w:rFonts w:cs="Arial"/>
                <w:b/>
                <w:bCs/>
                <w:szCs w:val="20"/>
              </w:rPr>
              <w:t>O:</w:t>
            </w:r>
            <w:r w:rsidRPr="007C1C61">
              <w:rPr>
                <w:rFonts w:cs="Arial"/>
                <w:szCs w:val="20"/>
              </w:rPr>
              <w:t xml:space="preserve">  All government agencies and service providers understand their roles and the shared responsibility to achieve the objectives of </w:t>
            </w:r>
            <w:r w:rsidRPr="00BC3793">
              <w:rPr>
                <w:rFonts w:cs="Arial"/>
                <w:i/>
                <w:iCs/>
                <w:szCs w:val="20"/>
              </w:rPr>
              <w:t>Our Way</w:t>
            </w:r>
            <w:r w:rsidR="006337D8" w:rsidRPr="007C1C61">
              <w:rPr>
                <w:rFonts w:cs="Arial"/>
                <w:szCs w:val="20"/>
              </w:rPr>
              <w:t>.</w:t>
            </w:r>
          </w:p>
          <w:p w14:paraId="38EA3507" w14:textId="21EEE046" w:rsidR="003B666F" w:rsidRPr="007C1C61" w:rsidRDefault="003B666F" w:rsidP="009252D5">
            <w:pPr>
              <w:pStyle w:val="TableTextLeft"/>
              <w:rPr>
                <w:rFonts w:cs="Arial"/>
                <w:szCs w:val="20"/>
              </w:rPr>
            </w:pPr>
            <w:r w:rsidRPr="008F737E">
              <w:rPr>
                <w:rFonts w:cs="Arial"/>
                <w:b/>
                <w:bCs/>
                <w:szCs w:val="20"/>
              </w:rPr>
              <w:t>O:</w:t>
            </w:r>
            <w:r w:rsidRPr="007C1C61">
              <w:rPr>
                <w:rFonts w:cs="Arial"/>
                <w:szCs w:val="20"/>
              </w:rPr>
              <w:t xml:space="preserve">  All government agencies and service providers elevate Indigenous voice, leadership and governance in its strategic planning, policy development and practice</w:t>
            </w:r>
            <w:r w:rsidR="006337D8" w:rsidRPr="007C1C61">
              <w:rPr>
                <w:rFonts w:cs="Arial"/>
                <w:szCs w:val="20"/>
              </w:rPr>
              <w:t>.</w:t>
            </w:r>
          </w:p>
        </w:tc>
        <w:tc>
          <w:tcPr>
            <w:tcW w:w="3685" w:type="dxa"/>
            <w:tcBorders>
              <w:top w:val="single" w:sz="4" w:space="0" w:color="auto"/>
            </w:tcBorders>
          </w:tcPr>
          <w:p w14:paraId="6BCE592B" w14:textId="242D79EC" w:rsidR="003B666F" w:rsidRDefault="003B666F" w:rsidP="009252D5">
            <w:pPr>
              <w:pStyle w:val="TableTextLeft"/>
              <w:rPr>
                <w:rFonts w:cs="Arial"/>
                <w:szCs w:val="20"/>
              </w:rPr>
            </w:pPr>
            <w:r w:rsidRPr="00E07195">
              <w:rPr>
                <w:rFonts w:cs="Arial"/>
                <w:szCs w:val="20"/>
              </w:rPr>
              <w:t xml:space="preserve">Genuine and respectful partnerships between governments and Aboriginal and Torres Strait Islander peoples enable self-determination and are critical to the success of the </w:t>
            </w:r>
            <w:r w:rsidRPr="00E07195">
              <w:rPr>
                <w:rFonts w:cs="Arial"/>
                <w:i/>
                <w:iCs/>
                <w:szCs w:val="20"/>
              </w:rPr>
              <w:t>Our Way</w:t>
            </w:r>
            <w:r w:rsidRPr="00E07195">
              <w:rPr>
                <w:rFonts w:cs="Arial"/>
                <w:szCs w:val="20"/>
              </w:rPr>
              <w:t xml:space="preserve"> strategy and Breaking Cycles action plans.</w:t>
            </w:r>
          </w:p>
          <w:p w14:paraId="7FAB0FCC" w14:textId="77777777" w:rsidR="00290577" w:rsidRPr="00E07195" w:rsidRDefault="00290577" w:rsidP="009252D5">
            <w:pPr>
              <w:pStyle w:val="TableTextLeft"/>
              <w:rPr>
                <w:rFonts w:cs="Arial"/>
                <w:szCs w:val="20"/>
              </w:rPr>
            </w:pPr>
          </w:p>
          <w:p w14:paraId="0C011AF3" w14:textId="7903462A" w:rsidR="003B666F" w:rsidRPr="00E07195" w:rsidRDefault="003B666F" w:rsidP="009252D5">
            <w:pPr>
              <w:pStyle w:val="TableTextLeft"/>
              <w:rPr>
                <w:rFonts w:cs="Arial"/>
                <w:szCs w:val="20"/>
              </w:rPr>
            </w:pPr>
            <w:r w:rsidRPr="00E07195">
              <w:rPr>
                <w:rFonts w:cs="Arial"/>
                <w:szCs w:val="20"/>
              </w:rPr>
              <w:t xml:space="preserve">As we enter the next implementation phase of </w:t>
            </w:r>
            <w:r w:rsidRPr="00E07195">
              <w:rPr>
                <w:rFonts w:cs="Arial"/>
                <w:i/>
                <w:iCs/>
                <w:szCs w:val="20"/>
              </w:rPr>
              <w:t>Our Way</w:t>
            </w:r>
            <w:r w:rsidRPr="00E07195">
              <w:rPr>
                <w:rFonts w:cs="Arial"/>
                <w:szCs w:val="20"/>
              </w:rPr>
              <w:t>, it is timely to review the partnership.</w:t>
            </w:r>
          </w:p>
        </w:tc>
        <w:tc>
          <w:tcPr>
            <w:tcW w:w="1627" w:type="dxa"/>
            <w:tcBorders>
              <w:top w:val="single" w:sz="4" w:space="0" w:color="auto"/>
            </w:tcBorders>
          </w:tcPr>
          <w:p w14:paraId="116DED52" w14:textId="0EDD57F5" w:rsidR="009C22DB" w:rsidRPr="00E07195" w:rsidRDefault="006F21BA" w:rsidP="001367C4">
            <w:pPr>
              <w:pStyle w:val="TableTextLeft"/>
              <w:rPr>
                <w:rFonts w:cs="Arial"/>
                <w:szCs w:val="20"/>
              </w:rPr>
            </w:pPr>
            <w:r w:rsidRPr="00E07195">
              <w:rPr>
                <w:rFonts w:cs="Arial"/>
                <w:noProof/>
                <w:szCs w:val="20"/>
              </w:rPr>
              <w:drawing>
                <wp:inline distT="0" distB="0" distL="0" distR="0" wp14:anchorId="71EF5787" wp14:editId="0720B56F">
                  <wp:extent cx="340408" cy="333375"/>
                  <wp:effectExtent l="0" t="0" r="2540" b="0"/>
                  <wp:docPr id="3" name="Picture 3" descr="Building block two - Aboriginal and Torres Strait Islander peoples and organisations participate in and have control over decisions that affect their children  &#10;&#1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uilding block two - Aboriginal and Torres Strait Islander peoples and organisations participate in and have control over decisions that affect their children  &#10;&#10;B"/>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5371" cy="338235"/>
                          </a:xfrm>
                          <a:prstGeom prst="rect">
                            <a:avLst/>
                          </a:prstGeom>
                        </pic:spPr>
                      </pic:pic>
                    </a:graphicData>
                  </a:graphic>
                </wp:inline>
              </w:drawing>
            </w:r>
          </w:p>
          <w:p w14:paraId="02EC18FE" w14:textId="5377DD35" w:rsidR="006F21BA" w:rsidRPr="00E07195" w:rsidRDefault="006F21BA" w:rsidP="001367C4">
            <w:pPr>
              <w:pStyle w:val="TableTextLeft"/>
              <w:rPr>
                <w:rFonts w:cs="Arial"/>
                <w:szCs w:val="20"/>
              </w:rPr>
            </w:pPr>
            <w:r w:rsidRPr="00E07195">
              <w:rPr>
                <w:rFonts w:cs="Arial"/>
                <w:noProof/>
                <w:szCs w:val="20"/>
              </w:rPr>
              <w:drawing>
                <wp:inline distT="0" distB="0" distL="0" distR="0" wp14:anchorId="386E2DB8" wp14:editId="2DD5E43E">
                  <wp:extent cx="365640" cy="352425"/>
                  <wp:effectExtent l="0" t="0" r="0" b="0"/>
                  <wp:docPr id="27" name="Picture 27" descr="Building block four - Governments and services are accountable to Aboriginal and Torres Strait Islander peop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Building block four - Governments and services are accountable to Aboriginal and Torres Strait Islander peoples&#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5106" cy="361549"/>
                          </a:xfrm>
                          <a:prstGeom prst="rect">
                            <a:avLst/>
                          </a:prstGeom>
                        </pic:spPr>
                      </pic:pic>
                    </a:graphicData>
                  </a:graphic>
                </wp:inline>
              </w:drawing>
            </w:r>
          </w:p>
          <w:p w14:paraId="54C16C33" w14:textId="0CD526A8" w:rsidR="009C22DB" w:rsidRPr="00E07195" w:rsidRDefault="009C22DB" w:rsidP="009252D5">
            <w:pPr>
              <w:pStyle w:val="TableTextLeft"/>
              <w:rPr>
                <w:rFonts w:cs="Arial"/>
                <w:szCs w:val="20"/>
              </w:rPr>
            </w:pPr>
          </w:p>
          <w:p w14:paraId="30C1A12F" w14:textId="5262D9CB" w:rsidR="003B666F" w:rsidRPr="00E07195" w:rsidRDefault="003B666F" w:rsidP="009252D5">
            <w:pPr>
              <w:pStyle w:val="TableTextLeft"/>
              <w:rPr>
                <w:rFonts w:cs="Arial"/>
                <w:szCs w:val="20"/>
              </w:rPr>
            </w:pPr>
          </w:p>
        </w:tc>
        <w:tc>
          <w:tcPr>
            <w:tcW w:w="1197" w:type="dxa"/>
            <w:tcBorders>
              <w:top w:val="single" w:sz="4" w:space="0" w:color="auto"/>
            </w:tcBorders>
          </w:tcPr>
          <w:p w14:paraId="3DC00B60" w14:textId="21420FAF" w:rsidR="003B666F" w:rsidRPr="00453A57" w:rsidRDefault="00834955" w:rsidP="00453A57">
            <w:pPr>
              <w:pStyle w:val="TableTextLeft"/>
              <w:jc w:val="center"/>
              <w:rPr>
                <w:rFonts w:cs="Arial"/>
                <w:b/>
                <w:bCs/>
                <w:sz w:val="32"/>
                <w:szCs w:val="32"/>
              </w:rPr>
            </w:pPr>
            <w:r w:rsidRPr="00453A57">
              <w:rPr>
                <w:rFonts w:cs="Arial"/>
                <w:b/>
                <w:bCs/>
                <w:sz w:val="32"/>
                <w:szCs w:val="32"/>
                <w:shd w:val="clear" w:color="auto" w:fill="FFFFFF"/>
              </w:rPr>
              <w:t>1</w:t>
            </w:r>
          </w:p>
        </w:tc>
        <w:tc>
          <w:tcPr>
            <w:tcW w:w="1260" w:type="dxa"/>
            <w:tcBorders>
              <w:top w:val="single" w:sz="4" w:space="0" w:color="auto"/>
            </w:tcBorders>
          </w:tcPr>
          <w:p w14:paraId="53CD3236" w14:textId="01846A3A" w:rsidR="003B666F" w:rsidRPr="00453A57" w:rsidRDefault="00C22CDE" w:rsidP="00453A57">
            <w:pPr>
              <w:pStyle w:val="TableTextLeft"/>
              <w:jc w:val="center"/>
              <w:rPr>
                <w:rFonts w:cs="Arial"/>
                <w:b/>
                <w:bCs/>
                <w:sz w:val="32"/>
                <w:szCs w:val="32"/>
              </w:rPr>
            </w:pPr>
            <w:r>
              <w:rPr>
                <w:rFonts w:cs="Arial"/>
                <w:b/>
                <w:bCs/>
                <w:sz w:val="32"/>
                <w:szCs w:val="32"/>
              </w:rPr>
              <w:t>8</w:t>
            </w:r>
          </w:p>
        </w:tc>
      </w:tr>
      <w:tr w:rsidR="009252D5" w:rsidRPr="00E07195" w14:paraId="02C536CF" w14:textId="12AA7109" w:rsidTr="25F521CE">
        <w:trPr>
          <w:trHeight w:val="300"/>
        </w:trPr>
        <w:tc>
          <w:tcPr>
            <w:tcW w:w="1847" w:type="dxa"/>
            <w:vMerge/>
          </w:tcPr>
          <w:p w14:paraId="28E47E38" w14:textId="77777777" w:rsidR="003B666F" w:rsidRPr="00E07195" w:rsidRDefault="003B666F" w:rsidP="009252D5">
            <w:pPr>
              <w:pStyle w:val="TableHeadingLeft"/>
              <w:rPr>
                <w:rFonts w:cs="Arial"/>
                <w:szCs w:val="20"/>
              </w:rPr>
            </w:pPr>
          </w:p>
        </w:tc>
        <w:tc>
          <w:tcPr>
            <w:tcW w:w="1928" w:type="dxa"/>
          </w:tcPr>
          <w:p w14:paraId="0D061CDF" w14:textId="77777777" w:rsidR="00466465" w:rsidRPr="00E07195" w:rsidRDefault="00466465" w:rsidP="009252D5">
            <w:pPr>
              <w:pStyle w:val="TableTextLeft"/>
              <w:rPr>
                <w:rFonts w:cs="Arial"/>
                <w:b/>
                <w:bCs/>
                <w:szCs w:val="20"/>
              </w:rPr>
            </w:pPr>
            <w:r w:rsidRPr="00E07195">
              <w:rPr>
                <w:rFonts w:cs="Arial"/>
                <w:b/>
                <w:bCs/>
                <w:szCs w:val="20"/>
              </w:rPr>
              <w:t xml:space="preserve">DCSSDS </w:t>
            </w:r>
          </w:p>
          <w:p w14:paraId="721782BD" w14:textId="77777777" w:rsidR="00466465" w:rsidRPr="00E07195" w:rsidRDefault="00466465" w:rsidP="009252D5">
            <w:pPr>
              <w:pStyle w:val="TableTextLeft"/>
              <w:rPr>
                <w:rFonts w:cs="Arial"/>
                <w:szCs w:val="20"/>
              </w:rPr>
            </w:pPr>
          </w:p>
          <w:p w14:paraId="06530369" w14:textId="3E8E3F19" w:rsidR="003B666F" w:rsidRPr="00E07195" w:rsidRDefault="003B666F" w:rsidP="009252D5">
            <w:pPr>
              <w:pStyle w:val="TableTextLeft"/>
              <w:rPr>
                <w:rFonts w:cs="Arial"/>
                <w:szCs w:val="20"/>
              </w:rPr>
            </w:pPr>
            <w:r w:rsidRPr="00E07195">
              <w:rPr>
                <w:rFonts w:cs="Arial"/>
                <w:szCs w:val="20"/>
              </w:rPr>
              <w:t>QFCFB</w:t>
            </w:r>
          </w:p>
          <w:p w14:paraId="60CAE250" w14:textId="26D3D311" w:rsidR="003B666F" w:rsidRPr="00E07195" w:rsidRDefault="003B666F" w:rsidP="009252D5">
            <w:pPr>
              <w:pStyle w:val="TableTextLeft"/>
              <w:rPr>
                <w:rFonts w:cs="Arial"/>
                <w:szCs w:val="20"/>
              </w:rPr>
            </w:pPr>
            <w:r w:rsidRPr="00E07195">
              <w:rPr>
                <w:rFonts w:cs="Arial"/>
                <w:szCs w:val="20"/>
              </w:rPr>
              <w:t>QATSICPP</w:t>
            </w:r>
          </w:p>
        </w:tc>
        <w:tc>
          <w:tcPr>
            <w:tcW w:w="3061" w:type="dxa"/>
          </w:tcPr>
          <w:p w14:paraId="5221D1BD" w14:textId="4AE78B4A" w:rsidR="00573CFD" w:rsidRDefault="00DA18C6" w:rsidP="009252D5">
            <w:pPr>
              <w:pStyle w:val="TableTextLeft"/>
            </w:pPr>
            <w:r w:rsidRPr="00D91396">
              <w:rPr>
                <w:b/>
                <w:bCs/>
              </w:rPr>
              <w:t>1.2</w:t>
            </w:r>
            <w:r w:rsidRPr="00D91396">
              <w:t xml:space="preserve"> Develop</w:t>
            </w:r>
            <w:r w:rsidR="005B1D42" w:rsidRPr="00D91396">
              <w:t xml:space="preserve"> and implement an overarching change management strategy to drive the systems and cultural change within government necessary to achieve reform of the child protection system.</w:t>
            </w:r>
          </w:p>
          <w:p w14:paraId="3150C2E7" w14:textId="77777777" w:rsidR="005B1D42" w:rsidRDefault="005B1D42" w:rsidP="009252D5">
            <w:pPr>
              <w:pStyle w:val="TableTextLeft"/>
              <w:rPr>
                <w:rFonts w:cs="Arial"/>
                <w:b/>
                <w:bCs/>
                <w:szCs w:val="20"/>
              </w:rPr>
            </w:pPr>
          </w:p>
          <w:p w14:paraId="7BEEA59E" w14:textId="0BFF09A6" w:rsidR="003B666F" w:rsidRPr="00E07195" w:rsidRDefault="003B666F" w:rsidP="009252D5">
            <w:pPr>
              <w:pStyle w:val="TableTextLeft"/>
              <w:rPr>
                <w:rFonts w:cs="Arial"/>
                <w:szCs w:val="20"/>
              </w:rPr>
            </w:pPr>
            <w:r w:rsidRPr="00E07195">
              <w:rPr>
                <w:rFonts w:cs="Arial"/>
                <w:b/>
                <w:bCs/>
                <w:szCs w:val="20"/>
              </w:rPr>
              <w:t>Timing:</w:t>
            </w:r>
            <w:r w:rsidRPr="00E07195">
              <w:rPr>
                <w:rFonts w:cs="Arial"/>
                <w:szCs w:val="20"/>
              </w:rPr>
              <w:t xml:space="preserve">  Year 1 (2023)</w:t>
            </w:r>
          </w:p>
          <w:p w14:paraId="62590B33" w14:textId="0F115AE6" w:rsidR="003B666F" w:rsidRPr="00E07195" w:rsidRDefault="003B666F" w:rsidP="009252D5">
            <w:pPr>
              <w:pStyle w:val="TableTextLeft"/>
              <w:rPr>
                <w:rFonts w:cs="Arial"/>
                <w:szCs w:val="20"/>
              </w:rPr>
            </w:pPr>
            <w:r w:rsidRPr="00E07195">
              <w:rPr>
                <w:rFonts w:cs="Arial"/>
                <w:szCs w:val="20"/>
              </w:rPr>
              <w:t>*Ongoing implementation over the course of Breaking Cycles (2023</w:t>
            </w:r>
            <w:r w:rsidR="00044A94">
              <w:rPr>
                <w:rFonts w:eastAsia="Calibri"/>
              </w:rPr>
              <w:t>–</w:t>
            </w:r>
            <w:r w:rsidRPr="00E07195">
              <w:rPr>
                <w:rFonts w:cs="Arial"/>
                <w:szCs w:val="20"/>
              </w:rPr>
              <w:t>2031)</w:t>
            </w:r>
          </w:p>
        </w:tc>
        <w:tc>
          <w:tcPr>
            <w:tcW w:w="3685" w:type="dxa"/>
          </w:tcPr>
          <w:p w14:paraId="2C20AF07" w14:textId="3225F85A" w:rsidR="003B666F" w:rsidRPr="00E07195" w:rsidRDefault="003B666F" w:rsidP="009252D5">
            <w:pPr>
              <w:pStyle w:val="TableTextLeft"/>
              <w:rPr>
                <w:rFonts w:cs="Arial"/>
                <w:szCs w:val="20"/>
              </w:rPr>
            </w:pPr>
            <w:r w:rsidRPr="00E07195">
              <w:rPr>
                <w:rFonts w:cs="Arial"/>
                <w:b/>
                <w:bCs/>
                <w:szCs w:val="20"/>
              </w:rPr>
              <w:t>D:</w:t>
            </w:r>
            <w:r w:rsidRPr="00E07195">
              <w:rPr>
                <w:rFonts w:cs="Arial"/>
                <w:szCs w:val="20"/>
              </w:rPr>
              <w:t xml:space="preserve">  Long-term strategic reform plan </w:t>
            </w:r>
            <w:r w:rsidR="00131A1E" w:rsidRPr="00E07195">
              <w:rPr>
                <w:rFonts w:cs="Arial"/>
                <w:szCs w:val="20"/>
              </w:rPr>
              <w:t xml:space="preserve">which identifies </w:t>
            </w:r>
            <w:r w:rsidR="00DA18C6" w:rsidRPr="00E07195">
              <w:rPr>
                <w:rFonts w:cs="Arial"/>
                <w:szCs w:val="20"/>
              </w:rPr>
              <w:t>how DCSSDS</w:t>
            </w:r>
            <w:r w:rsidR="00466465" w:rsidRPr="00E07195">
              <w:rPr>
                <w:rFonts w:cs="Arial"/>
                <w:szCs w:val="20"/>
              </w:rPr>
              <w:t xml:space="preserve"> </w:t>
            </w:r>
            <w:r w:rsidR="00131A1E" w:rsidRPr="00E07195">
              <w:rPr>
                <w:rFonts w:cs="Arial"/>
                <w:szCs w:val="20"/>
              </w:rPr>
              <w:t xml:space="preserve">will </w:t>
            </w:r>
            <w:r w:rsidRPr="00E07195">
              <w:rPr>
                <w:rFonts w:cs="Arial"/>
                <w:szCs w:val="20"/>
              </w:rPr>
              <w:t xml:space="preserve">support systems and cultural change within government and ensure commitments under Breaking Cycles are achieved, co-designed with </w:t>
            </w:r>
            <w:proofErr w:type="gramStart"/>
            <w:r w:rsidRPr="00E07195">
              <w:rPr>
                <w:rFonts w:cs="Arial"/>
                <w:szCs w:val="20"/>
              </w:rPr>
              <w:t>QATSICPP</w:t>
            </w:r>
            <w:proofErr w:type="gramEnd"/>
            <w:r w:rsidRPr="00E07195">
              <w:rPr>
                <w:rFonts w:cs="Arial"/>
                <w:szCs w:val="20"/>
              </w:rPr>
              <w:t xml:space="preserve"> and taking into consideration plans to: </w:t>
            </w:r>
          </w:p>
          <w:p w14:paraId="62118C4A" w14:textId="3C5499A5" w:rsidR="003B666F" w:rsidRPr="00E07195" w:rsidRDefault="003B666F" w:rsidP="000A7F4D">
            <w:pPr>
              <w:pStyle w:val="TableTextLeft"/>
              <w:numPr>
                <w:ilvl w:val="0"/>
                <w:numId w:val="8"/>
              </w:numPr>
              <w:rPr>
                <w:rFonts w:cs="Arial"/>
                <w:szCs w:val="20"/>
              </w:rPr>
            </w:pPr>
            <w:r w:rsidRPr="00E07195">
              <w:rPr>
                <w:rFonts w:cs="Arial"/>
                <w:szCs w:val="20"/>
              </w:rPr>
              <w:t xml:space="preserve">improve </w:t>
            </w:r>
            <w:r w:rsidR="1B37D2CF" w:rsidRPr="00E07195">
              <w:rPr>
                <w:rFonts w:cs="Arial"/>
                <w:szCs w:val="20"/>
              </w:rPr>
              <w:t xml:space="preserve">the </w:t>
            </w:r>
            <w:r w:rsidRPr="00E07195">
              <w:rPr>
                <w:rFonts w:cs="Arial"/>
                <w:szCs w:val="20"/>
              </w:rPr>
              <w:t>cultural</w:t>
            </w:r>
            <w:r w:rsidR="1B37D2CF" w:rsidRPr="00E07195">
              <w:rPr>
                <w:rFonts w:cs="Arial"/>
                <w:szCs w:val="20"/>
              </w:rPr>
              <w:t xml:space="preserve"> </w:t>
            </w:r>
            <w:r w:rsidR="585CBC59" w:rsidRPr="00E07195">
              <w:rPr>
                <w:rFonts w:cs="Arial"/>
                <w:szCs w:val="20"/>
              </w:rPr>
              <w:t>safety</w:t>
            </w:r>
            <w:r w:rsidR="1B37D2CF" w:rsidRPr="00E07195">
              <w:rPr>
                <w:rFonts w:cs="Arial"/>
                <w:szCs w:val="20"/>
              </w:rPr>
              <w:t xml:space="preserve"> and</w:t>
            </w:r>
            <w:r w:rsidRPr="00E07195">
              <w:rPr>
                <w:rFonts w:cs="Arial"/>
                <w:szCs w:val="20"/>
              </w:rPr>
              <w:t xml:space="preserve"> responsive</w:t>
            </w:r>
            <w:r w:rsidR="1B37D2CF" w:rsidRPr="00E07195">
              <w:rPr>
                <w:rFonts w:cs="Arial"/>
                <w:szCs w:val="20"/>
              </w:rPr>
              <w:t>ness of</w:t>
            </w:r>
            <w:r w:rsidRPr="00E07195">
              <w:rPr>
                <w:rFonts w:cs="Arial"/>
                <w:szCs w:val="20"/>
              </w:rPr>
              <w:t xml:space="preserve"> decision</w:t>
            </w:r>
            <w:r w:rsidR="00E453E1">
              <w:rPr>
                <w:rFonts w:cs="Arial"/>
                <w:szCs w:val="20"/>
              </w:rPr>
              <w:t>-</w:t>
            </w:r>
            <w:r w:rsidRPr="00E07195">
              <w:rPr>
                <w:rFonts w:cs="Arial"/>
                <w:szCs w:val="20"/>
              </w:rPr>
              <w:t xml:space="preserve">making across the child protection </w:t>
            </w:r>
            <w:proofErr w:type="gramStart"/>
            <w:r w:rsidRPr="00E07195">
              <w:rPr>
                <w:rFonts w:cs="Arial"/>
                <w:szCs w:val="20"/>
              </w:rPr>
              <w:t>continuum</w:t>
            </w:r>
            <w:proofErr w:type="gramEnd"/>
          </w:p>
          <w:p w14:paraId="3BEF8ED0" w14:textId="27D8EF3D" w:rsidR="003B666F" w:rsidRPr="00E07195" w:rsidRDefault="003B666F" w:rsidP="000A7F4D">
            <w:pPr>
              <w:pStyle w:val="TableTextLeft"/>
              <w:numPr>
                <w:ilvl w:val="0"/>
                <w:numId w:val="8"/>
              </w:numPr>
              <w:rPr>
                <w:rFonts w:cs="Arial"/>
                <w:szCs w:val="20"/>
              </w:rPr>
            </w:pPr>
            <w:r w:rsidRPr="00E07195">
              <w:rPr>
                <w:rFonts w:cs="Arial"/>
                <w:szCs w:val="20"/>
              </w:rPr>
              <w:t>transition investment to the ATSICCO sector within 10years</w:t>
            </w:r>
          </w:p>
          <w:p w14:paraId="1621CB79" w14:textId="348ACBB1" w:rsidR="003B666F" w:rsidRPr="00E07195" w:rsidRDefault="003B666F" w:rsidP="000A7F4D">
            <w:pPr>
              <w:pStyle w:val="TableTextLeft"/>
              <w:numPr>
                <w:ilvl w:val="0"/>
                <w:numId w:val="8"/>
              </w:numPr>
              <w:rPr>
                <w:rFonts w:cs="Arial"/>
                <w:szCs w:val="20"/>
              </w:rPr>
            </w:pPr>
            <w:r w:rsidRPr="00E07195">
              <w:rPr>
                <w:rFonts w:cs="Arial"/>
                <w:szCs w:val="20"/>
              </w:rPr>
              <w:t xml:space="preserve">expand access to prevention and early </w:t>
            </w:r>
            <w:proofErr w:type="gramStart"/>
            <w:r w:rsidRPr="00E07195">
              <w:rPr>
                <w:rFonts w:cs="Arial"/>
                <w:szCs w:val="20"/>
              </w:rPr>
              <w:t>intervention</w:t>
            </w:r>
            <w:proofErr w:type="gramEnd"/>
          </w:p>
          <w:p w14:paraId="6269BB2C" w14:textId="78178395" w:rsidR="003B666F" w:rsidRPr="00E07195" w:rsidRDefault="003B666F" w:rsidP="000A7F4D">
            <w:pPr>
              <w:pStyle w:val="TableTextLeft"/>
              <w:numPr>
                <w:ilvl w:val="0"/>
                <w:numId w:val="8"/>
              </w:numPr>
              <w:rPr>
                <w:rFonts w:cs="Arial"/>
                <w:szCs w:val="20"/>
              </w:rPr>
            </w:pPr>
            <w:r w:rsidRPr="00E07195">
              <w:rPr>
                <w:rFonts w:cs="Arial"/>
                <w:szCs w:val="20"/>
              </w:rPr>
              <w:lastRenderedPageBreak/>
              <w:t xml:space="preserve">scale up </w:t>
            </w:r>
            <w:r w:rsidR="00044A94">
              <w:rPr>
                <w:rFonts w:cs="Arial"/>
                <w:szCs w:val="20"/>
              </w:rPr>
              <w:t>d</w:t>
            </w:r>
            <w:r w:rsidRPr="00E07195">
              <w:rPr>
                <w:rFonts w:cs="Arial"/>
                <w:szCs w:val="20"/>
              </w:rPr>
              <w:t xml:space="preserve">elegated </w:t>
            </w:r>
            <w:r w:rsidR="00044A94">
              <w:rPr>
                <w:rFonts w:cs="Arial"/>
                <w:szCs w:val="20"/>
              </w:rPr>
              <w:t>a</w:t>
            </w:r>
            <w:r w:rsidRPr="00E07195">
              <w:rPr>
                <w:rFonts w:cs="Arial"/>
                <w:szCs w:val="20"/>
              </w:rPr>
              <w:t>uthority and the Family Participation Program</w:t>
            </w:r>
            <w:r w:rsidR="009C71C5" w:rsidRPr="00E07195">
              <w:rPr>
                <w:rFonts w:cs="Arial"/>
                <w:szCs w:val="20"/>
              </w:rPr>
              <w:t xml:space="preserve"> (FPP)</w:t>
            </w:r>
          </w:p>
          <w:p w14:paraId="61E65A6A" w14:textId="781B411A" w:rsidR="00C44CCB" w:rsidRPr="00E07195" w:rsidRDefault="003B666F" w:rsidP="000A7F4D">
            <w:pPr>
              <w:pStyle w:val="TableTextLeft"/>
              <w:numPr>
                <w:ilvl w:val="0"/>
                <w:numId w:val="8"/>
              </w:numPr>
              <w:rPr>
                <w:rFonts w:cs="Arial"/>
                <w:szCs w:val="20"/>
              </w:rPr>
            </w:pPr>
            <w:r w:rsidRPr="00E07195">
              <w:rPr>
                <w:rFonts w:cs="Arial"/>
                <w:szCs w:val="20"/>
              </w:rPr>
              <w:t xml:space="preserve">increase use of </w:t>
            </w:r>
            <w:r w:rsidR="00DB35AF" w:rsidRPr="00E07195">
              <w:rPr>
                <w:rFonts w:cs="Arial"/>
                <w:szCs w:val="20"/>
              </w:rPr>
              <w:t>family-based</w:t>
            </w:r>
            <w:r w:rsidRPr="00E07195">
              <w:rPr>
                <w:rFonts w:cs="Arial"/>
                <w:szCs w:val="20"/>
              </w:rPr>
              <w:t xml:space="preserve"> care through Family Caring for Family</w:t>
            </w:r>
            <w:r w:rsidR="00603520" w:rsidRPr="00E07195">
              <w:rPr>
                <w:rFonts w:cs="Arial"/>
                <w:szCs w:val="20"/>
              </w:rPr>
              <w:t>.</w:t>
            </w:r>
          </w:p>
          <w:p w14:paraId="2F24BC11" w14:textId="77777777" w:rsidR="009011A8" w:rsidRDefault="009011A8" w:rsidP="009252D5">
            <w:pPr>
              <w:pStyle w:val="TableTextLeft"/>
              <w:rPr>
                <w:rFonts w:cs="Arial"/>
                <w:b/>
                <w:bCs/>
                <w:szCs w:val="20"/>
              </w:rPr>
            </w:pPr>
          </w:p>
          <w:p w14:paraId="154AEE5E" w14:textId="5B3C84A5" w:rsidR="00F85E9A" w:rsidRPr="00E07195" w:rsidRDefault="7C114A38" w:rsidP="009252D5">
            <w:pPr>
              <w:pStyle w:val="TableTextLeft"/>
              <w:rPr>
                <w:rFonts w:cs="Arial"/>
                <w:szCs w:val="20"/>
              </w:rPr>
            </w:pPr>
            <w:r w:rsidRPr="00E07195">
              <w:rPr>
                <w:rFonts w:cs="Arial"/>
                <w:b/>
                <w:bCs/>
                <w:szCs w:val="20"/>
              </w:rPr>
              <w:t>SI:</w:t>
            </w:r>
            <w:r w:rsidRPr="00E07195">
              <w:rPr>
                <w:rFonts w:cs="Arial"/>
                <w:szCs w:val="20"/>
              </w:rPr>
              <w:t xml:space="preserve"> Successful implementation of </w:t>
            </w:r>
            <w:r w:rsidR="00E6575F" w:rsidRPr="00E07195">
              <w:rPr>
                <w:rFonts w:cs="Arial"/>
                <w:szCs w:val="20"/>
              </w:rPr>
              <w:t>the DCSSDS</w:t>
            </w:r>
            <w:r w:rsidR="00466465" w:rsidRPr="00E07195">
              <w:rPr>
                <w:rFonts w:cs="Arial"/>
                <w:szCs w:val="20"/>
              </w:rPr>
              <w:t xml:space="preserve"> </w:t>
            </w:r>
            <w:r w:rsidRPr="00E07195">
              <w:rPr>
                <w:rFonts w:cs="Arial"/>
                <w:szCs w:val="20"/>
              </w:rPr>
              <w:t>Strategic Plan 2021-202</w:t>
            </w:r>
            <w:r w:rsidR="2F3148E6" w:rsidRPr="00E07195">
              <w:rPr>
                <w:rFonts w:cs="Arial"/>
                <w:szCs w:val="20"/>
              </w:rPr>
              <w:t>6</w:t>
            </w:r>
            <w:r w:rsidR="00603520" w:rsidRPr="00E07195">
              <w:rPr>
                <w:rFonts w:cs="Arial"/>
                <w:szCs w:val="20"/>
              </w:rPr>
              <w:t>.</w:t>
            </w:r>
            <w:r w:rsidRPr="00E07195">
              <w:rPr>
                <w:rFonts w:cs="Arial"/>
                <w:szCs w:val="20"/>
              </w:rPr>
              <w:t xml:space="preserve"> </w:t>
            </w:r>
          </w:p>
          <w:p w14:paraId="3F379E51" w14:textId="036B1461" w:rsidR="00F85E9A" w:rsidRPr="00E07195" w:rsidRDefault="014A9E3D" w:rsidP="009252D5">
            <w:pPr>
              <w:pStyle w:val="TableTextLeft"/>
              <w:rPr>
                <w:rFonts w:cs="Arial"/>
                <w:szCs w:val="20"/>
              </w:rPr>
            </w:pPr>
            <w:r w:rsidRPr="00E07195">
              <w:rPr>
                <w:rFonts w:cs="Arial"/>
                <w:b/>
                <w:bCs/>
                <w:szCs w:val="20"/>
              </w:rPr>
              <w:t>SI:</w:t>
            </w:r>
            <w:r w:rsidRPr="00E07195">
              <w:rPr>
                <w:rFonts w:cs="Arial"/>
                <w:szCs w:val="20"/>
              </w:rPr>
              <w:t xml:space="preserve"> </w:t>
            </w:r>
            <w:r w:rsidR="00E6575F" w:rsidRPr="00E07195">
              <w:rPr>
                <w:rFonts w:cs="Arial"/>
                <w:szCs w:val="20"/>
              </w:rPr>
              <w:t>The DCSSDS</w:t>
            </w:r>
            <w:r w:rsidR="00466465" w:rsidRPr="00E07195">
              <w:rPr>
                <w:rFonts w:cs="Arial"/>
                <w:i/>
                <w:iCs/>
                <w:szCs w:val="20"/>
              </w:rPr>
              <w:t xml:space="preserve"> </w:t>
            </w:r>
            <w:r w:rsidR="56BB65B9" w:rsidRPr="00E07195">
              <w:rPr>
                <w:rFonts w:cs="Arial"/>
                <w:i/>
                <w:iCs/>
                <w:szCs w:val="20"/>
              </w:rPr>
              <w:t>Our Way</w:t>
            </w:r>
            <w:r w:rsidR="56BB65B9" w:rsidRPr="00E07195">
              <w:rPr>
                <w:rFonts w:cs="Arial"/>
                <w:szCs w:val="20"/>
              </w:rPr>
              <w:t xml:space="preserve"> implementation plan addresses the transformation </w:t>
            </w:r>
            <w:r w:rsidR="573F97DB" w:rsidRPr="00E07195">
              <w:rPr>
                <w:rFonts w:cs="Arial"/>
                <w:szCs w:val="20"/>
              </w:rPr>
              <w:t>elements of the National Agreement on C</w:t>
            </w:r>
            <w:r w:rsidR="00603520" w:rsidRPr="00E07195">
              <w:rPr>
                <w:rFonts w:cs="Arial"/>
                <w:szCs w:val="20"/>
              </w:rPr>
              <w:t xml:space="preserve">losing </w:t>
            </w:r>
            <w:r w:rsidR="573F97DB" w:rsidRPr="00E07195">
              <w:rPr>
                <w:rFonts w:cs="Arial"/>
                <w:szCs w:val="20"/>
              </w:rPr>
              <w:t>t</w:t>
            </w:r>
            <w:r w:rsidR="00603520" w:rsidRPr="00E07195">
              <w:rPr>
                <w:rFonts w:cs="Arial"/>
                <w:szCs w:val="20"/>
              </w:rPr>
              <w:t xml:space="preserve">he </w:t>
            </w:r>
            <w:r w:rsidR="573F97DB" w:rsidRPr="00E07195">
              <w:rPr>
                <w:rFonts w:cs="Arial"/>
                <w:szCs w:val="20"/>
              </w:rPr>
              <w:t>G</w:t>
            </w:r>
            <w:r w:rsidR="00603520" w:rsidRPr="00E07195">
              <w:rPr>
                <w:rFonts w:cs="Arial"/>
                <w:szCs w:val="20"/>
              </w:rPr>
              <w:t>ap</w:t>
            </w:r>
            <w:r w:rsidR="573F97DB" w:rsidRPr="00E07195">
              <w:rPr>
                <w:rFonts w:cs="Arial"/>
                <w:szCs w:val="20"/>
              </w:rPr>
              <w:t xml:space="preserve"> (clause</w:t>
            </w:r>
            <w:r w:rsidR="00603520" w:rsidRPr="00E07195">
              <w:rPr>
                <w:rFonts w:cs="Arial"/>
                <w:szCs w:val="20"/>
              </w:rPr>
              <w:t xml:space="preserve"> </w:t>
            </w:r>
            <w:r w:rsidR="573F97DB" w:rsidRPr="00E07195">
              <w:rPr>
                <w:rFonts w:cs="Arial"/>
                <w:szCs w:val="20"/>
              </w:rPr>
              <w:t>59)</w:t>
            </w:r>
            <w:r w:rsidR="00603520" w:rsidRPr="00E07195">
              <w:rPr>
                <w:rFonts w:cs="Arial"/>
                <w:szCs w:val="20"/>
              </w:rPr>
              <w:t>.</w:t>
            </w:r>
          </w:p>
          <w:p w14:paraId="0D0F9233" w14:textId="4FAE716D" w:rsidR="00F85E9A" w:rsidRPr="00E07195" w:rsidRDefault="21FBD7A4" w:rsidP="009252D5">
            <w:pPr>
              <w:pStyle w:val="TableTextLeft"/>
              <w:rPr>
                <w:rFonts w:cs="Arial"/>
                <w:szCs w:val="20"/>
              </w:rPr>
            </w:pPr>
            <w:r w:rsidRPr="00E07195">
              <w:rPr>
                <w:rFonts w:cs="Arial"/>
                <w:b/>
                <w:bCs/>
                <w:szCs w:val="20"/>
              </w:rPr>
              <w:t>SI:</w:t>
            </w:r>
            <w:r w:rsidRPr="00E07195">
              <w:rPr>
                <w:rFonts w:cs="Arial"/>
                <w:szCs w:val="20"/>
              </w:rPr>
              <w:t xml:space="preserve"> Demonstrated understanding from</w:t>
            </w:r>
            <w:r w:rsidR="00466465" w:rsidRPr="00E07195">
              <w:rPr>
                <w:rFonts w:cs="Arial"/>
                <w:szCs w:val="20"/>
              </w:rPr>
              <w:t xml:space="preserve"> DCSSDS</w:t>
            </w:r>
            <w:r w:rsidRPr="00E07195">
              <w:rPr>
                <w:rFonts w:cs="Arial"/>
                <w:szCs w:val="20"/>
              </w:rPr>
              <w:t>, Queensland Government and sector partners regarding t</w:t>
            </w:r>
            <w:r w:rsidR="480EC789" w:rsidRPr="00E07195">
              <w:rPr>
                <w:rFonts w:cs="Arial"/>
                <w:szCs w:val="20"/>
              </w:rPr>
              <w:t>h</w:t>
            </w:r>
            <w:r w:rsidR="09687CD4" w:rsidRPr="00E07195">
              <w:rPr>
                <w:rFonts w:cs="Arial"/>
                <w:szCs w:val="20"/>
              </w:rPr>
              <w:t xml:space="preserve">eir role in reducing the over-representation of </w:t>
            </w:r>
            <w:r w:rsidR="00236204" w:rsidRPr="00E07195">
              <w:rPr>
                <w:rFonts w:cs="Arial"/>
                <w:szCs w:val="20"/>
              </w:rPr>
              <w:t xml:space="preserve">Aboriginal and Torres Strait Islander </w:t>
            </w:r>
            <w:r w:rsidR="09687CD4" w:rsidRPr="00E07195">
              <w:rPr>
                <w:rFonts w:cs="Arial"/>
                <w:szCs w:val="20"/>
              </w:rPr>
              <w:t>children and families in contact with child protection</w:t>
            </w:r>
            <w:r w:rsidR="000D492C">
              <w:rPr>
                <w:rFonts w:cs="Arial"/>
                <w:szCs w:val="20"/>
              </w:rPr>
              <w:t>.</w:t>
            </w:r>
            <w:r w:rsidR="00603520" w:rsidRPr="00E07195">
              <w:rPr>
                <w:rFonts w:cs="Arial"/>
                <w:szCs w:val="20"/>
              </w:rPr>
              <w:t xml:space="preserve"> </w:t>
            </w:r>
          </w:p>
        </w:tc>
        <w:tc>
          <w:tcPr>
            <w:tcW w:w="3118" w:type="dxa"/>
          </w:tcPr>
          <w:p w14:paraId="4057EC42" w14:textId="06982434" w:rsidR="003B666F" w:rsidRPr="007C1C61" w:rsidRDefault="003B666F" w:rsidP="009252D5">
            <w:pPr>
              <w:pStyle w:val="TableTextLeft"/>
              <w:rPr>
                <w:rFonts w:cs="Arial"/>
                <w:szCs w:val="20"/>
              </w:rPr>
            </w:pPr>
            <w:r w:rsidRPr="008F737E">
              <w:rPr>
                <w:rFonts w:cs="Arial"/>
                <w:b/>
                <w:bCs/>
                <w:szCs w:val="20"/>
              </w:rPr>
              <w:lastRenderedPageBreak/>
              <w:t>O:</w:t>
            </w:r>
            <w:r w:rsidRPr="007C1C61">
              <w:rPr>
                <w:rFonts w:cs="Arial"/>
                <w:szCs w:val="20"/>
              </w:rPr>
              <w:t xml:space="preserve">  Strengthened accountability mechanisms at all levels to ensure the service needs of Aboriginal and Torres Strait Islander peoples are met</w:t>
            </w:r>
            <w:r w:rsidR="00603520" w:rsidRPr="007C1C61">
              <w:rPr>
                <w:rFonts w:cs="Arial"/>
                <w:szCs w:val="20"/>
              </w:rPr>
              <w:t>.</w:t>
            </w:r>
          </w:p>
          <w:p w14:paraId="42760BF5" w14:textId="5801150D" w:rsidR="003B666F" w:rsidRPr="007C1C61" w:rsidRDefault="003B666F" w:rsidP="009252D5">
            <w:pPr>
              <w:pStyle w:val="TableTextLeft"/>
              <w:rPr>
                <w:rFonts w:cs="Arial"/>
                <w:szCs w:val="20"/>
              </w:rPr>
            </w:pPr>
            <w:r w:rsidRPr="008F737E">
              <w:rPr>
                <w:rFonts w:cs="Arial"/>
                <w:b/>
                <w:bCs/>
                <w:szCs w:val="20"/>
              </w:rPr>
              <w:t>O:</w:t>
            </w:r>
            <w:r w:rsidRPr="007C1C61">
              <w:rPr>
                <w:rFonts w:cs="Arial"/>
                <w:szCs w:val="20"/>
              </w:rPr>
              <w:t xml:space="preserve">  All government agencies and service providers commit to genuine co-design processes and work in true partnerships with the community and ATSICCOs</w:t>
            </w:r>
            <w:r w:rsidR="00603520" w:rsidRPr="007C1C61">
              <w:rPr>
                <w:rFonts w:cs="Arial"/>
                <w:szCs w:val="20"/>
              </w:rPr>
              <w:t>.</w:t>
            </w:r>
          </w:p>
          <w:p w14:paraId="29686CDF" w14:textId="77777777" w:rsidR="003B666F" w:rsidRPr="007C1C61" w:rsidRDefault="003B666F" w:rsidP="009252D5">
            <w:pPr>
              <w:pStyle w:val="TableTextLeft"/>
              <w:rPr>
                <w:rFonts w:cs="Arial"/>
                <w:szCs w:val="20"/>
              </w:rPr>
            </w:pPr>
          </w:p>
        </w:tc>
        <w:tc>
          <w:tcPr>
            <w:tcW w:w="3685" w:type="dxa"/>
          </w:tcPr>
          <w:p w14:paraId="6ED7E1AD" w14:textId="18B98FE8" w:rsidR="003B666F" w:rsidRDefault="003B666F" w:rsidP="009252D5">
            <w:pPr>
              <w:pStyle w:val="TableTextLeft"/>
              <w:rPr>
                <w:rFonts w:cs="Arial"/>
                <w:szCs w:val="20"/>
              </w:rPr>
            </w:pPr>
            <w:r w:rsidRPr="00E07195">
              <w:rPr>
                <w:rFonts w:cs="Arial"/>
                <w:szCs w:val="20"/>
              </w:rPr>
              <w:t xml:space="preserve">The level of transformational change necessary within governments and the </w:t>
            </w:r>
            <w:r w:rsidR="00603520" w:rsidRPr="00E07195">
              <w:rPr>
                <w:rFonts w:cs="Arial"/>
                <w:szCs w:val="20"/>
              </w:rPr>
              <w:t>ATSICCO</w:t>
            </w:r>
            <w:r w:rsidRPr="00E07195">
              <w:rPr>
                <w:rFonts w:cs="Arial"/>
                <w:szCs w:val="20"/>
              </w:rPr>
              <w:t xml:space="preserve"> sector to achieve the </w:t>
            </w:r>
            <w:r w:rsidRPr="00E07195">
              <w:rPr>
                <w:rFonts w:cs="Arial"/>
                <w:i/>
                <w:iCs/>
                <w:szCs w:val="20"/>
              </w:rPr>
              <w:t>Our Way</w:t>
            </w:r>
            <w:r w:rsidRPr="00E07195">
              <w:rPr>
                <w:rFonts w:cs="Arial"/>
                <w:szCs w:val="20"/>
              </w:rPr>
              <w:t xml:space="preserve"> and Closing the Gap target of reducing the over-representation of Aboriginal and Torres Strait Islander children in care is immense. </w:t>
            </w:r>
          </w:p>
          <w:p w14:paraId="21D28462" w14:textId="77777777" w:rsidR="00290577" w:rsidRPr="00E07195" w:rsidRDefault="00290577" w:rsidP="009252D5">
            <w:pPr>
              <w:pStyle w:val="TableTextLeft"/>
              <w:rPr>
                <w:rFonts w:cs="Arial"/>
                <w:szCs w:val="20"/>
              </w:rPr>
            </w:pPr>
          </w:p>
          <w:p w14:paraId="26255F49" w14:textId="73F54DFA" w:rsidR="003B666F" w:rsidRPr="00E07195" w:rsidRDefault="003B666F" w:rsidP="009252D5">
            <w:pPr>
              <w:pStyle w:val="TableTextLeft"/>
              <w:rPr>
                <w:rFonts w:cs="Arial"/>
                <w:szCs w:val="20"/>
              </w:rPr>
            </w:pPr>
            <w:r w:rsidRPr="00E07195">
              <w:rPr>
                <w:rFonts w:cs="Arial"/>
                <w:szCs w:val="20"/>
              </w:rPr>
              <w:t xml:space="preserve">Breaking Cycles includes </w:t>
            </w:r>
            <w:proofErr w:type="gramStart"/>
            <w:r w:rsidRPr="00E07195">
              <w:rPr>
                <w:rFonts w:cs="Arial"/>
                <w:szCs w:val="20"/>
              </w:rPr>
              <w:t>a number of</w:t>
            </w:r>
            <w:proofErr w:type="gramEnd"/>
            <w:r w:rsidRPr="00E07195">
              <w:rPr>
                <w:rFonts w:cs="Arial"/>
                <w:szCs w:val="20"/>
              </w:rPr>
              <w:t xml:space="preserve"> concurrent reforms of the child protection system. An overarching change management strategy will provide a plan for how these significant changes to the design and delivery of services for Aboriginal and Torres Strait Islander children and families will be achieved. </w:t>
            </w:r>
          </w:p>
        </w:tc>
        <w:tc>
          <w:tcPr>
            <w:tcW w:w="1627" w:type="dxa"/>
          </w:tcPr>
          <w:p w14:paraId="3F236B52" w14:textId="18BF49FB" w:rsidR="003B666F" w:rsidRPr="00E07195" w:rsidRDefault="006F21BA" w:rsidP="009252D5">
            <w:pPr>
              <w:pStyle w:val="TableTextLeft"/>
              <w:rPr>
                <w:rFonts w:cs="Arial"/>
                <w:szCs w:val="20"/>
              </w:rPr>
            </w:pPr>
            <w:r w:rsidRPr="00E07195">
              <w:rPr>
                <w:rFonts w:cs="Arial"/>
                <w:noProof/>
                <w:szCs w:val="20"/>
              </w:rPr>
              <w:drawing>
                <wp:inline distT="0" distB="0" distL="0" distR="0" wp14:anchorId="7D85E311" wp14:editId="3AFEB946">
                  <wp:extent cx="365640" cy="352425"/>
                  <wp:effectExtent l="0" t="0" r="0" b="0"/>
                  <wp:docPr id="28" name="Picture 28" descr="Building block four - Governments and services are accountable to Aboriginal and Torres Strait Islander peop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Building block four - Governments and services are accountable to Aboriginal and Torres Strait Islander peoples&#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5106" cy="361549"/>
                          </a:xfrm>
                          <a:prstGeom prst="rect">
                            <a:avLst/>
                          </a:prstGeom>
                        </pic:spPr>
                      </pic:pic>
                    </a:graphicData>
                  </a:graphic>
                </wp:inline>
              </w:drawing>
            </w:r>
          </w:p>
        </w:tc>
        <w:tc>
          <w:tcPr>
            <w:tcW w:w="1197" w:type="dxa"/>
          </w:tcPr>
          <w:p w14:paraId="765E5E5A" w14:textId="194B50D5" w:rsidR="003B666F" w:rsidRPr="00453A57" w:rsidRDefault="00104F26" w:rsidP="00453A57">
            <w:pPr>
              <w:pStyle w:val="TableTextLeft"/>
              <w:jc w:val="center"/>
              <w:rPr>
                <w:rFonts w:cs="Arial"/>
                <w:b/>
                <w:bCs/>
                <w:sz w:val="32"/>
                <w:szCs w:val="32"/>
              </w:rPr>
            </w:pPr>
            <w:r w:rsidRPr="00453A57">
              <w:rPr>
                <w:rFonts w:cs="Arial"/>
                <w:b/>
                <w:bCs/>
                <w:sz w:val="32"/>
                <w:szCs w:val="32"/>
                <w:shd w:val="clear" w:color="auto" w:fill="FFFFFF"/>
              </w:rPr>
              <w:t>3</w:t>
            </w:r>
          </w:p>
        </w:tc>
        <w:tc>
          <w:tcPr>
            <w:tcW w:w="1260" w:type="dxa"/>
          </w:tcPr>
          <w:p w14:paraId="20705B4A" w14:textId="09FDA17F" w:rsidR="003B666F" w:rsidRPr="00453A57" w:rsidRDefault="00C22CDE" w:rsidP="6D484BA2">
            <w:pPr>
              <w:pStyle w:val="TableTextLeft"/>
              <w:jc w:val="center"/>
              <w:rPr>
                <w:rFonts w:cs="Arial"/>
                <w:b/>
                <w:bCs/>
                <w:sz w:val="32"/>
                <w:szCs w:val="32"/>
              </w:rPr>
            </w:pPr>
            <w:r w:rsidRPr="6D484BA2">
              <w:rPr>
                <w:rFonts w:cs="Arial"/>
                <w:b/>
                <w:bCs/>
                <w:sz w:val="32"/>
                <w:szCs w:val="32"/>
              </w:rPr>
              <w:t>3</w:t>
            </w:r>
            <w:r w:rsidR="0075422F">
              <w:rPr>
                <w:rFonts w:cs="Arial"/>
                <w:b/>
                <w:bCs/>
                <w:sz w:val="32"/>
                <w:szCs w:val="32"/>
              </w:rPr>
              <w:t>,8</w:t>
            </w:r>
          </w:p>
          <w:p w14:paraId="6CF80B78" w14:textId="3F5AF8EA" w:rsidR="003B666F" w:rsidRPr="00453A57" w:rsidRDefault="003B666F" w:rsidP="6D484BA2">
            <w:pPr>
              <w:pStyle w:val="TableTextLeft"/>
              <w:jc w:val="center"/>
              <w:rPr>
                <w:rFonts w:cs="Arial"/>
                <w:b/>
                <w:bCs/>
                <w:sz w:val="32"/>
                <w:szCs w:val="32"/>
              </w:rPr>
            </w:pPr>
          </w:p>
          <w:p w14:paraId="2FBF1EB1" w14:textId="3F5AF8EA" w:rsidR="003B666F" w:rsidRPr="00453A57" w:rsidRDefault="003B666F" w:rsidP="00453A57">
            <w:pPr>
              <w:pStyle w:val="TableTextLeft"/>
              <w:jc w:val="center"/>
              <w:rPr>
                <w:rFonts w:cs="Arial"/>
                <w:b/>
                <w:bCs/>
                <w:sz w:val="32"/>
                <w:szCs w:val="32"/>
              </w:rPr>
            </w:pPr>
          </w:p>
        </w:tc>
      </w:tr>
      <w:tr w:rsidR="009252D5" w:rsidRPr="00E07195" w14:paraId="3EF6B57F" w14:textId="171FA1B7" w:rsidTr="25F521CE">
        <w:trPr>
          <w:trHeight w:val="300"/>
        </w:trPr>
        <w:tc>
          <w:tcPr>
            <w:tcW w:w="1847" w:type="dxa"/>
            <w:vMerge/>
          </w:tcPr>
          <w:p w14:paraId="4811D8AA" w14:textId="77777777" w:rsidR="003B666F" w:rsidRPr="00E07195" w:rsidRDefault="003B666F" w:rsidP="009252D5">
            <w:pPr>
              <w:pStyle w:val="TableHeadingLeft"/>
              <w:rPr>
                <w:rFonts w:cs="Arial"/>
                <w:szCs w:val="20"/>
              </w:rPr>
            </w:pPr>
          </w:p>
        </w:tc>
        <w:tc>
          <w:tcPr>
            <w:tcW w:w="1928" w:type="dxa"/>
          </w:tcPr>
          <w:p w14:paraId="6A00E912" w14:textId="77777777" w:rsidR="00E07195" w:rsidRDefault="00466465" w:rsidP="009252D5">
            <w:pPr>
              <w:pStyle w:val="TableTextLeft"/>
              <w:rPr>
                <w:rFonts w:cs="Arial"/>
                <w:b/>
                <w:bCs/>
                <w:szCs w:val="20"/>
              </w:rPr>
            </w:pPr>
            <w:r w:rsidRPr="00E07195">
              <w:rPr>
                <w:rFonts w:cs="Arial"/>
                <w:b/>
                <w:bCs/>
                <w:szCs w:val="20"/>
              </w:rPr>
              <w:t xml:space="preserve">DCSSDS </w:t>
            </w:r>
          </w:p>
          <w:p w14:paraId="0080D729" w14:textId="77777777" w:rsidR="00E07195" w:rsidRDefault="00E07195" w:rsidP="009252D5">
            <w:pPr>
              <w:pStyle w:val="TableTextLeft"/>
              <w:rPr>
                <w:rFonts w:cs="Arial"/>
                <w:b/>
                <w:bCs/>
                <w:szCs w:val="20"/>
              </w:rPr>
            </w:pPr>
          </w:p>
          <w:p w14:paraId="669576ED" w14:textId="77777777" w:rsidR="003B666F" w:rsidRDefault="003B666F" w:rsidP="009252D5">
            <w:pPr>
              <w:pStyle w:val="TableTextLeft"/>
              <w:rPr>
                <w:rFonts w:cs="Arial"/>
                <w:szCs w:val="20"/>
              </w:rPr>
            </w:pPr>
            <w:r w:rsidRPr="00E07195">
              <w:rPr>
                <w:rFonts w:cs="Arial"/>
                <w:szCs w:val="20"/>
              </w:rPr>
              <w:t>QATSICPP</w:t>
            </w:r>
          </w:p>
          <w:p w14:paraId="6FB1DD21" w14:textId="05185F41" w:rsidR="004A3AD1" w:rsidRPr="00E07195" w:rsidRDefault="004A3AD1" w:rsidP="009252D5">
            <w:pPr>
              <w:pStyle w:val="TableTextLeft"/>
              <w:rPr>
                <w:rFonts w:cs="Arial"/>
                <w:szCs w:val="20"/>
              </w:rPr>
            </w:pPr>
            <w:r>
              <w:rPr>
                <w:rFonts w:cs="Arial"/>
                <w:szCs w:val="20"/>
              </w:rPr>
              <w:t>QFCC</w:t>
            </w:r>
          </w:p>
        </w:tc>
        <w:tc>
          <w:tcPr>
            <w:tcW w:w="3061" w:type="dxa"/>
          </w:tcPr>
          <w:p w14:paraId="76D0882E" w14:textId="57339786" w:rsidR="00573CFD" w:rsidRDefault="00DA18C6" w:rsidP="009252D5">
            <w:pPr>
              <w:pStyle w:val="TableTextLeft"/>
              <w:rPr>
                <w:rFonts w:cstheme="minorHAnsi"/>
              </w:rPr>
            </w:pPr>
            <w:r w:rsidRPr="00856714">
              <w:rPr>
                <w:b/>
                <w:bCs/>
              </w:rPr>
              <w:t xml:space="preserve">1.3 </w:t>
            </w:r>
            <w:r w:rsidRPr="00DA18C6">
              <w:t>Develop</w:t>
            </w:r>
            <w:r w:rsidR="005B1D42" w:rsidRPr="00856714">
              <w:t xml:space="preserve"> and implement a plan to embed all five elements of </w:t>
            </w:r>
            <w:r w:rsidR="005B1D42" w:rsidRPr="00856714">
              <w:rPr>
                <w:rFonts w:cstheme="minorHAnsi"/>
              </w:rPr>
              <w:t>the A</w:t>
            </w:r>
            <w:r w:rsidR="005B1D42">
              <w:rPr>
                <w:rFonts w:cstheme="minorHAnsi"/>
              </w:rPr>
              <w:t>boriginal and Torres Strait Islander Child Placement Principle (A</w:t>
            </w:r>
            <w:r w:rsidR="005B1D42" w:rsidRPr="00856714">
              <w:rPr>
                <w:rFonts w:cstheme="minorHAnsi"/>
              </w:rPr>
              <w:t>TSICPP</w:t>
            </w:r>
            <w:r w:rsidR="005B1D42">
              <w:rPr>
                <w:rFonts w:cstheme="minorHAnsi"/>
              </w:rPr>
              <w:t>)</w:t>
            </w:r>
            <w:r w:rsidR="005B1D42" w:rsidRPr="00856714">
              <w:rPr>
                <w:rFonts w:cstheme="minorHAnsi"/>
              </w:rPr>
              <w:t xml:space="preserve"> to the standard of </w:t>
            </w:r>
            <w:r w:rsidR="005B1D42">
              <w:rPr>
                <w:rFonts w:cstheme="minorHAnsi"/>
              </w:rPr>
              <w:t>a</w:t>
            </w:r>
            <w:r w:rsidR="005B1D42" w:rsidRPr="00856714">
              <w:rPr>
                <w:rFonts w:cstheme="minorHAnsi"/>
              </w:rPr>
              <w:t xml:space="preserve">ctive </w:t>
            </w:r>
            <w:r w:rsidR="005B1D42">
              <w:rPr>
                <w:rFonts w:cstheme="minorHAnsi"/>
              </w:rPr>
              <w:t>e</w:t>
            </w:r>
            <w:r w:rsidR="005B1D42" w:rsidRPr="00856714">
              <w:rPr>
                <w:rFonts w:cstheme="minorHAnsi"/>
              </w:rPr>
              <w:t>fforts across the child protection system.</w:t>
            </w:r>
          </w:p>
          <w:p w14:paraId="2DD791ED" w14:textId="77777777" w:rsidR="005B1D42" w:rsidRDefault="005B1D42" w:rsidP="009252D5">
            <w:pPr>
              <w:pStyle w:val="TableTextLeft"/>
              <w:rPr>
                <w:rFonts w:cs="Arial"/>
                <w:b/>
                <w:bCs/>
                <w:szCs w:val="20"/>
              </w:rPr>
            </w:pPr>
          </w:p>
          <w:p w14:paraId="453E7D0A" w14:textId="7FF6D78B" w:rsidR="003B666F" w:rsidRPr="00E07195" w:rsidRDefault="003B666F" w:rsidP="009252D5">
            <w:pPr>
              <w:pStyle w:val="TableTextLeft"/>
              <w:rPr>
                <w:rFonts w:cs="Arial"/>
                <w:szCs w:val="20"/>
              </w:rPr>
            </w:pPr>
            <w:r w:rsidRPr="00E07195">
              <w:rPr>
                <w:rFonts w:cs="Arial"/>
                <w:b/>
                <w:bCs/>
                <w:szCs w:val="20"/>
              </w:rPr>
              <w:t xml:space="preserve">Timing:  </w:t>
            </w:r>
            <w:r w:rsidRPr="00E07195">
              <w:rPr>
                <w:rFonts w:cs="Arial"/>
                <w:szCs w:val="20"/>
              </w:rPr>
              <w:t>Years 1 to 3 (2023</w:t>
            </w:r>
            <w:r w:rsidR="00044A94">
              <w:rPr>
                <w:rFonts w:eastAsia="Calibri"/>
              </w:rPr>
              <w:t>–</w:t>
            </w:r>
            <w:r w:rsidRPr="00E07195">
              <w:rPr>
                <w:rFonts w:cs="Arial"/>
                <w:szCs w:val="20"/>
              </w:rPr>
              <w:t>2025)</w:t>
            </w:r>
          </w:p>
          <w:p w14:paraId="536BB30F" w14:textId="77777777" w:rsidR="003B666F" w:rsidRPr="00E07195" w:rsidRDefault="003B666F" w:rsidP="009252D5">
            <w:pPr>
              <w:pStyle w:val="TableTextLeft"/>
              <w:rPr>
                <w:rFonts w:cs="Arial"/>
                <w:szCs w:val="20"/>
              </w:rPr>
            </w:pPr>
          </w:p>
          <w:p w14:paraId="157D1FFF" w14:textId="700DF740" w:rsidR="003B666F" w:rsidRPr="00E07195" w:rsidRDefault="003B666F" w:rsidP="009252D5">
            <w:pPr>
              <w:pStyle w:val="TableTextLeft"/>
              <w:rPr>
                <w:rFonts w:cs="Arial"/>
                <w:szCs w:val="20"/>
              </w:rPr>
            </w:pPr>
          </w:p>
        </w:tc>
        <w:tc>
          <w:tcPr>
            <w:tcW w:w="3685" w:type="dxa"/>
          </w:tcPr>
          <w:p w14:paraId="1DF11213" w14:textId="25102C39" w:rsidR="00F85E9A" w:rsidRPr="00E07195" w:rsidRDefault="003B666F" w:rsidP="009252D5">
            <w:pPr>
              <w:pStyle w:val="TableTextLeft"/>
              <w:rPr>
                <w:rFonts w:cs="Arial"/>
                <w:szCs w:val="20"/>
              </w:rPr>
            </w:pPr>
            <w:r w:rsidRPr="00E07195">
              <w:rPr>
                <w:rFonts w:cs="Arial"/>
                <w:b/>
                <w:bCs/>
                <w:szCs w:val="20"/>
              </w:rPr>
              <w:t xml:space="preserve">D:  </w:t>
            </w:r>
            <w:r w:rsidRPr="00E07195">
              <w:rPr>
                <w:rFonts w:cs="Arial"/>
                <w:szCs w:val="20"/>
              </w:rPr>
              <w:t xml:space="preserve">Implementation plan to improve adherence to the ATSICPP across child protection legislation, policy, programs, </w:t>
            </w:r>
            <w:proofErr w:type="gramStart"/>
            <w:r w:rsidRPr="00E07195">
              <w:rPr>
                <w:rFonts w:cs="Arial"/>
                <w:szCs w:val="20"/>
              </w:rPr>
              <w:t>processes</w:t>
            </w:r>
            <w:proofErr w:type="gramEnd"/>
            <w:r w:rsidRPr="00E07195">
              <w:rPr>
                <w:rFonts w:cs="Arial"/>
                <w:szCs w:val="20"/>
              </w:rPr>
              <w:t xml:space="preserve"> and practice, co-designed with QATSICPP</w:t>
            </w:r>
            <w:r w:rsidR="00603520" w:rsidRPr="00E07195">
              <w:rPr>
                <w:rFonts w:cs="Arial"/>
                <w:szCs w:val="20"/>
              </w:rPr>
              <w:t>.</w:t>
            </w:r>
          </w:p>
          <w:p w14:paraId="4D578F76" w14:textId="77777777" w:rsidR="000948A3" w:rsidRPr="00E07195" w:rsidRDefault="000948A3" w:rsidP="009252D5">
            <w:pPr>
              <w:pStyle w:val="TableTextLeft"/>
              <w:rPr>
                <w:rFonts w:cs="Arial"/>
                <w:szCs w:val="20"/>
              </w:rPr>
            </w:pPr>
          </w:p>
          <w:p w14:paraId="415ADBC1" w14:textId="35EE87DC" w:rsidR="3AEB9178" w:rsidRPr="00E07195" w:rsidRDefault="3AEB9178" w:rsidP="009252D5">
            <w:pPr>
              <w:pStyle w:val="TableTextLeft"/>
              <w:rPr>
                <w:rFonts w:cs="Arial"/>
                <w:b/>
                <w:bCs/>
                <w:szCs w:val="20"/>
              </w:rPr>
            </w:pPr>
            <w:r w:rsidRPr="00E07195">
              <w:rPr>
                <w:rFonts w:cs="Arial"/>
                <w:b/>
                <w:bCs/>
                <w:szCs w:val="20"/>
              </w:rPr>
              <w:t xml:space="preserve">SI: </w:t>
            </w:r>
            <w:r w:rsidR="234C96F8" w:rsidRPr="00E07195">
              <w:rPr>
                <w:rFonts w:cs="Arial"/>
                <w:szCs w:val="20"/>
              </w:rPr>
              <w:t xml:space="preserve">Assessment of active efforts through the annual </w:t>
            </w:r>
            <w:bookmarkStart w:id="5" w:name="_Int_y3FKLsP1"/>
            <w:proofErr w:type="gramStart"/>
            <w:r w:rsidR="234C96F8" w:rsidRPr="00E07195">
              <w:rPr>
                <w:rFonts w:cs="Arial"/>
                <w:szCs w:val="20"/>
              </w:rPr>
              <w:t>Principle</w:t>
            </w:r>
            <w:bookmarkEnd w:id="5"/>
            <w:proofErr w:type="gramEnd"/>
            <w:r w:rsidR="234C96F8" w:rsidRPr="00E07195">
              <w:rPr>
                <w:rFonts w:cs="Arial"/>
                <w:szCs w:val="20"/>
              </w:rPr>
              <w:t xml:space="preserve"> Focus Report</w:t>
            </w:r>
            <w:r w:rsidR="00603520" w:rsidRPr="00E07195">
              <w:rPr>
                <w:rFonts w:cs="Arial"/>
                <w:szCs w:val="20"/>
              </w:rPr>
              <w:t>, Queensland Family and Child Commission</w:t>
            </w:r>
            <w:r w:rsidR="234C96F8" w:rsidRPr="00E07195">
              <w:rPr>
                <w:rFonts w:cs="Arial"/>
                <w:szCs w:val="20"/>
              </w:rPr>
              <w:t xml:space="preserve"> </w:t>
            </w:r>
            <w:r w:rsidR="00603520" w:rsidRPr="00E07195">
              <w:rPr>
                <w:rFonts w:cs="Arial"/>
                <w:szCs w:val="20"/>
              </w:rPr>
              <w:t>(</w:t>
            </w:r>
            <w:r w:rsidR="234C96F8" w:rsidRPr="00E07195">
              <w:rPr>
                <w:rFonts w:cs="Arial"/>
                <w:szCs w:val="20"/>
              </w:rPr>
              <w:t>QFCC</w:t>
            </w:r>
            <w:r w:rsidR="00603520" w:rsidRPr="00E07195">
              <w:rPr>
                <w:rFonts w:cs="Arial"/>
                <w:szCs w:val="20"/>
              </w:rPr>
              <w:t>).</w:t>
            </w:r>
          </w:p>
          <w:p w14:paraId="6DEBAD7D" w14:textId="01D0B411" w:rsidR="00F85E9A" w:rsidRPr="00E07195" w:rsidRDefault="009907CF" w:rsidP="009252D5">
            <w:pPr>
              <w:pStyle w:val="TableTextLeft"/>
              <w:rPr>
                <w:rFonts w:cs="Arial"/>
                <w:szCs w:val="20"/>
              </w:rPr>
            </w:pPr>
            <w:r w:rsidRPr="00E07195">
              <w:rPr>
                <w:rFonts w:cs="Arial"/>
                <w:b/>
                <w:bCs/>
                <w:szCs w:val="20"/>
              </w:rPr>
              <w:t xml:space="preserve">SI: </w:t>
            </w:r>
            <w:r w:rsidR="7BB5327A" w:rsidRPr="00E07195">
              <w:rPr>
                <w:rFonts w:cs="Arial"/>
                <w:szCs w:val="20"/>
              </w:rPr>
              <w:t>Child Safety staff and external agencies are considering the ATSICPP in all elements of their work with Aboriginal and Torres Strait Islander families and this is evidenced in the information and data recorded in Unify</w:t>
            </w:r>
            <w:r w:rsidR="00E63546" w:rsidRPr="00E07195">
              <w:rPr>
                <w:rFonts w:cs="Arial"/>
                <w:szCs w:val="20"/>
              </w:rPr>
              <w:t>.</w:t>
            </w:r>
          </w:p>
          <w:p w14:paraId="02D8082E" w14:textId="3B0FEDC1" w:rsidR="000948A3" w:rsidRPr="00E07195" w:rsidRDefault="000948A3" w:rsidP="009252D5">
            <w:pPr>
              <w:pStyle w:val="TableTextLeft"/>
              <w:rPr>
                <w:rFonts w:cs="Arial"/>
                <w:szCs w:val="20"/>
              </w:rPr>
            </w:pPr>
            <w:r w:rsidRPr="00E07195">
              <w:rPr>
                <w:rFonts w:cs="Arial"/>
                <w:b/>
                <w:bCs/>
                <w:szCs w:val="20"/>
              </w:rPr>
              <w:t xml:space="preserve">SI: </w:t>
            </w:r>
            <w:r w:rsidRPr="00E07195">
              <w:rPr>
                <w:rFonts w:cs="Arial"/>
                <w:szCs w:val="20"/>
              </w:rPr>
              <w:t xml:space="preserve">Reduced rates of </w:t>
            </w:r>
            <w:r w:rsidR="00E63546" w:rsidRPr="00E07195">
              <w:rPr>
                <w:rFonts w:cs="Arial"/>
                <w:szCs w:val="20"/>
              </w:rPr>
              <w:t>overrepresentation</w:t>
            </w:r>
            <w:r w:rsidRPr="00E07195">
              <w:rPr>
                <w:rFonts w:cs="Arial"/>
                <w:szCs w:val="20"/>
              </w:rPr>
              <w:t xml:space="preserve"> of Aboriginal and Torres Strait Islander children across the child protection continuum</w:t>
            </w:r>
            <w:r w:rsidR="00E63546" w:rsidRPr="00E07195">
              <w:rPr>
                <w:rFonts w:cs="Arial"/>
                <w:szCs w:val="20"/>
              </w:rPr>
              <w:t>.</w:t>
            </w:r>
            <w:r w:rsidRPr="00E07195">
              <w:rPr>
                <w:rFonts w:cs="Arial"/>
                <w:szCs w:val="20"/>
              </w:rPr>
              <w:t xml:space="preserve"> </w:t>
            </w:r>
          </w:p>
          <w:p w14:paraId="129FFC51" w14:textId="7CB3C028" w:rsidR="000948A3" w:rsidRPr="00E07195" w:rsidRDefault="000948A3" w:rsidP="009252D5">
            <w:pPr>
              <w:pStyle w:val="TableTextLeft"/>
              <w:rPr>
                <w:rFonts w:cs="Arial"/>
                <w:szCs w:val="20"/>
              </w:rPr>
            </w:pPr>
            <w:r w:rsidRPr="00E07195">
              <w:rPr>
                <w:rFonts w:cs="Arial"/>
                <w:b/>
                <w:bCs/>
                <w:szCs w:val="20"/>
              </w:rPr>
              <w:t>SI:</w:t>
            </w:r>
            <w:r w:rsidRPr="00E07195">
              <w:rPr>
                <w:rFonts w:cs="Arial"/>
                <w:szCs w:val="20"/>
              </w:rPr>
              <w:t xml:space="preserve"> Increased number of children living with families / reunified with families</w:t>
            </w:r>
            <w:r w:rsidR="00E63546" w:rsidRPr="00E07195">
              <w:rPr>
                <w:rFonts w:cs="Arial"/>
                <w:szCs w:val="20"/>
              </w:rPr>
              <w:t>.</w:t>
            </w:r>
          </w:p>
          <w:p w14:paraId="7C41276A" w14:textId="08FC3DC2" w:rsidR="00FB0517" w:rsidRPr="00E07195" w:rsidRDefault="00FB0517" w:rsidP="009252D5">
            <w:pPr>
              <w:pStyle w:val="TableTextLeft"/>
              <w:rPr>
                <w:rFonts w:cs="Arial"/>
                <w:szCs w:val="20"/>
              </w:rPr>
            </w:pPr>
            <w:r w:rsidRPr="00E07195">
              <w:rPr>
                <w:rFonts w:cs="Arial"/>
                <w:b/>
                <w:bCs/>
                <w:szCs w:val="20"/>
              </w:rPr>
              <w:t xml:space="preserve">SI: </w:t>
            </w:r>
            <w:r w:rsidRPr="00E07195">
              <w:rPr>
                <w:rFonts w:cs="Arial"/>
                <w:szCs w:val="20"/>
              </w:rPr>
              <w:t>Enhanced reporting in real-time on relevant information and outcomes for Aboriginal and Torres Strait Islander children and families.</w:t>
            </w:r>
          </w:p>
        </w:tc>
        <w:tc>
          <w:tcPr>
            <w:tcW w:w="3118" w:type="dxa"/>
          </w:tcPr>
          <w:p w14:paraId="2FF33C4F" w14:textId="3604B25E" w:rsidR="003B666F" w:rsidRPr="007C1C61" w:rsidRDefault="003B666F" w:rsidP="009252D5">
            <w:pPr>
              <w:pStyle w:val="TableTextLeft"/>
              <w:rPr>
                <w:rFonts w:cs="Arial"/>
                <w:szCs w:val="20"/>
              </w:rPr>
            </w:pPr>
            <w:r w:rsidRPr="008F737E">
              <w:rPr>
                <w:rFonts w:cs="Arial"/>
                <w:b/>
                <w:bCs/>
                <w:szCs w:val="20"/>
              </w:rPr>
              <w:t>O:</w:t>
            </w:r>
            <w:r w:rsidRPr="007C1C61">
              <w:rPr>
                <w:rFonts w:cs="Arial"/>
                <w:szCs w:val="20"/>
              </w:rPr>
              <w:t xml:space="preserve">  Aboriginal and Torres Strait Islander children have a strong sense of identity and pride in Aboriginal and Torres Strait Islander cultures and languages</w:t>
            </w:r>
            <w:r w:rsidR="00E63546" w:rsidRPr="007C1C61">
              <w:rPr>
                <w:rFonts w:cs="Arial"/>
                <w:szCs w:val="20"/>
              </w:rPr>
              <w:t>.</w:t>
            </w:r>
          </w:p>
          <w:p w14:paraId="02B2EA7E" w14:textId="2224F55F" w:rsidR="003B666F" w:rsidRPr="007C1C61" w:rsidRDefault="003B666F" w:rsidP="009252D5">
            <w:pPr>
              <w:pStyle w:val="TableTextLeft"/>
              <w:rPr>
                <w:rFonts w:cs="Arial"/>
                <w:szCs w:val="20"/>
              </w:rPr>
            </w:pPr>
            <w:r w:rsidRPr="008F737E">
              <w:rPr>
                <w:rFonts w:cs="Arial"/>
                <w:b/>
                <w:bCs/>
                <w:szCs w:val="20"/>
              </w:rPr>
              <w:t>O:</w:t>
            </w:r>
            <w:r w:rsidRPr="007C1C61">
              <w:rPr>
                <w:rFonts w:cs="Arial"/>
                <w:szCs w:val="20"/>
              </w:rPr>
              <w:t xml:space="preserve">  Aboriginal and Torres Strait Islander children grow up in loving and supportive environments where they are free from all forms of harm and abuse</w:t>
            </w:r>
            <w:r w:rsidR="00E63546" w:rsidRPr="007C1C61">
              <w:rPr>
                <w:rFonts w:cs="Arial"/>
                <w:szCs w:val="20"/>
              </w:rPr>
              <w:t>.</w:t>
            </w:r>
          </w:p>
          <w:p w14:paraId="13A53202" w14:textId="72424606" w:rsidR="003B666F" w:rsidRPr="007C1C61" w:rsidRDefault="003B666F" w:rsidP="009252D5">
            <w:pPr>
              <w:pStyle w:val="TableTextLeft"/>
              <w:rPr>
                <w:rFonts w:cs="Arial"/>
                <w:szCs w:val="20"/>
              </w:rPr>
            </w:pPr>
            <w:r w:rsidRPr="008F737E">
              <w:rPr>
                <w:rFonts w:cs="Arial"/>
                <w:b/>
                <w:bCs/>
                <w:szCs w:val="20"/>
              </w:rPr>
              <w:t>O:</w:t>
            </w:r>
            <w:r w:rsidRPr="007C1C61">
              <w:rPr>
                <w:rFonts w:cs="Arial"/>
                <w:szCs w:val="20"/>
              </w:rPr>
              <w:t xml:space="preserve">  Strengthened accountability mechanisms at all levels to ensure the service needs of Aboriginal and Torres Strait Islander peoples are met</w:t>
            </w:r>
            <w:r w:rsidR="000D492C" w:rsidRPr="007C1C61">
              <w:rPr>
                <w:rFonts w:cs="Arial"/>
                <w:szCs w:val="20"/>
              </w:rPr>
              <w:t>.</w:t>
            </w:r>
          </w:p>
          <w:p w14:paraId="2ACF0730" w14:textId="02B7385B" w:rsidR="003B666F" w:rsidRPr="007C1C61" w:rsidRDefault="003B666F" w:rsidP="009252D5">
            <w:pPr>
              <w:pStyle w:val="TableTextLeft"/>
              <w:rPr>
                <w:rFonts w:cs="Arial"/>
                <w:szCs w:val="20"/>
              </w:rPr>
            </w:pPr>
            <w:r w:rsidRPr="008F737E">
              <w:rPr>
                <w:rFonts w:cs="Arial"/>
                <w:b/>
                <w:bCs/>
                <w:szCs w:val="20"/>
              </w:rPr>
              <w:t>O:</w:t>
            </w:r>
            <w:r w:rsidRPr="007C1C61">
              <w:rPr>
                <w:rFonts w:cs="Arial"/>
                <w:szCs w:val="20"/>
              </w:rPr>
              <w:t xml:space="preserve">  All government agencies and service providers change services and systems to prioritise community and family-led decision</w:t>
            </w:r>
            <w:r w:rsidR="00E453E1">
              <w:rPr>
                <w:rFonts w:cs="Arial"/>
                <w:szCs w:val="20"/>
              </w:rPr>
              <w:t>-</w:t>
            </w:r>
            <w:r w:rsidRPr="007C1C61">
              <w:rPr>
                <w:rFonts w:cs="Arial"/>
                <w:szCs w:val="20"/>
              </w:rPr>
              <w:t>making</w:t>
            </w:r>
            <w:r w:rsidR="00E63546" w:rsidRPr="007C1C61">
              <w:rPr>
                <w:rFonts w:cs="Arial"/>
                <w:szCs w:val="20"/>
              </w:rPr>
              <w:t>.</w:t>
            </w:r>
          </w:p>
          <w:p w14:paraId="6A920D09" w14:textId="3A21EC64" w:rsidR="003B666F" w:rsidRPr="007C1C61" w:rsidRDefault="008F737E" w:rsidP="009252D5">
            <w:pPr>
              <w:pStyle w:val="TableTextLeft"/>
              <w:rPr>
                <w:rFonts w:cs="Arial"/>
                <w:szCs w:val="20"/>
              </w:rPr>
            </w:pPr>
            <w:r w:rsidRPr="008F737E">
              <w:rPr>
                <w:rFonts w:cs="Arial"/>
                <w:b/>
                <w:bCs/>
                <w:szCs w:val="20"/>
              </w:rPr>
              <w:t>O:</w:t>
            </w:r>
            <w:r w:rsidR="003B666F" w:rsidRPr="007C1C61">
              <w:rPr>
                <w:rFonts w:cs="Arial"/>
                <w:szCs w:val="20"/>
              </w:rPr>
              <w:t xml:space="preserve">  All government agencies and service providers commit to genuine co-design processes and work in true partnerships with the community and ATSICCOs</w:t>
            </w:r>
            <w:r w:rsidR="00E63546" w:rsidRPr="007C1C61">
              <w:rPr>
                <w:rFonts w:cs="Arial"/>
                <w:szCs w:val="20"/>
              </w:rPr>
              <w:t>.</w:t>
            </w:r>
          </w:p>
        </w:tc>
        <w:tc>
          <w:tcPr>
            <w:tcW w:w="3685" w:type="dxa"/>
          </w:tcPr>
          <w:p w14:paraId="65292612" w14:textId="560484DA" w:rsidR="003B666F" w:rsidRDefault="003B666F" w:rsidP="009252D5">
            <w:pPr>
              <w:pStyle w:val="TableTextLeft"/>
              <w:rPr>
                <w:rFonts w:cs="Arial"/>
                <w:szCs w:val="20"/>
                <w:shd w:val="clear" w:color="auto" w:fill="FFFFFF"/>
                <w:lang w:eastAsia="en-GB"/>
              </w:rPr>
            </w:pPr>
            <w:r w:rsidRPr="00E07195">
              <w:rPr>
                <w:rFonts w:cs="Arial"/>
                <w:szCs w:val="20"/>
                <w:lang w:eastAsia="en-GB"/>
              </w:rPr>
              <w:t xml:space="preserve">The ATSICPP is the cornerstone of </w:t>
            </w:r>
            <w:r w:rsidR="00755D81" w:rsidRPr="00E07195">
              <w:rPr>
                <w:rFonts w:cs="Arial"/>
                <w:szCs w:val="20"/>
                <w:lang w:eastAsia="en-GB"/>
              </w:rPr>
              <w:t xml:space="preserve">Queensland </w:t>
            </w:r>
            <w:r w:rsidRPr="00E07195">
              <w:rPr>
                <w:rFonts w:cs="Arial"/>
                <w:szCs w:val="20"/>
                <w:lang w:eastAsia="en-GB"/>
              </w:rPr>
              <w:t xml:space="preserve">law and policy acknowledging the importance of family, cultural and community connections to the identity and wellbeing of Aboriginal and Torres Strait Islander children who </w:t>
            </w:r>
            <w:proofErr w:type="gramStart"/>
            <w:r w:rsidRPr="00E07195">
              <w:rPr>
                <w:rFonts w:cs="Arial"/>
                <w:szCs w:val="20"/>
                <w:lang w:eastAsia="en-GB"/>
              </w:rPr>
              <w:t>come into contact with</w:t>
            </w:r>
            <w:proofErr w:type="gramEnd"/>
            <w:r w:rsidRPr="00E07195">
              <w:rPr>
                <w:rFonts w:cs="Arial"/>
                <w:szCs w:val="20"/>
                <w:lang w:eastAsia="en-GB"/>
              </w:rPr>
              <w:t xml:space="preserve"> the statutory child protection system. </w:t>
            </w:r>
            <w:r w:rsidRPr="00E07195">
              <w:rPr>
                <w:rFonts w:cs="Arial"/>
                <w:szCs w:val="20"/>
                <w:shd w:val="clear" w:color="auto" w:fill="FFFFFF"/>
                <w:lang w:eastAsia="en-GB"/>
              </w:rPr>
              <w:t>The principle is strongly based on the presumptions that removal of an Aboriginal and Torres Strait Islander child from their family should be an intervention of last resort, and that reunification of a child that has been removed must be a high priority.</w:t>
            </w:r>
          </w:p>
          <w:p w14:paraId="06698254" w14:textId="77777777" w:rsidR="00290577" w:rsidRPr="00E07195" w:rsidRDefault="00290577" w:rsidP="009252D5">
            <w:pPr>
              <w:pStyle w:val="TableTextLeft"/>
              <w:rPr>
                <w:rFonts w:cs="Arial"/>
                <w:szCs w:val="20"/>
                <w:shd w:val="clear" w:color="auto" w:fill="FFFFFF"/>
                <w:lang w:eastAsia="en-GB"/>
              </w:rPr>
            </w:pPr>
          </w:p>
          <w:p w14:paraId="000AF21B" w14:textId="1FDD2A92" w:rsidR="003B666F" w:rsidRPr="00E07195" w:rsidRDefault="003B666F" w:rsidP="009252D5">
            <w:pPr>
              <w:pStyle w:val="TableTextLeft"/>
              <w:rPr>
                <w:rFonts w:cs="Arial"/>
                <w:szCs w:val="20"/>
              </w:rPr>
            </w:pPr>
            <w:r w:rsidRPr="00E07195">
              <w:rPr>
                <w:rFonts w:cs="Arial"/>
                <w:szCs w:val="20"/>
              </w:rPr>
              <w:t>This action aligns with Recommendation 10 of the Family Matters Report 2022.</w:t>
            </w:r>
          </w:p>
        </w:tc>
        <w:tc>
          <w:tcPr>
            <w:tcW w:w="1627" w:type="dxa"/>
          </w:tcPr>
          <w:p w14:paraId="453F95D8" w14:textId="273686B0" w:rsidR="00490E4D" w:rsidRPr="00E07195" w:rsidRDefault="006F21BA" w:rsidP="009252D5">
            <w:pPr>
              <w:pStyle w:val="TableTextLeft"/>
              <w:rPr>
                <w:rFonts w:cs="Arial"/>
                <w:szCs w:val="20"/>
                <w:lang w:eastAsia="en-GB"/>
              </w:rPr>
            </w:pPr>
            <w:r w:rsidRPr="00E07195">
              <w:rPr>
                <w:rFonts w:cs="Arial"/>
                <w:noProof/>
                <w:szCs w:val="20"/>
              </w:rPr>
              <w:drawing>
                <wp:inline distT="0" distB="0" distL="0" distR="0" wp14:anchorId="1FF09CAA" wp14:editId="606ECC68">
                  <wp:extent cx="342429" cy="323215"/>
                  <wp:effectExtent l="0" t="0" r="635" b="635"/>
                  <wp:docPr id="29" name="Picture 29" descr="Building block three - Law, policy and practice in child and family welfare are culturally safe and responsive  &#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Building block three - Law, policy and practice in child and family welfare are culturally safe and responsive  &#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8823" cy="338689"/>
                          </a:xfrm>
                          <a:prstGeom prst="rect">
                            <a:avLst/>
                          </a:prstGeom>
                        </pic:spPr>
                      </pic:pic>
                    </a:graphicData>
                  </a:graphic>
                </wp:inline>
              </w:drawing>
            </w:r>
          </w:p>
          <w:p w14:paraId="3A4CC2EC" w14:textId="63FA5AB5" w:rsidR="003B666F" w:rsidRPr="00E07195" w:rsidRDefault="006F21BA" w:rsidP="009252D5">
            <w:pPr>
              <w:pStyle w:val="TableTextLeft"/>
              <w:rPr>
                <w:rFonts w:cs="Arial"/>
                <w:szCs w:val="20"/>
                <w:lang w:eastAsia="en-GB"/>
              </w:rPr>
            </w:pPr>
            <w:r w:rsidRPr="00E07195">
              <w:rPr>
                <w:rFonts w:cs="Arial"/>
                <w:noProof/>
                <w:szCs w:val="20"/>
              </w:rPr>
              <w:drawing>
                <wp:inline distT="0" distB="0" distL="0" distR="0" wp14:anchorId="50524FFA" wp14:editId="4DB1B700">
                  <wp:extent cx="390525" cy="351242"/>
                  <wp:effectExtent l="0" t="0" r="0" b="0"/>
                  <wp:docPr id="30" name="Picture 30" descr="Building block four - Governments and services are accountable to Aboriginal and Torres Strait Islander peop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Building block four - Governments and services are accountable to Aboriginal and Torres Strait Islander peoples&#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9380" cy="368200"/>
                          </a:xfrm>
                          <a:prstGeom prst="rect">
                            <a:avLst/>
                          </a:prstGeom>
                        </pic:spPr>
                      </pic:pic>
                    </a:graphicData>
                  </a:graphic>
                </wp:inline>
              </w:drawing>
            </w:r>
          </w:p>
        </w:tc>
        <w:tc>
          <w:tcPr>
            <w:tcW w:w="1197" w:type="dxa"/>
          </w:tcPr>
          <w:p w14:paraId="1B89B335" w14:textId="00FE38B7" w:rsidR="003B666F" w:rsidRPr="00453A57" w:rsidRDefault="00834955" w:rsidP="00453A57">
            <w:pPr>
              <w:pStyle w:val="TableTextLeft"/>
              <w:jc w:val="center"/>
              <w:rPr>
                <w:rFonts w:cs="Arial"/>
                <w:b/>
                <w:bCs/>
                <w:sz w:val="32"/>
                <w:szCs w:val="32"/>
                <w:lang w:eastAsia="en-GB"/>
              </w:rPr>
            </w:pPr>
            <w:r w:rsidRPr="00453A57">
              <w:rPr>
                <w:rFonts w:cs="Arial"/>
                <w:b/>
                <w:bCs/>
                <w:sz w:val="32"/>
                <w:szCs w:val="32"/>
                <w:shd w:val="clear" w:color="auto" w:fill="FFFFFF"/>
              </w:rPr>
              <w:t>3</w:t>
            </w:r>
          </w:p>
        </w:tc>
        <w:tc>
          <w:tcPr>
            <w:tcW w:w="1260" w:type="dxa"/>
          </w:tcPr>
          <w:p w14:paraId="338BB2FC" w14:textId="3A08CDD6" w:rsidR="003B666F" w:rsidRPr="00453A57" w:rsidRDefault="00984024" w:rsidP="00453A57">
            <w:pPr>
              <w:pStyle w:val="TableTextLeft"/>
              <w:jc w:val="center"/>
              <w:rPr>
                <w:rFonts w:cs="Arial"/>
                <w:b/>
                <w:bCs/>
                <w:sz w:val="32"/>
                <w:szCs w:val="32"/>
                <w:lang w:eastAsia="en-GB"/>
              </w:rPr>
            </w:pPr>
            <w:r w:rsidRPr="00453A57">
              <w:rPr>
                <w:rFonts w:cs="Arial"/>
                <w:b/>
                <w:bCs/>
                <w:sz w:val="32"/>
                <w:szCs w:val="32"/>
                <w:lang w:eastAsia="en-GB"/>
              </w:rPr>
              <w:t>5</w:t>
            </w:r>
          </w:p>
        </w:tc>
      </w:tr>
      <w:tr w:rsidR="009252D5" w:rsidRPr="00E07195" w14:paraId="4BD68192" w14:textId="0E19D001" w:rsidTr="25F521CE">
        <w:trPr>
          <w:trHeight w:val="300"/>
        </w:trPr>
        <w:tc>
          <w:tcPr>
            <w:tcW w:w="1847" w:type="dxa"/>
            <w:vMerge/>
          </w:tcPr>
          <w:p w14:paraId="1272DE62" w14:textId="77777777" w:rsidR="003B666F" w:rsidRPr="00E07195" w:rsidRDefault="003B666F" w:rsidP="009252D5">
            <w:pPr>
              <w:pStyle w:val="TableHeadingLeft"/>
              <w:rPr>
                <w:rFonts w:cs="Arial"/>
                <w:szCs w:val="20"/>
              </w:rPr>
            </w:pPr>
          </w:p>
        </w:tc>
        <w:tc>
          <w:tcPr>
            <w:tcW w:w="1928" w:type="dxa"/>
          </w:tcPr>
          <w:p w14:paraId="664EDC11" w14:textId="69CADFD0" w:rsidR="003B666F" w:rsidRDefault="00466465" w:rsidP="009252D5">
            <w:pPr>
              <w:pStyle w:val="TableTextLeft"/>
              <w:rPr>
                <w:rFonts w:cs="Arial"/>
                <w:b/>
                <w:bCs/>
                <w:szCs w:val="20"/>
              </w:rPr>
            </w:pPr>
            <w:r w:rsidRPr="00E07195">
              <w:rPr>
                <w:rFonts w:cs="Arial"/>
                <w:b/>
                <w:bCs/>
                <w:szCs w:val="20"/>
              </w:rPr>
              <w:t>DCSSDS</w:t>
            </w:r>
          </w:p>
          <w:p w14:paraId="26F916F1" w14:textId="77777777" w:rsidR="00E07195" w:rsidRPr="00E07195" w:rsidRDefault="00E07195" w:rsidP="009252D5">
            <w:pPr>
              <w:pStyle w:val="TableTextLeft"/>
              <w:rPr>
                <w:rFonts w:cs="Arial"/>
                <w:b/>
                <w:bCs/>
                <w:szCs w:val="20"/>
              </w:rPr>
            </w:pPr>
          </w:p>
          <w:p w14:paraId="09A84A71" w14:textId="77777777" w:rsidR="003B666F" w:rsidRPr="00E07195" w:rsidRDefault="003B666F" w:rsidP="009252D5">
            <w:pPr>
              <w:pStyle w:val="TableTextLeft"/>
              <w:rPr>
                <w:rFonts w:cs="Arial"/>
                <w:szCs w:val="20"/>
              </w:rPr>
            </w:pPr>
            <w:r w:rsidRPr="00E07195">
              <w:rPr>
                <w:rFonts w:cs="Arial"/>
                <w:szCs w:val="20"/>
              </w:rPr>
              <w:lastRenderedPageBreak/>
              <w:t>QATSICPP</w:t>
            </w:r>
          </w:p>
          <w:p w14:paraId="5BCA1690" w14:textId="07AE46FE" w:rsidR="00CE649C" w:rsidRPr="00E07195" w:rsidRDefault="00CE649C" w:rsidP="009252D5">
            <w:pPr>
              <w:pStyle w:val="TableTextLeft"/>
              <w:rPr>
                <w:rFonts w:cs="Arial"/>
                <w:szCs w:val="20"/>
              </w:rPr>
            </w:pPr>
          </w:p>
        </w:tc>
        <w:tc>
          <w:tcPr>
            <w:tcW w:w="3061" w:type="dxa"/>
          </w:tcPr>
          <w:p w14:paraId="3FADF4DA" w14:textId="55D51DAF" w:rsidR="005B1D42" w:rsidRDefault="00DA18C6" w:rsidP="009252D5">
            <w:pPr>
              <w:pStyle w:val="TableTextLeft"/>
              <w:rPr>
                <w:rFonts w:cs="Arial"/>
                <w:b/>
                <w:bCs/>
                <w:szCs w:val="20"/>
              </w:rPr>
            </w:pPr>
            <w:r w:rsidRPr="005C3E00">
              <w:rPr>
                <w:b/>
                <w:bCs/>
              </w:rPr>
              <w:lastRenderedPageBreak/>
              <w:t xml:space="preserve">1.4 </w:t>
            </w:r>
            <w:r w:rsidRPr="005C3E00">
              <w:t>Review</w:t>
            </w:r>
            <w:r w:rsidR="005B1D42" w:rsidRPr="005C3E00">
              <w:t xml:space="preserve"> investment and commissioning policy, </w:t>
            </w:r>
            <w:proofErr w:type="gramStart"/>
            <w:r w:rsidR="005B1D42" w:rsidRPr="005C3E00">
              <w:lastRenderedPageBreak/>
              <w:t>processes</w:t>
            </w:r>
            <w:proofErr w:type="gramEnd"/>
            <w:r w:rsidR="005B1D42" w:rsidRPr="005C3E00">
              <w:t xml:space="preserve"> and practice to identify strategies to achieve equitable and sustainable investment in the ATSICCO sector, support innovation and scale up successful approaches, and shift towards community-led, place-based decision</w:t>
            </w:r>
            <w:r w:rsidR="005B1D42">
              <w:t>-</w:t>
            </w:r>
            <w:r w:rsidR="005B1D42" w:rsidRPr="005C3E00">
              <w:t>making.</w:t>
            </w:r>
          </w:p>
          <w:p w14:paraId="35E5A63E" w14:textId="77777777" w:rsidR="005B1D42" w:rsidRDefault="005B1D42" w:rsidP="009252D5">
            <w:pPr>
              <w:pStyle w:val="TableTextLeft"/>
              <w:rPr>
                <w:rFonts w:cs="Arial"/>
                <w:b/>
                <w:bCs/>
                <w:szCs w:val="20"/>
              </w:rPr>
            </w:pPr>
          </w:p>
          <w:p w14:paraId="7C9D52B5" w14:textId="3BB7ED73" w:rsidR="00CE0D3C" w:rsidRPr="00E07195" w:rsidRDefault="00CE0D3C" w:rsidP="009252D5">
            <w:pPr>
              <w:pStyle w:val="TableTextLeft"/>
              <w:rPr>
                <w:rFonts w:cs="Arial"/>
                <w:szCs w:val="20"/>
              </w:rPr>
            </w:pPr>
            <w:r w:rsidRPr="00E07195">
              <w:rPr>
                <w:rFonts w:cs="Arial"/>
                <w:b/>
                <w:bCs/>
                <w:szCs w:val="20"/>
                <w:lang w:eastAsia="en-AU"/>
              </w:rPr>
              <w:t>Timing:</w:t>
            </w:r>
            <w:r w:rsidRPr="00E07195">
              <w:rPr>
                <w:rFonts w:cs="Arial"/>
                <w:szCs w:val="20"/>
                <w:lang w:eastAsia="en-AU"/>
              </w:rPr>
              <w:t xml:space="preserve">  </w:t>
            </w:r>
            <w:r w:rsidRPr="00E07195">
              <w:rPr>
                <w:rFonts w:cs="Arial"/>
                <w:szCs w:val="20"/>
              </w:rPr>
              <w:t>Years 1 to 3 (2023</w:t>
            </w:r>
            <w:r w:rsidR="00044A94">
              <w:rPr>
                <w:rFonts w:eastAsia="Calibri"/>
              </w:rPr>
              <w:t>–</w:t>
            </w:r>
            <w:r w:rsidRPr="00E07195">
              <w:rPr>
                <w:rFonts w:cs="Arial"/>
                <w:szCs w:val="20"/>
              </w:rPr>
              <w:t>2025)</w:t>
            </w:r>
          </w:p>
          <w:p w14:paraId="72D07EA8" w14:textId="5A505B30" w:rsidR="003B666F" w:rsidRPr="00E07195" w:rsidRDefault="00CE0D3C" w:rsidP="009252D5">
            <w:pPr>
              <w:pStyle w:val="TableTextLeft"/>
              <w:rPr>
                <w:rFonts w:cs="Arial"/>
                <w:szCs w:val="20"/>
              </w:rPr>
            </w:pPr>
            <w:r w:rsidRPr="00E07195">
              <w:rPr>
                <w:rFonts w:cs="Arial"/>
                <w:szCs w:val="20"/>
              </w:rPr>
              <w:t>*Ongoing implementation in Breaking Cycles Action Plans 2 and 3 (2026-2031)</w:t>
            </w:r>
          </w:p>
        </w:tc>
        <w:tc>
          <w:tcPr>
            <w:tcW w:w="3685" w:type="dxa"/>
          </w:tcPr>
          <w:p w14:paraId="39EEAF94" w14:textId="0EFF882C" w:rsidR="00CE0D3C" w:rsidRPr="00E07195" w:rsidRDefault="00CE0D3C" w:rsidP="009252D5">
            <w:pPr>
              <w:pStyle w:val="TableTextLeft"/>
              <w:rPr>
                <w:rFonts w:cs="Arial"/>
                <w:szCs w:val="20"/>
              </w:rPr>
            </w:pPr>
            <w:r w:rsidRPr="00E07195">
              <w:rPr>
                <w:rFonts w:cs="Arial"/>
                <w:b/>
                <w:bCs/>
                <w:szCs w:val="20"/>
                <w:lang w:eastAsia="en-AU"/>
              </w:rPr>
              <w:lastRenderedPageBreak/>
              <w:t>D:</w:t>
            </w:r>
            <w:r w:rsidRPr="00E07195">
              <w:rPr>
                <w:rFonts w:cs="Arial"/>
                <w:szCs w:val="20"/>
                <w:lang w:eastAsia="en-AU"/>
              </w:rPr>
              <w:t xml:space="preserve">  An implementation plan, co-designed with QATSICPP to transform </w:t>
            </w:r>
            <w:r w:rsidRPr="00E07195">
              <w:rPr>
                <w:rFonts w:cs="Arial"/>
                <w:szCs w:val="20"/>
                <w:lang w:eastAsia="en-AU"/>
              </w:rPr>
              <w:lastRenderedPageBreak/>
              <w:t>approaches to investment and commissioning</w:t>
            </w:r>
            <w:r w:rsidRPr="00E07195">
              <w:rPr>
                <w:rFonts w:cs="Arial"/>
                <w:szCs w:val="20"/>
              </w:rPr>
              <w:t xml:space="preserve"> that enable</w:t>
            </w:r>
            <w:r w:rsidR="00D805AE" w:rsidRPr="00E07195">
              <w:rPr>
                <w:rFonts w:cs="Arial"/>
                <w:szCs w:val="20"/>
              </w:rPr>
              <w:t>s</w:t>
            </w:r>
            <w:r w:rsidRPr="00E07195">
              <w:rPr>
                <w:rFonts w:cs="Arial"/>
                <w:szCs w:val="20"/>
              </w:rPr>
              <w:t xml:space="preserve"> self-determination and prioritise investment in ATSICCOs to design programs and services which are tailored to meet the needs of their community and adopt a culturally safe, holistic prevention and early intervention approach. </w:t>
            </w:r>
          </w:p>
          <w:p w14:paraId="14D28926" w14:textId="77777777" w:rsidR="00CE0D3C" w:rsidRPr="00E07195" w:rsidRDefault="00CE0D3C" w:rsidP="009252D5">
            <w:pPr>
              <w:pStyle w:val="TableTextLeft"/>
              <w:rPr>
                <w:rFonts w:cs="Arial"/>
                <w:szCs w:val="20"/>
              </w:rPr>
            </w:pPr>
          </w:p>
          <w:p w14:paraId="69E7DE9A" w14:textId="25D1C56C" w:rsidR="00CE0D3C" w:rsidRPr="00E07195" w:rsidRDefault="73322010" w:rsidP="009252D5">
            <w:pPr>
              <w:pStyle w:val="TableTextLeft"/>
              <w:rPr>
                <w:rFonts w:cs="Arial"/>
                <w:szCs w:val="20"/>
                <w:lang w:eastAsia="en-AU"/>
              </w:rPr>
            </w:pPr>
            <w:r w:rsidRPr="00E07195">
              <w:rPr>
                <w:rFonts w:cs="Arial"/>
                <w:b/>
                <w:bCs/>
                <w:szCs w:val="20"/>
                <w:lang w:eastAsia="en-AU"/>
              </w:rPr>
              <w:t>SI:</w:t>
            </w:r>
            <w:r w:rsidR="214D8980" w:rsidRPr="00E07195">
              <w:rPr>
                <w:rFonts w:cs="Arial"/>
                <w:b/>
                <w:bCs/>
                <w:szCs w:val="20"/>
                <w:lang w:eastAsia="en-AU"/>
              </w:rPr>
              <w:t xml:space="preserve"> </w:t>
            </w:r>
            <w:r w:rsidR="214D8980" w:rsidRPr="00E07195">
              <w:rPr>
                <w:rFonts w:cs="Arial"/>
                <w:szCs w:val="20"/>
                <w:lang w:eastAsia="en-AU"/>
              </w:rPr>
              <w:t>Trial of new approach to commissioning</w:t>
            </w:r>
            <w:r w:rsidR="00E63546" w:rsidRPr="00E07195">
              <w:rPr>
                <w:rFonts w:cs="Arial"/>
                <w:szCs w:val="20"/>
                <w:lang w:eastAsia="en-AU"/>
              </w:rPr>
              <w:t>.</w:t>
            </w:r>
            <w:r w:rsidRPr="00E07195">
              <w:rPr>
                <w:rFonts w:cs="Arial"/>
                <w:szCs w:val="20"/>
                <w:lang w:eastAsia="en-AU"/>
              </w:rPr>
              <w:t xml:space="preserve"> </w:t>
            </w:r>
          </w:p>
          <w:p w14:paraId="6BE43C1C" w14:textId="59C0FBF8" w:rsidR="00CE0D3C" w:rsidRPr="00E07195" w:rsidRDefault="5A925282" w:rsidP="009252D5">
            <w:pPr>
              <w:pStyle w:val="TableTextLeft"/>
              <w:rPr>
                <w:rFonts w:cs="Arial"/>
                <w:szCs w:val="20"/>
                <w:lang w:eastAsia="en-AU"/>
              </w:rPr>
            </w:pPr>
            <w:r w:rsidRPr="00E07195">
              <w:rPr>
                <w:rFonts w:cs="Arial"/>
                <w:b/>
                <w:bCs/>
                <w:szCs w:val="20"/>
                <w:lang w:eastAsia="en-AU"/>
              </w:rPr>
              <w:t>SI:</w:t>
            </w:r>
            <w:r w:rsidRPr="00E07195">
              <w:rPr>
                <w:rFonts w:cs="Arial"/>
                <w:szCs w:val="20"/>
                <w:lang w:eastAsia="en-AU"/>
              </w:rPr>
              <w:t xml:space="preserve"> </w:t>
            </w:r>
            <w:r w:rsidR="00D805AE" w:rsidRPr="00E07195">
              <w:rPr>
                <w:rFonts w:cs="Arial"/>
                <w:szCs w:val="20"/>
                <w:lang w:eastAsia="en-AU"/>
              </w:rPr>
              <w:t>W</w:t>
            </w:r>
            <w:r w:rsidRPr="00E07195">
              <w:rPr>
                <w:rFonts w:cs="Arial"/>
                <w:szCs w:val="20"/>
                <w:lang w:eastAsia="en-AU"/>
              </w:rPr>
              <w:t>ider i</w:t>
            </w:r>
            <w:r w:rsidR="73322010" w:rsidRPr="00E07195">
              <w:rPr>
                <w:rFonts w:cs="Arial"/>
                <w:szCs w:val="20"/>
                <w:lang w:eastAsia="en-AU"/>
              </w:rPr>
              <w:t>mplementation of procurement policy, procedures and specifications which reflect a new approach to investment and commissioning and support the transition of investment to the ATSICCO sector</w:t>
            </w:r>
            <w:r w:rsidR="00E63546" w:rsidRPr="00E07195">
              <w:rPr>
                <w:rFonts w:cs="Arial"/>
                <w:szCs w:val="20"/>
                <w:lang w:eastAsia="en-AU"/>
              </w:rPr>
              <w:t>.</w:t>
            </w:r>
          </w:p>
          <w:p w14:paraId="41318563" w14:textId="18044D34" w:rsidR="00D805AE" w:rsidRPr="00E07195" w:rsidRDefault="00D805AE" w:rsidP="009252D5">
            <w:pPr>
              <w:pStyle w:val="TableTextLeft"/>
              <w:rPr>
                <w:rFonts w:cs="Arial"/>
                <w:szCs w:val="20"/>
                <w:lang w:eastAsia="en-AU"/>
              </w:rPr>
            </w:pPr>
            <w:r w:rsidRPr="00E07195">
              <w:rPr>
                <w:rFonts w:cs="Arial"/>
                <w:b/>
                <w:bCs/>
                <w:szCs w:val="20"/>
                <w:lang w:eastAsia="en-AU"/>
              </w:rPr>
              <w:t>SI:</w:t>
            </w:r>
            <w:r w:rsidRPr="00E07195">
              <w:rPr>
                <w:rFonts w:cs="Arial"/>
                <w:szCs w:val="20"/>
                <w:lang w:eastAsia="en-AU"/>
              </w:rPr>
              <w:t xml:space="preserve"> Shift towards outcomes-based commissioning</w:t>
            </w:r>
            <w:r w:rsidR="00E63546" w:rsidRPr="00E07195">
              <w:rPr>
                <w:rFonts w:cs="Arial"/>
                <w:szCs w:val="20"/>
                <w:lang w:eastAsia="en-AU"/>
              </w:rPr>
              <w:t>.</w:t>
            </w:r>
            <w:r w:rsidRPr="00E07195">
              <w:rPr>
                <w:rFonts w:cs="Arial"/>
                <w:szCs w:val="20"/>
                <w:lang w:eastAsia="en-AU"/>
              </w:rPr>
              <w:t xml:space="preserve"> </w:t>
            </w:r>
          </w:p>
          <w:p w14:paraId="2DE2FF0D" w14:textId="3019485E" w:rsidR="00CE0D3C" w:rsidRPr="00E07195" w:rsidRDefault="73322010" w:rsidP="009252D5">
            <w:pPr>
              <w:pStyle w:val="TableTextLeft"/>
              <w:rPr>
                <w:rFonts w:cs="Arial"/>
                <w:szCs w:val="20"/>
              </w:rPr>
            </w:pPr>
            <w:r w:rsidRPr="00E07195">
              <w:rPr>
                <w:rFonts w:cs="Arial"/>
                <w:b/>
                <w:bCs/>
                <w:szCs w:val="20"/>
              </w:rPr>
              <w:t>SI:</w:t>
            </w:r>
            <w:r w:rsidRPr="00E07195">
              <w:rPr>
                <w:rFonts w:cs="Arial"/>
                <w:szCs w:val="20"/>
              </w:rPr>
              <w:t xml:space="preserve">  </w:t>
            </w:r>
            <w:r w:rsidRPr="00E07195">
              <w:rPr>
                <w:rFonts w:cs="Arial"/>
                <w:szCs w:val="20"/>
                <w:lang w:eastAsia="en-AU"/>
              </w:rPr>
              <w:t xml:space="preserve">Examples of community-led, place-based </w:t>
            </w:r>
            <w:r w:rsidR="000D492C" w:rsidRPr="00E07195">
              <w:rPr>
                <w:rFonts w:cs="Arial"/>
                <w:szCs w:val="20"/>
                <w:lang w:eastAsia="en-AU"/>
              </w:rPr>
              <w:t>decision-making</w:t>
            </w:r>
            <w:r w:rsidRPr="00E07195">
              <w:rPr>
                <w:rFonts w:cs="Arial"/>
                <w:szCs w:val="20"/>
                <w:lang w:eastAsia="en-AU"/>
              </w:rPr>
              <w:t xml:space="preserve"> regarding investment</w:t>
            </w:r>
            <w:r w:rsidR="00E63546" w:rsidRPr="00E07195">
              <w:rPr>
                <w:rFonts w:cs="Arial"/>
                <w:szCs w:val="20"/>
                <w:lang w:eastAsia="en-AU"/>
              </w:rPr>
              <w:t>.</w:t>
            </w:r>
          </w:p>
          <w:p w14:paraId="4397E5E5" w14:textId="2541E485" w:rsidR="003B666F" w:rsidRPr="00E07195" w:rsidRDefault="00CE0D3C" w:rsidP="009252D5">
            <w:pPr>
              <w:pStyle w:val="TableTextLeft"/>
              <w:rPr>
                <w:rFonts w:cs="Arial"/>
                <w:szCs w:val="20"/>
              </w:rPr>
            </w:pPr>
            <w:r w:rsidRPr="00E07195">
              <w:rPr>
                <w:rFonts w:cs="Arial"/>
                <w:b/>
                <w:bCs/>
                <w:szCs w:val="20"/>
              </w:rPr>
              <w:t>SI:</w:t>
            </w:r>
            <w:r w:rsidRPr="00E07195">
              <w:rPr>
                <w:rFonts w:cs="Arial"/>
                <w:szCs w:val="20"/>
              </w:rPr>
              <w:t xml:space="preserve">  </w:t>
            </w:r>
            <w:r w:rsidR="00512D2B">
              <w:rPr>
                <w:rFonts w:cs="Arial"/>
                <w:szCs w:val="20"/>
              </w:rPr>
              <w:t>Increase in</w:t>
            </w:r>
            <w:r w:rsidRPr="00E07195">
              <w:rPr>
                <w:rFonts w:cs="Arial"/>
                <w:szCs w:val="20"/>
              </w:rPr>
              <w:t xml:space="preserve"> funding allocated towards prevention and early intervention</w:t>
            </w:r>
            <w:r w:rsidR="00E63546" w:rsidRPr="00E07195">
              <w:rPr>
                <w:rFonts w:cs="Arial"/>
                <w:szCs w:val="20"/>
              </w:rPr>
              <w:t>.</w:t>
            </w:r>
          </w:p>
        </w:tc>
        <w:tc>
          <w:tcPr>
            <w:tcW w:w="3118" w:type="dxa"/>
          </w:tcPr>
          <w:p w14:paraId="3CA39BCB" w14:textId="7490DC8A" w:rsidR="003B666F" w:rsidRPr="007C1C61" w:rsidRDefault="003B666F" w:rsidP="009252D5">
            <w:pPr>
              <w:pStyle w:val="TableTextLeft"/>
              <w:rPr>
                <w:rFonts w:cs="Arial"/>
                <w:szCs w:val="20"/>
              </w:rPr>
            </w:pPr>
            <w:r w:rsidRPr="008F737E">
              <w:rPr>
                <w:rFonts w:cs="Arial"/>
                <w:b/>
                <w:bCs/>
                <w:szCs w:val="20"/>
              </w:rPr>
              <w:lastRenderedPageBreak/>
              <w:t>O:</w:t>
            </w:r>
            <w:r w:rsidRPr="007C1C61">
              <w:rPr>
                <w:rFonts w:cs="Arial"/>
                <w:szCs w:val="20"/>
              </w:rPr>
              <w:t xml:space="preserve">  The </w:t>
            </w:r>
            <w:r w:rsidR="00E63546" w:rsidRPr="007C1C61">
              <w:rPr>
                <w:rFonts w:cs="Arial"/>
                <w:szCs w:val="20"/>
              </w:rPr>
              <w:t>ATSICCO</w:t>
            </w:r>
            <w:r w:rsidRPr="007C1C61">
              <w:rPr>
                <w:rFonts w:cs="Arial"/>
                <w:szCs w:val="20"/>
              </w:rPr>
              <w:t xml:space="preserve"> sector is supported to strengthen its </w:t>
            </w:r>
            <w:r w:rsidRPr="007C1C61">
              <w:rPr>
                <w:rFonts w:cs="Arial"/>
                <w:szCs w:val="20"/>
              </w:rPr>
              <w:lastRenderedPageBreak/>
              <w:t>capacity and capability to deliver high quality services to Aboriginal and Torres Strait Islander communities</w:t>
            </w:r>
            <w:r w:rsidR="00E63546" w:rsidRPr="007C1C61">
              <w:rPr>
                <w:rFonts w:cs="Arial"/>
                <w:szCs w:val="20"/>
              </w:rPr>
              <w:t>.</w:t>
            </w:r>
          </w:p>
          <w:p w14:paraId="7DBEFF19" w14:textId="13A5D7BB" w:rsidR="003B666F" w:rsidRPr="007C1C61" w:rsidRDefault="003B666F" w:rsidP="009252D5">
            <w:pPr>
              <w:pStyle w:val="TableTextLeft"/>
              <w:rPr>
                <w:rFonts w:cs="Arial"/>
                <w:szCs w:val="20"/>
              </w:rPr>
            </w:pPr>
            <w:r w:rsidRPr="008F737E">
              <w:rPr>
                <w:rFonts w:cs="Arial"/>
                <w:b/>
                <w:bCs/>
                <w:szCs w:val="20"/>
              </w:rPr>
              <w:t>O:</w:t>
            </w:r>
            <w:r w:rsidRPr="007C1C61">
              <w:rPr>
                <w:rFonts w:cs="Arial"/>
                <w:szCs w:val="20"/>
              </w:rPr>
              <w:t xml:space="preserve">  Aboriginal and Torres Strait Islander children and families </w:t>
            </w:r>
            <w:proofErr w:type="gramStart"/>
            <w:r w:rsidRPr="007C1C61">
              <w:rPr>
                <w:rFonts w:cs="Arial"/>
                <w:szCs w:val="20"/>
              </w:rPr>
              <w:t>are able to</w:t>
            </w:r>
            <w:proofErr w:type="gramEnd"/>
            <w:r w:rsidRPr="007C1C61">
              <w:rPr>
                <w:rFonts w:cs="Arial"/>
                <w:szCs w:val="20"/>
              </w:rPr>
              <w:t xml:space="preserve"> access the services of their choice</w:t>
            </w:r>
            <w:r w:rsidR="00E63546" w:rsidRPr="007C1C61">
              <w:rPr>
                <w:rFonts w:cs="Arial"/>
                <w:szCs w:val="20"/>
              </w:rPr>
              <w:t>.</w:t>
            </w:r>
          </w:p>
          <w:p w14:paraId="2EC21369" w14:textId="01B41906" w:rsidR="003B666F" w:rsidRPr="007C1C61" w:rsidRDefault="003B666F" w:rsidP="009252D5">
            <w:pPr>
              <w:pStyle w:val="TableTextLeft"/>
              <w:rPr>
                <w:rFonts w:cs="Arial"/>
                <w:szCs w:val="20"/>
              </w:rPr>
            </w:pPr>
            <w:r w:rsidRPr="008F737E">
              <w:rPr>
                <w:rFonts w:cs="Arial"/>
                <w:b/>
                <w:bCs/>
                <w:szCs w:val="20"/>
              </w:rPr>
              <w:t>O:</w:t>
            </w:r>
            <w:r w:rsidRPr="007C1C61">
              <w:rPr>
                <w:rFonts w:cs="Arial"/>
                <w:szCs w:val="20"/>
              </w:rPr>
              <w:t xml:space="preserve">  Aboriginal and Torres Strait Islander leaders and </w:t>
            </w:r>
            <w:r w:rsidR="00E63546" w:rsidRPr="007C1C61">
              <w:rPr>
                <w:rFonts w:cs="Arial"/>
                <w:szCs w:val="20"/>
              </w:rPr>
              <w:t>ATSICCO</w:t>
            </w:r>
            <w:r w:rsidRPr="007C1C61">
              <w:rPr>
                <w:rFonts w:cs="Arial"/>
                <w:szCs w:val="20"/>
              </w:rPr>
              <w:t xml:space="preserve"> lead all policy and </w:t>
            </w:r>
            <w:r w:rsidR="000D492C" w:rsidRPr="007C1C61">
              <w:rPr>
                <w:rFonts w:cs="Arial"/>
                <w:szCs w:val="20"/>
              </w:rPr>
              <w:t>decision-making</w:t>
            </w:r>
            <w:r w:rsidRPr="007C1C61">
              <w:rPr>
                <w:rFonts w:cs="Arial"/>
                <w:szCs w:val="20"/>
              </w:rPr>
              <w:t xml:space="preserve"> processes related to their communities</w:t>
            </w:r>
            <w:r w:rsidR="00E63546" w:rsidRPr="007C1C61">
              <w:rPr>
                <w:rFonts w:cs="Arial"/>
                <w:szCs w:val="20"/>
              </w:rPr>
              <w:t>.</w:t>
            </w:r>
          </w:p>
          <w:p w14:paraId="575A5262" w14:textId="55FAFD27" w:rsidR="003B666F" w:rsidRPr="007C1C61" w:rsidRDefault="003B666F" w:rsidP="009252D5">
            <w:pPr>
              <w:pStyle w:val="TableTextLeft"/>
              <w:rPr>
                <w:rFonts w:cs="Arial"/>
                <w:szCs w:val="20"/>
              </w:rPr>
            </w:pPr>
            <w:r w:rsidRPr="008F737E">
              <w:rPr>
                <w:rFonts w:cs="Arial"/>
                <w:b/>
                <w:bCs/>
                <w:szCs w:val="20"/>
              </w:rPr>
              <w:t>O:</w:t>
            </w:r>
            <w:r w:rsidRPr="007C1C61">
              <w:rPr>
                <w:rFonts w:cs="Arial"/>
                <w:szCs w:val="20"/>
              </w:rPr>
              <w:t xml:space="preserve">  Funding, procurement and commissioning processes are equitable and reflect the shift in investment and power to the </w:t>
            </w:r>
            <w:r w:rsidR="00E63546" w:rsidRPr="007C1C61">
              <w:rPr>
                <w:rFonts w:cs="Arial"/>
                <w:szCs w:val="20"/>
              </w:rPr>
              <w:t>ATSICCO</w:t>
            </w:r>
            <w:r w:rsidRPr="007C1C61">
              <w:rPr>
                <w:rFonts w:cs="Arial"/>
                <w:szCs w:val="20"/>
              </w:rPr>
              <w:t xml:space="preserve"> sector</w:t>
            </w:r>
            <w:r w:rsidR="00E63546" w:rsidRPr="007C1C61">
              <w:rPr>
                <w:rFonts w:cs="Arial"/>
                <w:szCs w:val="20"/>
              </w:rPr>
              <w:t>.</w:t>
            </w:r>
          </w:p>
          <w:p w14:paraId="355B6D91" w14:textId="54FA14B1" w:rsidR="003B666F" w:rsidRPr="007C1C61" w:rsidRDefault="003B666F" w:rsidP="009252D5">
            <w:pPr>
              <w:pStyle w:val="TableTextLeft"/>
              <w:rPr>
                <w:rFonts w:cs="Arial"/>
                <w:szCs w:val="20"/>
              </w:rPr>
            </w:pPr>
            <w:r w:rsidRPr="008F737E">
              <w:rPr>
                <w:rFonts w:cs="Arial"/>
                <w:b/>
                <w:bCs/>
                <w:szCs w:val="20"/>
              </w:rPr>
              <w:t>O:</w:t>
            </w:r>
            <w:r w:rsidRPr="007C1C61">
              <w:rPr>
                <w:rFonts w:cs="Arial"/>
                <w:szCs w:val="20"/>
              </w:rPr>
              <w:t xml:space="preserve">  All government agencies and service providers commit to genuine co-design processes and work in true partnerships with the community and ATSICCOs</w:t>
            </w:r>
            <w:r w:rsidR="000D492C" w:rsidRPr="007C1C61">
              <w:rPr>
                <w:rFonts w:cs="Arial"/>
                <w:szCs w:val="20"/>
              </w:rPr>
              <w:t>.</w:t>
            </w:r>
          </w:p>
        </w:tc>
        <w:tc>
          <w:tcPr>
            <w:tcW w:w="3685" w:type="dxa"/>
          </w:tcPr>
          <w:p w14:paraId="2765D241" w14:textId="26ACE95E" w:rsidR="00CE0D3C" w:rsidRPr="00E07195" w:rsidRDefault="00E63546" w:rsidP="009252D5">
            <w:pPr>
              <w:pStyle w:val="TableTextLeft"/>
              <w:rPr>
                <w:rFonts w:cs="Arial"/>
                <w:szCs w:val="20"/>
              </w:rPr>
            </w:pPr>
            <w:r w:rsidRPr="00E07195">
              <w:rPr>
                <w:rFonts w:cs="Arial"/>
                <w:szCs w:val="20"/>
                <w:lang w:eastAsia="en-AU"/>
              </w:rPr>
              <w:lastRenderedPageBreak/>
              <w:t>ATSICCO</w:t>
            </w:r>
            <w:r w:rsidR="73322010" w:rsidRPr="00E07195">
              <w:rPr>
                <w:rFonts w:cs="Arial"/>
                <w:szCs w:val="20"/>
                <w:lang w:eastAsia="en-AU"/>
              </w:rPr>
              <w:t xml:space="preserve"> services achieve superior outcomes for their children and </w:t>
            </w:r>
            <w:r w:rsidR="73322010" w:rsidRPr="00E07195">
              <w:rPr>
                <w:rFonts w:cs="Arial"/>
                <w:szCs w:val="20"/>
                <w:lang w:eastAsia="en-AU"/>
              </w:rPr>
              <w:lastRenderedPageBreak/>
              <w:t>families</w:t>
            </w:r>
            <w:r w:rsidR="59D040D6" w:rsidRPr="00E07195">
              <w:rPr>
                <w:rFonts w:cs="Arial"/>
                <w:szCs w:val="20"/>
                <w:lang w:eastAsia="en-AU"/>
              </w:rPr>
              <w:t>, employ more Aboriginal and Torres Strait Islander people</w:t>
            </w:r>
            <w:r w:rsidR="000B7470">
              <w:rPr>
                <w:rFonts w:cs="Arial"/>
                <w:szCs w:val="20"/>
                <w:lang w:eastAsia="en-AU"/>
              </w:rPr>
              <w:t>s</w:t>
            </w:r>
            <w:r w:rsidR="59D040D6" w:rsidRPr="00E07195">
              <w:rPr>
                <w:rFonts w:cs="Arial"/>
                <w:szCs w:val="20"/>
                <w:lang w:eastAsia="en-AU"/>
              </w:rPr>
              <w:t>,</w:t>
            </w:r>
            <w:r w:rsidR="73322010" w:rsidRPr="00E07195">
              <w:rPr>
                <w:rFonts w:cs="Arial"/>
                <w:szCs w:val="20"/>
                <w:lang w:eastAsia="en-AU"/>
              </w:rPr>
              <w:t xml:space="preserve"> and are often preferred over government and mainstream services. </w:t>
            </w:r>
            <w:r w:rsidR="73322010" w:rsidRPr="00E07195">
              <w:rPr>
                <w:rFonts w:cs="Arial"/>
                <w:szCs w:val="20"/>
              </w:rPr>
              <w:t xml:space="preserve">Bolstering efforts designed to strengthen and support families, prevent the removal of children from their families, and support healing from trauma is vital to the success of </w:t>
            </w:r>
            <w:r w:rsidR="73322010" w:rsidRPr="00E07195">
              <w:rPr>
                <w:rFonts w:cs="Arial"/>
                <w:i/>
                <w:iCs/>
                <w:szCs w:val="20"/>
              </w:rPr>
              <w:t>Our Way</w:t>
            </w:r>
            <w:r w:rsidR="73322010" w:rsidRPr="00E07195">
              <w:rPr>
                <w:rFonts w:cs="Arial"/>
                <w:szCs w:val="20"/>
              </w:rPr>
              <w:t xml:space="preserve"> and Breaking Cycles.</w:t>
            </w:r>
          </w:p>
          <w:p w14:paraId="083FD219" w14:textId="77777777" w:rsidR="00CE0D3C" w:rsidRPr="00E07195" w:rsidRDefault="00CE0D3C" w:rsidP="009252D5">
            <w:pPr>
              <w:pStyle w:val="TableTextLeft"/>
              <w:rPr>
                <w:rFonts w:cs="Arial"/>
                <w:szCs w:val="20"/>
                <w:lang w:eastAsia="en-AU"/>
              </w:rPr>
            </w:pPr>
          </w:p>
          <w:p w14:paraId="136BAB54" w14:textId="77777777" w:rsidR="00CE0D3C" w:rsidRPr="00E07195" w:rsidRDefault="73322010" w:rsidP="009252D5">
            <w:pPr>
              <w:pStyle w:val="TableTextLeft"/>
              <w:rPr>
                <w:rFonts w:cs="Arial"/>
                <w:szCs w:val="20"/>
                <w:lang w:eastAsia="en-AU"/>
              </w:rPr>
            </w:pPr>
            <w:r w:rsidRPr="00E07195">
              <w:rPr>
                <w:rFonts w:cs="Arial"/>
                <w:szCs w:val="20"/>
                <w:lang w:eastAsia="en-AU"/>
              </w:rPr>
              <w:t>There is a need to grow the proportion of services delivered by ATSICCOs and to ensure the level of investment is proportionate to the service needs and level of system representation of Aboriginal and Torres Strait Islander families. </w:t>
            </w:r>
          </w:p>
          <w:p w14:paraId="2498695E" w14:textId="77777777" w:rsidR="00CE0D3C" w:rsidRPr="00E07195" w:rsidRDefault="00CE0D3C" w:rsidP="009252D5">
            <w:pPr>
              <w:pStyle w:val="TableTextLeft"/>
              <w:rPr>
                <w:rFonts w:cs="Arial"/>
                <w:szCs w:val="20"/>
                <w:lang w:eastAsia="en-AU"/>
              </w:rPr>
            </w:pPr>
          </w:p>
          <w:p w14:paraId="060F094D" w14:textId="18F89C46" w:rsidR="00CE0D3C" w:rsidRDefault="73322010" w:rsidP="009252D5">
            <w:pPr>
              <w:pStyle w:val="TableTextLeft"/>
              <w:rPr>
                <w:rFonts w:cs="Arial"/>
                <w:szCs w:val="20"/>
                <w:lang w:eastAsia="en-AU"/>
              </w:rPr>
            </w:pPr>
            <w:r w:rsidRPr="00E07195">
              <w:rPr>
                <w:rFonts w:cs="Arial"/>
                <w:szCs w:val="20"/>
                <w:lang w:eastAsia="en-AU"/>
              </w:rPr>
              <w:t>Empowering Aboriginal and Torres Strait Islander communities and organisations to make decisions about how best to use resources to support their children and families enables self-determination. </w:t>
            </w:r>
          </w:p>
          <w:p w14:paraId="148FF855" w14:textId="77777777" w:rsidR="000D492C" w:rsidRPr="00E07195" w:rsidRDefault="000D492C" w:rsidP="009252D5">
            <w:pPr>
              <w:pStyle w:val="TableTextLeft"/>
              <w:rPr>
                <w:rFonts w:cs="Arial"/>
                <w:szCs w:val="20"/>
                <w:lang w:eastAsia="en-AU"/>
              </w:rPr>
            </w:pPr>
          </w:p>
          <w:p w14:paraId="09E493C3" w14:textId="74737492" w:rsidR="00CE0D3C" w:rsidRPr="00E07195" w:rsidRDefault="73322010" w:rsidP="009252D5">
            <w:pPr>
              <w:pStyle w:val="TableTextLeft"/>
              <w:rPr>
                <w:rFonts w:cs="Arial"/>
                <w:szCs w:val="20"/>
              </w:rPr>
            </w:pPr>
            <w:r w:rsidRPr="00E07195">
              <w:rPr>
                <w:rFonts w:cs="Arial"/>
                <w:szCs w:val="20"/>
              </w:rPr>
              <w:t>In 2020-21, only 14</w:t>
            </w:r>
            <w:r w:rsidR="008410E8">
              <w:rPr>
                <w:rFonts w:cs="Arial"/>
                <w:szCs w:val="20"/>
              </w:rPr>
              <w:t xml:space="preserve"> percent </w:t>
            </w:r>
            <w:r w:rsidRPr="00E07195">
              <w:rPr>
                <w:rFonts w:cs="Arial"/>
                <w:szCs w:val="20"/>
              </w:rPr>
              <w:t xml:space="preserve">of Queensland’s total expenditure on the child protection system was directed towards family preservation services, with the remainder allocated towards protective care interventions and out-of-home care. </w:t>
            </w:r>
          </w:p>
          <w:p w14:paraId="7032FEAF" w14:textId="77777777" w:rsidR="00CE0D3C" w:rsidRPr="00E07195" w:rsidRDefault="00CE0D3C" w:rsidP="009252D5">
            <w:pPr>
              <w:pStyle w:val="TableTextLeft"/>
              <w:rPr>
                <w:rFonts w:cs="Arial"/>
                <w:szCs w:val="20"/>
                <w:lang w:eastAsia="en-AU"/>
              </w:rPr>
            </w:pPr>
          </w:p>
          <w:p w14:paraId="0F871252" w14:textId="2B74C21D" w:rsidR="003B666F" w:rsidRPr="00E07195" w:rsidRDefault="73322010" w:rsidP="009252D5">
            <w:pPr>
              <w:pStyle w:val="TableTextLeft"/>
              <w:rPr>
                <w:rFonts w:cs="Arial"/>
                <w:szCs w:val="20"/>
              </w:rPr>
            </w:pPr>
            <w:r w:rsidRPr="00E07195">
              <w:rPr>
                <w:rFonts w:cs="Arial"/>
                <w:szCs w:val="20"/>
                <w:lang w:eastAsia="en-AU"/>
              </w:rPr>
              <w:t>This action aligns with Recommendation 1</w:t>
            </w:r>
            <w:r w:rsidR="00243B7A">
              <w:rPr>
                <w:rFonts w:cs="Arial"/>
                <w:szCs w:val="20"/>
                <w:lang w:eastAsia="en-AU"/>
              </w:rPr>
              <w:t xml:space="preserve"> and </w:t>
            </w:r>
            <w:r w:rsidRPr="00E07195">
              <w:rPr>
                <w:rFonts w:cs="Arial"/>
                <w:szCs w:val="20"/>
                <w:lang w:eastAsia="en-AU"/>
              </w:rPr>
              <w:t>4 of the Family Matters Report 2022. </w:t>
            </w:r>
          </w:p>
        </w:tc>
        <w:tc>
          <w:tcPr>
            <w:tcW w:w="1627" w:type="dxa"/>
          </w:tcPr>
          <w:p w14:paraId="556BFBA7" w14:textId="047070CA" w:rsidR="003A7427" w:rsidRPr="00E07195" w:rsidRDefault="006F21BA" w:rsidP="009252D5">
            <w:pPr>
              <w:pStyle w:val="TableTextLeft"/>
              <w:rPr>
                <w:rFonts w:cs="Arial"/>
                <w:szCs w:val="20"/>
              </w:rPr>
            </w:pPr>
            <w:r w:rsidRPr="00E07195">
              <w:rPr>
                <w:rFonts w:cs="Arial"/>
                <w:noProof/>
                <w:szCs w:val="20"/>
              </w:rPr>
              <w:lastRenderedPageBreak/>
              <w:drawing>
                <wp:inline distT="0" distB="0" distL="0" distR="0" wp14:anchorId="68A3978C" wp14:editId="4365CF15">
                  <wp:extent cx="339271" cy="323850"/>
                  <wp:effectExtent l="0" t="0" r="3810" b="0"/>
                  <wp:docPr id="32" name="Picture 32" descr="Building block one - All families enjoy access to quality, culturally safe universal and targeted services necessary for Aboriginal and Torres Strait Islander children to thrive  &#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Building block one - All families enjoy access to quality, culturally safe universal and targeted services necessary for Aboriginal and Torres Strait Islander children to thrive  &#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3940" cy="328307"/>
                          </a:xfrm>
                          <a:prstGeom prst="rect">
                            <a:avLst/>
                          </a:prstGeom>
                        </pic:spPr>
                      </pic:pic>
                    </a:graphicData>
                  </a:graphic>
                </wp:inline>
              </w:drawing>
            </w:r>
          </w:p>
          <w:p w14:paraId="52B3ED0F" w14:textId="6E29126D" w:rsidR="003B666F" w:rsidRPr="00E07195" w:rsidRDefault="006F21BA" w:rsidP="009252D5">
            <w:pPr>
              <w:pStyle w:val="TableTextLeft"/>
              <w:rPr>
                <w:rFonts w:cs="Arial"/>
                <w:szCs w:val="20"/>
              </w:rPr>
            </w:pPr>
            <w:r w:rsidRPr="00E07195">
              <w:rPr>
                <w:rFonts w:cs="Arial"/>
                <w:noProof/>
                <w:szCs w:val="20"/>
              </w:rPr>
              <w:lastRenderedPageBreak/>
              <w:drawing>
                <wp:inline distT="0" distB="0" distL="0" distR="0" wp14:anchorId="38B4DB9B" wp14:editId="32911450">
                  <wp:extent cx="355600" cy="351929"/>
                  <wp:effectExtent l="0" t="0" r="6350" b="0"/>
                  <wp:docPr id="31" name="Picture 31" descr="Building block four - Governments and services are accountable to Aboriginal and Torres Strait Islander peoples &#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Building block four - Governments and services are accountable to Aboriginal and Torres Strait Islander peoples &#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7636" cy="363841"/>
                          </a:xfrm>
                          <a:prstGeom prst="rect">
                            <a:avLst/>
                          </a:prstGeom>
                        </pic:spPr>
                      </pic:pic>
                    </a:graphicData>
                  </a:graphic>
                </wp:inline>
              </w:drawing>
            </w:r>
          </w:p>
        </w:tc>
        <w:tc>
          <w:tcPr>
            <w:tcW w:w="1197" w:type="dxa"/>
          </w:tcPr>
          <w:p w14:paraId="5C1BDEDD" w14:textId="73ABA718" w:rsidR="003B666F" w:rsidRPr="00453A57" w:rsidRDefault="00834955" w:rsidP="00453A57">
            <w:pPr>
              <w:pStyle w:val="TableTextLeft"/>
              <w:jc w:val="center"/>
              <w:rPr>
                <w:rFonts w:cs="Arial"/>
                <w:b/>
                <w:bCs/>
                <w:sz w:val="32"/>
                <w:szCs w:val="32"/>
              </w:rPr>
            </w:pPr>
            <w:r w:rsidRPr="00453A57">
              <w:rPr>
                <w:rFonts w:cs="Arial"/>
                <w:b/>
                <w:bCs/>
                <w:sz w:val="32"/>
                <w:szCs w:val="32"/>
                <w:shd w:val="clear" w:color="auto" w:fill="FFFFFF"/>
              </w:rPr>
              <w:lastRenderedPageBreak/>
              <w:t>3</w:t>
            </w:r>
          </w:p>
        </w:tc>
        <w:tc>
          <w:tcPr>
            <w:tcW w:w="1260" w:type="dxa"/>
          </w:tcPr>
          <w:p w14:paraId="0F4D5C35" w14:textId="34F7E8F6" w:rsidR="003B666F" w:rsidRPr="00453A57" w:rsidRDefault="00984024" w:rsidP="00453A57">
            <w:pPr>
              <w:pStyle w:val="TableTextLeft"/>
              <w:jc w:val="center"/>
              <w:rPr>
                <w:rFonts w:cs="Arial"/>
                <w:b/>
                <w:bCs/>
                <w:sz w:val="32"/>
                <w:szCs w:val="32"/>
              </w:rPr>
            </w:pPr>
            <w:r w:rsidRPr="00453A57">
              <w:rPr>
                <w:rFonts w:cs="Arial"/>
                <w:b/>
                <w:bCs/>
                <w:sz w:val="32"/>
                <w:szCs w:val="32"/>
              </w:rPr>
              <w:t>2</w:t>
            </w:r>
          </w:p>
        </w:tc>
      </w:tr>
      <w:tr w:rsidR="009252D5" w:rsidRPr="00E07195" w14:paraId="47A26A55" w14:textId="15543FE6" w:rsidTr="25F521CE">
        <w:trPr>
          <w:trHeight w:val="300"/>
        </w:trPr>
        <w:tc>
          <w:tcPr>
            <w:tcW w:w="1847" w:type="dxa"/>
            <w:vMerge/>
          </w:tcPr>
          <w:p w14:paraId="0A40C333" w14:textId="77777777" w:rsidR="003B666F" w:rsidRPr="00E07195" w:rsidRDefault="003B666F" w:rsidP="009252D5">
            <w:pPr>
              <w:pStyle w:val="TableHeadingLeft"/>
              <w:rPr>
                <w:rFonts w:cs="Arial"/>
                <w:szCs w:val="20"/>
              </w:rPr>
            </w:pPr>
          </w:p>
        </w:tc>
        <w:tc>
          <w:tcPr>
            <w:tcW w:w="1928" w:type="dxa"/>
          </w:tcPr>
          <w:p w14:paraId="3881FF4C" w14:textId="3CF1DB77" w:rsidR="003B666F" w:rsidRPr="00E07195" w:rsidRDefault="00466465" w:rsidP="009252D5">
            <w:pPr>
              <w:pStyle w:val="TableTextLeft"/>
              <w:rPr>
                <w:rFonts w:cs="Arial"/>
                <w:b/>
                <w:bCs/>
                <w:szCs w:val="20"/>
              </w:rPr>
            </w:pPr>
            <w:r w:rsidRPr="00E07195">
              <w:rPr>
                <w:rFonts w:cs="Arial"/>
                <w:b/>
                <w:bCs/>
                <w:szCs w:val="20"/>
              </w:rPr>
              <w:t>DCSSDS</w:t>
            </w:r>
          </w:p>
          <w:p w14:paraId="257D3BC0" w14:textId="77777777" w:rsidR="00E07195" w:rsidRPr="00E07195" w:rsidRDefault="00E07195" w:rsidP="009252D5">
            <w:pPr>
              <w:pStyle w:val="TableTextLeft"/>
              <w:rPr>
                <w:rFonts w:cs="Arial"/>
                <w:szCs w:val="20"/>
              </w:rPr>
            </w:pPr>
          </w:p>
          <w:p w14:paraId="718D4075" w14:textId="28A73318" w:rsidR="003B666F" w:rsidRPr="00E07195" w:rsidRDefault="003B666F" w:rsidP="009252D5">
            <w:pPr>
              <w:pStyle w:val="TableTextLeft"/>
              <w:rPr>
                <w:rFonts w:cs="Arial"/>
                <w:szCs w:val="20"/>
              </w:rPr>
            </w:pPr>
            <w:r w:rsidRPr="00E07195">
              <w:rPr>
                <w:rFonts w:cs="Arial"/>
                <w:szCs w:val="20"/>
              </w:rPr>
              <w:t>QATSICPP</w:t>
            </w:r>
          </w:p>
        </w:tc>
        <w:tc>
          <w:tcPr>
            <w:tcW w:w="3061" w:type="dxa"/>
          </w:tcPr>
          <w:p w14:paraId="711FDF59" w14:textId="1B6F6074" w:rsidR="00573CFD" w:rsidRDefault="00DA18C6" w:rsidP="009252D5">
            <w:pPr>
              <w:pStyle w:val="TableTextLeft"/>
            </w:pPr>
            <w:r w:rsidRPr="00EC15B0">
              <w:rPr>
                <w:b/>
                <w:bCs/>
              </w:rPr>
              <w:t>1.5</w:t>
            </w:r>
            <w:r w:rsidRPr="00EC15B0">
              <w:t xml:space="preserve"> Develop</w:t>
            </w:r>
            <w:r w:rsidR="005B1D42" w:rsidRPr="00EC15B0">
              <w:t xml:space="preserve">, </w:t>
            </w:r>
            <w:proofErr w:type="gramStart"/>
            <w:r w:rsidR="005B1D42" w:rsidRPr="00EC15B0">
              <w:t>resource</w:t>
            </w:r>
            <w:proofErr w:type="gramEnd"/>
            <w:r w:rsidR="005B1D42" w:rsidRPr="00EC15B0">
              <w:t xml:space="preserve"> and implement culturally safe and responsive intake and investigation and assessment policy, processes and practice to reduce the number of Aboriginal and Torres Strait Islander children entering the child protection system.</w:t>
            </w:r>
          </w:p>
          <w:p w14:paraId="026925B2" w14:textId="77777777" w:rsidR="005B1D42" w:rsidRDefault="005B1D42" w:rsidP="009252D5">
            <w:pPr>
              <w:pStyle w:val="TableTextLeft"/>
              <w:rPr>
                <w:rFonts w:cs="Arial"/>
                <w:b/>
                <w:bCs/>
                <w:szCs w:val="20"/>
              </w:rPr>
            </w:pPr>
          </w:p>
          <w:p w14:paraId="52EECCE7" w14:textId="1AD463EF" w:rsidR="003B666F" w:rsidRPr="00E07195" w:rsidRDefault="003B666F" w:rsidP="009252D5">
            <w:pPr>
              <w:pStyle w:val="TableTextLeft"/>
              <w:rPr>
                <w:rFonts w:cs="Arial"/>
                <w:b/>
                <w:bCs/>
                <w:szCs w:val="20"/>
              </w:rPr>
            </w:pPr>
            <w:r w:rsidRPr="00E07195">
              <w:rPr>
                <w:rFonts w:cs="Arial"/>
                <w:b/>
                <w:bCs/>
                <w:szCs w:val="20"/>
              </w:rPr>
              <w:t xml:space="preserve">Timing:  </w:t>
            </w:r>
            <w:r w:rsidRPr="00E07195">
              <w:rPr>
                <w:rFonts w:cs="Arial"/>
                <w:szCs w:val="20"/>
              </w:rPr>
              <w:t>Years 1 to 3 (2023</w:t>
            </w:r>
            <w:r w:rsidR="00B30B45">
              <w:rPr>
                <w:rFonts w:eastAsia="Calibri"/>
              </w:rPr>
              <w:t>–</w:t>
            </w:r>
            <w:r w:rsidRPr="00E07195">
              <w:rPr>
                <w:rFonts w:cs="Arial"/>
                <w:szCs w:val="20"/>
              </w:rPr>
              <w:t>2025)</w:t>
            </w:r>
          </w:p>
        </w:tc>
        <w:tc>
          <w:tcPr>
            <w:tcW w:w="3685" w:type="dxa"/>
          </w:tcPr>
          <w:p w14:paraId="015A1A64" w14:textId="77777777" w:rsidR="00ED67D6" w:rsidRPr="00E07195" w:rsidRDefault="003B666F" w:rsidP="009252D5">
            <w:pPr>
              <w:pStyle w:val="TableTextLeft"/>
              <w:rPr>
                <w:rFonts w:cs="Arial"/>
                <w:szCs w:val="20"/>
              </w:rPr>
            </w:pPr>
            <w:r w:rsidRPr="00E07195">
              <w:rPr>
                <w:rFonts w:cs="Arial"/>
                <w:b/>
                <w:bCs/>
                <w:szCs w:val="20"/>
              </w:rPr>
              <w:t>D:</w:t>
            </w:r>
            <w:r w:rsidRPr="00E07195">
              <w:rPr>
                <w:rFonts w:cs="Arial"/>
                <w:szCs w:val="20"/>
              </w:rPr>
              <w:t xml:space="preserve">  Implementation plan to improve cultural</w:t>
            </w:r>
            <w:r w:rsidR="00ED67D6" w:rsidRPr="00E07195">
              <w:rPr>
                <w:rFonts w:cs="Arial"/>
                <w:szCs w:val="20"/>
              </w:rPr>
              <w:t xml:space="preserve"> safety and</w:t>
            </w:r>
            <w:r w:rsidRPr="00E07195">
              <w:rPr>
                <w:rFonts w:cs="Arial"/>
                <w:szCs w:val="20"/>
              </w:rPr>
              <w:t xml:space="preserve"> responsiveness and eliminate cultural bias from the earliest points of contact with the child protection system,</w:t>
            </w:r>
            <w:r w:rsidR="00ED67D6" w:rsidRPr="00E07195">
              <w:rPr>
                <w:rFonts w:cs="Arial"/>
                <w:szCs w:val="20"/>
              </w:rPr>
              <w:t xml:space="preserve"> co-designed with QATSICPP and inclusive of:</w:t>
            </w:r>
          </w:p>
          <w:p w14:paraId="084472EB" w14:textId="08312BE6" w:rsidR="00ED67D6" w:rsidRPr="00E07195" w:rsidRDefault="00ED67D6" w:rsidP="000A7F4D">
            <w:pPr>
              <w:pStyle w:val="TableTextLeft"/>
              <w:numPr>
                <w:ilvl w:val="0"/>
                <w:numId w:val="6"/>
              </w:numPr>
              <w:rPr>
                <w:rFonts w:cs="Arial"/>
                <w:szCs w:val="20"/>
              </w:rPr>
            </w:pPr>
            <w:r w:rsidRPr="00E07195">
              <w:rPr>
                <w:rFonts w:cs="Arial"/>
                <w:szCs w:val="20"/>
              </w:rPr>
              <w:t>introduction of new intake and investigation and assessment decision</w:t>
            </w:r>
            <w:r w:rsidR="00E453E1">
              <w:rPr>
                <w:rFonts w:cs="Arial"/>
                <w:szCs w:val="20"/>
              </w:rPr>
              <w:t>-</w:t>
            </w:r>
            <w:r w:rsidRPr="00E07195">
              <w:rPr>
                <w:rFonts w:cs="Arial"/>
                <w:szCs w:val="20"/>
              </w:rPr>
              <w:t>making processes and tools</w:t>
            </w:r>
          </w:p>
          <w:p w14:paraId="44F94A22" w14:textId="0AEFE970" w:rsidR="00ED67D6" w:rsidRPr="00E07195" w:rsidRDefault="00ED67D6" w:rsidP="000A7F4D">
            <w:pPr>
              <w:pStyle w:val="TableTextLeft"/>
              <w:numPr>
                <w:ilvl w:val="0"/>
                <w:numId w:val="6"/>
              </w:numPr>
              <w:rPr>
                <w:rFonts w:cs="Arial"/>
                <w:szCs w:val="20"/>
              </w:rPr>
            </w:pPr>
            <w:r w:rsidRPr="00E07195">
              <w:rPr>
                <w:rFonts w:cs="Arial"/>
                <w:szCs w:val="20"/>
              </w:rPr>
              <w:t xml:space="preserve">support for collective </w:t>
            </w:r>
            <w:r w:rsidR="000D492C" w:rsidRPr="00E07195">
              <w:rPr>
                <w:rFonts w:cs="Arial"/>
                <w:szCs w:val="20"/>
              </w:rPr>
              <w:t>decision-making</w:t>
            </w:r>
            <w:r w:rsidRPr="00E07195">
              <w:rPr>
                <w:rFonts w:cs="Arial"/>
                <w:szCs w:val="20"/>
              </w:rPr>
              <w:t xml:space="preserve"> mechanisms</w:t>
            </w:r>
          </w:p>
          <w:p w14:paraId="2F6228E6" w14:textId="5A1117ED" w:rsidR="00ED67D6" w:rsidRPr="00E07195" w:rsidRDefault="00ED67D6" w:rsidP="000A7F4D">
            <w:pPr>
              <w:pStyle w:val="TableTextLeft"/>
              <w:numPr>
                <w:ilvl w:val="0"/>
                <w:numId w:val="6"/>
              </w:numPr>
              <w:rPr>
                <w:rFonts w:cs="Arial"/>
                <w:szCs w:val="20"/>
              </w:rPr>
            </w:pPr>
            <w:r w:rsidRPr="00E07195">
              <w:rPr>
                <w:rFonts w:cs="Arial"/>
                <w:szCs w:val="20"/>
              </w:rPr>
              <w:t xml:space="preserve">review of mandatory reporting and child protection notification </w:t>
            </w:r>
            <w:r w:rsidRPr="00E07195">
              <w:rPr>
                <w:rFonts w:cs="Arial"/>
                <w:szCs w:val="20"/>
              </w:rPr>
              <w:lastRenderedPageBreak/>
              <w:t>decision</w:t>
            </w:r>
            <w:r w:rsidR="00E453E1">
              <w:rPr>
                <w:rFonts w:cs="Arial"/>
                <w:szCs w:val="20"/>
              </w:rPr>
              <w:t>-</w:t>
            </w:r>
            <w:r w:rsidRPr="00E07195">
              <w:rPr>
                <w:rFonts w:cs="Arial"/>
                <w:szCs w:val="20"/>
              </w:rPr>
              <w:t>making policy and processes across government agencies</w:t>
            </w:r>
            <w:r w:rsidR="00E63546" w:rsidRPr="00E07195">
              <w:rPr>
                <w:rFonts w:cs="Arial"/>
                <w:szCs w:val="20"/>
              </w:rPr>
              <w:t>.</w:t>
            </w:r>
          </w:p>
          <w:p w14:paraId="6B2A19B3" w14:textId="65B1D7A2" w:rsidR="003B666F" w:rsidRPr="00E07195" w:rsidRDefault="003B666F" w:rsidP="009252D5">
            <w:pPr>
              <w:pStyle w:val="TableTextLeft"/>
              <w:rPr>
                <w:rFonts w:cs="Arial"/>
                <w:szCs w:val="20"/>
              </w:rPr>
            </w:pPr>
            <w:r w:rsidRPr="00E07195">
              <w:rPr>
                <w:rFonts w:cs="Arial"/>
                <w:b/>
                <w:bCs/>
                <w:szCs w:val="20"/>
              </w:rPr>
              <w:t>D:</w:t>
            </w:r>
            <w:r w:rsidRPr="00E07195">
              <w:rPr>
                <w:rFonts w:cs="Arial"/>
                <w:szCs w:val="20"/>
              </w:rPr>
              <w:t xml:space="preserve">  </w:t>
            </w:r>
            <w:r w:rsidR="00D333AF" w:rsidRPr="00E07195">
              <w:rPr>
                <w:rFonts w:cs="Arial"/>
                <w:szCs w:val="20"/>
              </w:rPr>
              <w:t>Trial</w:t>
            </w:r>
            <w:r w:rsidRPr="00E07195">
              <w:rPr>
                <w:rFonts w:cs="Arial"/>
                <w:szCs w:val="20"/>
              </w:rPr>
              <w:t xml:space="preserve"> of Aboriginal and Torres Strait Islander Intake Officers embedded in Regional Intake Services</w:t>
            </w:r>
            <w:r w:rsidR="00E63546" w:rsidRPr="00E07195">
              <w:rPr>
                <w:rFonts w:cs="Arial"/>
                <w:szCs w:val="20"/>
              </w:rPr>
              <w:t>.</w:t>
            </w:r>
            <w:r w:rsidRPr="00E07195">
              <w:rPr>
                <w:rFonts w:cs="Arial"/>
                <w:szCs w:val="20"/>
              </w:rPr>
              <w:t xml:space="preserve"> </w:t>
            </w:r>
          </w:p>
          <w:p w14:paraId="6E24C828" w14:textId="77777777" w:rsidR="003B666F" w:rsidRPr="00E07195" w:rsidRDefault="003B666F" w:rsidP="009252D5">
            <w:pPr>
              <w:pStyle w:val="TableTextLeft"/>
              <w:rPr>
                <w:rFonts w:cs="Arial"/>
                <w:szCs w:val="20"/>
              </w:rPr>
            </w:pPr>
          </w:p>
          <w:p w14:paraId="49045F61" w14:textId="24F14465" w:rsidR="00010C8C" w:rsidRDefault="006D0871" w:rsidP="009252D5">
            <w:pPr>
              <w:pStyle w:val="TableTextLeft"/>
              <w:rPr>
                <w:rFonts w:cs="Arial"/>
                <w:szCs w:val="20"/>
              </w:rPr>
            </w:pPr>
            <w:r w:rsidRPr="00E07195">
              <w:rPr>
                <w:rFonts w:cs="Arial"/>
                <w:b/>
                <w:bCs/>
                <w:szCs w:val="20"/>
              </w:rPr>
              <w:t>SI:</w:t>
            </w:r>
            <w:r w:rsidRPr="00E07195">
              <w:rPr>
                <w:rFonts w:cs="Arial"/>
                <w:szCs w:val="20"/>
              </w:rPr>
              <w:t xml:space="preserve"> </w:t>
            </w:r>
            <w:r w:rsidR="00010C8C">
              <w:rPr>
                <w:rFonts w:cs="Arial"/>
                <w:szCs w:val="20"/>
              </w:rPr>
              <w:t xml:space="preserve">Translation rate </w:t>
            </w:r>
            <w:r w:rsidR="008410E8">
              <w:rPr>
                <w:rFonts w:cs="Arial"/>
                <w:szCs w:val="20"/>
              </w:rPr>
              <w:t xml:space="preserve">percent </w:t>
            </w:r>
            <w:r w:rsidR="00010C8C">
              <w:rPr>
                <w:rFonts w:cs="Arial"/>
                <w:szCs w:val="20"/>
              </w:rPr>
              <w:t>(%) intake to notification, by reporter source (meeting the threshold for a notification indicates greater accuracy by mandatory reporters).</w:t>
            </w:r>
          </w:p>
          <w:p w14:paraId="6BA869E9" w14:textId="1F6341EE" w:rsidR="006D0871" w:rsidRPr="00E07195" w:rsidRDefault="00010C8C" w:rsidP="009252D5">
            <w:pPr>
              <w:pStyle w:val="TableTextLeft"/>
              <w:rPr>
                <w:rFonts w:cs="Arial"/>
                <w:szCs w:val="20"/>
              </w:rPr>
            </w:pPr>
            <w:r>
              <w:rPr>
                <w:rFonts w:cs="Arial"/>
                <w:b/>
                <w:bCs/>
                <w:szCs w:val="20"/>
              </w:rPr>
              <w:t xml:space="preserve">SI: </w:t>
            </w:r>
            <w:r w:rsidR="006D0871" w:rsidRPr="00E07195">
              <w:rPr>
                <w:rFonts w:cs="Arial"/>
                <w:szCs w:val="20"/>
              </w:rPr>
              <w:t>Rates of notification</w:t>
            </w:r>
            <w:r w:rsidR="00E63546" w:rsidRPr="00E07195">
              <w:rPr>
                <w:rFonts w:cs="Arial"/>
                <w:szCs w:val="20"/>
              </w:rPr>
              <w:t>.</w:t>
            </w:r>
          </w:p>
          <w:p w14:paraId="6F2756F9" w14:textId="4B31A20A" w:rsidR="003B666F" w:rsidRPr="00E07195" w:rsidRDefault="003B666F" w:rsidP="009252D5">
            <w:pPr>
              <w:pStyle w:val="TableTextLeft"/>
              <w:rPr>
                <w:rFonts w:cs="Arial"/>
                <w:szCs w:val="20"/>
              </w:rPr>
            </w:pPr>
            <w:r w:rsidRPr="00E07195">
              <w:rPr>
                <w:rFonts w:cs="Arial"/>
                <w:b/>
                <w:bCs/>
                <w:szCs w:val="20"/>
              </w:rPr>
              <w:t>SI:</w:t>
            </w:r>
            <w:r w:rsidRPr="00E07195">
              <w:rPr>
                <w:rFonts w:cs="Arial"/>
                <w:szCs w:val="20"/>
              </w:rPr>
              <w:t xml:space="preserve">  Number </w:t>
            </w:r>
            <w:r w:rsidR="00DA18C6" w:rsidRPr="00E07195">
              <w:rPr>
                <w:rFonts w:cs="Arial"/>
                <w:szCs w:val="20"/>
              </w:rPr>
              <w:t>of Aboriginal</w:t>
            </w:r>
            <w:r w:rsidR="005D77BF" w:rsidRPr="00E07195">
              <w:rPr>
                <w:rFonts w:cs="Arial"/>
                <w:szCs w:val="20"/>
              </w:rPr>
              <w:t xml:space="preserve"> and Torres Strait Islander </w:t>
            </w:r>
            <w:r w:rsidR="006D0871" w:rsidRPr="00E07195">
              <w:rPr>
                <w:rFonts w:cs="Arial"/>
                <w:szCs w:val="20"/>
              </w:rPr>
              <w:t xml:space="preserve">children </w:t>
            </w:r>
            <w:r w:rsidRPr="00E07195">
              <w:rPr>
                <w:rFonts w:cs="Arial"/>
                <w:szCs w:val="20"/>
              </w:rPr>
              <w:t>subject to a child concern report who are subject to a subsequent child concern report or notification within six</w:t>
            </w:r>
            <w:r w:rsidR="00ED67D6" w:rsidRPr="00E07195">
              <w:rPr>
                <w:rFonts w:cs="Arial"/>
                <w:szCs w:val="20"/>
              </w:rPr>
              <w:t xml:space="preserve"> and </w:t>
            </w:r>
            <w:r w:rsidR="00E63546" w:rsidRPr="00E07195">
              <w:rPr>
                <w:rFonts w:cs="Arial"/>
                <w:szCs w:val="20"/>
              </w:rPr>
              <w:t xml:space="preserve">12 </w:t>
            </w:r>
            <w:r w:rsidRPr="00E07195">
              <w:rPr>
                <w:rFonts w:cs="Arial"/>
                <w:szCs w:val="20"/>
              </w:rPr>
              <w:t>months</w:t>
            </w:r>
            <w:r w:rsidR="00E63546" w:rsidRPr="00E07195">
              <w:rPr>
                <w:rFonts w:cs="Arial"/>
                <w:szCs w:val="20"/>
              </w:rPr>
              <w:t>.</w:t>
            </w:r>
          </w:p>
          <w:p w14:paraId="4599EBCA" w14:textId="0A17A486" w:rsidR="006D0871" w:rsidRPr="00E07195" w:rsidRDefault="006D0871" w:rsidP="009252D5">
            <w:pPr>
              <w:pStyle w:val="TableTextLeft"/>
              <w:rPr>
                <w:rFonts w:cs="Arial"/>
                <w:b/>
                <w:bCs/>
                <w:szCs w:val="20"/>
              </w:rPr>
            </w:pPr>
            <w:r w:rsidRPr="00E07195">
              <w:rPr>
                <w:rFonts w:cs="Arial"/>
                <w:b/>
                <w:bCs/>
                <w:szCs w:val="20"/>
              </w:rPr>
              <w:t xml:space="preserve">SI: </w:t>
            </w:r>
            <w:r w:rsidRPr="00E07195">
              <w:rPr>
                <w:rFonts w:cs="Arial"/>
                <w:szCs w:val="20"/>
              </w:rPr>
              <w:t>Number</w:t>
            </w:r>
            <w:r w:rsidR="009C267C" w:rsidRPr="00E07195">
              <w:rPr>
                <w:rFonts w:cs="Arial"/>
                <w:szCs w:val="20"/>
              </w:rPr>
              <w:t xml:space="preserve"> and </w:t>
            </w:r>
            <w:r w:rsidRPr="00E07195">
              <w:rPr>
                <w:rFonts w:cs="Arial"/>
                <w:szCs w:val="20"/>
              </w:rPr>
              <w:t xml:space="preserve">rate </w:t>
            </w:r>
            <w:r w:rsidR="00DA18C6" w:rsidRPr="00E07195">
              <w:rPr>
                <w:rFonts w:cs="Arial"/>
                <w:szCs w:val="20"/>
              </w:rPr>
              <w:t>of Aboriginal</w:t>
            </w:r>
            <w:r w:rsidR="005D77BF" w:rsidRPr="00E07195">
              <w:rPr>
                <w:rFonts w:cs="Arial"/>
                <w:szCs w:val="20"/>
              </w:rPr>
              <w:t xml:space="preserve"> and Torres Strait Islander </w:t>
            </w:r>
            <w:r w:rsidRPr="00E07195">
              <w:rPr>
                <w:rFonts w:cs="Arial"/>
                <w:szCs w:val="20"/>
              </w:rPr>
              <w:t>children subject to a substantiated notification</w:t>
            </w:r>
            <w:r w:rsidR="00E63546" w:rsidRPr="00E07195">
              <w:rPr>
                <w:rFonts w:cs="Arial"/>
                <w:szCs w:val="20"/>
              </w:rPr>
              <w:t>.</w:t>
            </w:r>
            <w:r w:rsidRPr="00E07195">
              <w:rPr>
                <w:rFonts w:cs="Arial"/>
                <w:b/>
                <w:bCs/>
                <w:szCs w:val="20"/>
              </w:rPr>
              <w:t xml:space="preserve"> </w:t>
            </w:r>
          </w:p>
          <w:p w14:paraId="2E379243" w14:textId="278DC9AB" w:rsidR="006D0871" w:rsidRPr="00E07195" w:rsidRDefault="006D0871" w:rsidP="009252D5">
            <w:pPr>
              <w:pStyle w:val="TableTextLeft"/>
              <w:rPr>
                <w:rFonts w:cs="Arial"/>
                <w:szCs w:val="20"/>
              </w:rPr>
            </w:pPr>
            <w:r w:rsidRPr="00E07195">
              <w:rPr>
                <w:rFonts w:cs="Arial"/>
                <w:b/>
                <w:bCs/>
                <w:szCs w:val="20"/>
              </w:rPr>
              <w:t>SI:</w:t>
            </w:r>
            <w:r w:rsidRPr="00E07195">
              <w:rPr>
                <w:rFonts w:cs="Arial"/>
                <w:szCs w:val="20"/>
              </w:rPr>
              <w:t xml:space="preserve">  Number of referrals to ATSICCOs at the point of </w:t>
            </w:r>
            <w:r w:rsidR="00E63546" w:rsidRPr="00E07195">
              <w:rPr>
                <w:rFonts w:cs="Arial"/>
                <w:szCs w:val="20"/>
              </w:rPr>
              <w:t>I</w:t>
            </w:r>
            <w:r w:rsidRPr="00E07195">
              <w:rPr>
                <w:rFonts w:cs="Arial"/>
                <w:szCs w:val="20"/>
              </w:rPr>
              <w:t xml:space="preserve">ntake or </w:t>
            </w:r>
            <w:r w:rsidR="00E63546" w:rsidRPr="00E07195">
              <w:rPr>
                <w:rFonts w:cs="Arial"/>
                <w:szCs w:val="20"/>
              </w:rPr>
              <w:t>I</w:t>
            </w:r>
            <w:r w:rsidRPr="00E07195">
              <w:rPr>
                <w:rFonts w:cs="Arial"/>
                <w:szCs w:val="20"/>
              </w:rPr>
              <w:t xml:space="preserve">nvestigation and </w:t>
            </w:r>
            <w:r w:rsidR="00E63546" w:rsidRPr="00E07195">
              <w:rPr>
                <w:rFonts w:cs="Arial"/>
                <w:szCs w:val="20"/>
              </w:rPr>
              <w:t>A</w:t>
            </w:r>
            <w:r w:rsidRPr="00E07195">
              <w:rPr>
                <w:rFonts w:cs="Arial"/>
                <w:szCs w:val="20"/>
              </w:rPr>
              <w:t>ssessment</w:t>
            </w:r>
            <w:r w:rsidR="00E63546" w:rsidRPr="00E07195">
              <w:rPr>
                <w:rFonts w:cs="Arial"/>
                <w:szCs w:val="20"/>
              </w:rPr>
              <w:t>.</w:t>
            </w:r>
          </w:p>
        </w:tc>
        <w:tc>
          <w:tcPr>
            <w:tcW w:w="3118" w:type="dxa"/>
          </w:tcPr>
          <w:p w14:paraId="7A934F6D" w14:textId="2C40937D" w:rsidR="003B666F" w:rsidRPr="007C1C61" w:rsidRDefault="003B666F" w:rsidP="009252D5">
            <w:pPr>
              <w:pStyle w:val="TableTextLeft"/>
              <w:rPr>
                <w:rFonts w:cs="Arial"/>
                <w:szCs w:val="20"/>
              </w:rPr>
            </w:pPr>
            <w:r w:rsidRPr="0039718C">
              <w:rPr>
                <w:rFonts w:cs="Arial"/>
                <w:b/>
                <w:bCs/>
                <w:szCs w:val="20"/>
              </w:rPr>
              <w:lastRenderedPageBreak/>
              <w:t>O:</w:t>
            </w:r>
            <w:r w:rsidRPr="007C1C61">
              <w:rPr>
                <w:rFonts w:cs="Arial"/>
                <w:szCs w:val="20"/>
              </w:rPr>
              <w:t xml:space="preserve">  Improved collaboration among system stakeholders to enable the delivery of seamless and culturally appropriate supports</w:t>
            </w:r>
            <w:r w:rsidR="00C36A63" w:rsidRPr="007C1C61">
              <w:rPr>
                <w:rFonts w:cs="Arial"/>
                <w:szCs w:val="20"/>
              </w:rPr>
              <w:t>.</w:t>
            </w:r>
          </w:p>
          <w:p w14:paraId="507A563C" w14:textId="4D3137F7" w:rsidR="003B666F" w:rsidRPr="007C1C61" w:rsidRDefault="003B666F" w:rsidP="009252D5">
            <w:pPr>
              <w:pStyle w:val="TableTextLeft"/>
              <w:rPr>
                <w:rFonts w:cs="Arial"/>
                <w:szCs w:val="20"/>
              </w:rPr>
            </w:pPr>
            <w:r w:rsidRPr="0039718C">
              <w:rPr>
                <w:rFonts w:cs="Arial"/>
                <w:b/>
                <w:bCs/>
                <w:szCs w:val="20"/>
              </w:rPr>
              <w:t>O:</w:t>
            </w:r>
            <w:r w:rsidRPr="007C1C61">
              <w:rPr>
                <w:rFonts w:cs="Arial"/>
                <w:szCs w:val="20"/>
              </w:rPr>
              <w:t xml:space="preserve">  All government agencies and service providers change services and systems to prioritise community and family-led decision</w:t>
            </w:r>
            <w:r w:rsidR="00E453E1">
              <w:rPr>
                <w:rFonts w:cs="Arial"/>
                <w:szCs w:val="20"/>
              </w:rPr>
              <w:t>-</w:t>
            </w:r>
            <w:r w:rsidRPr="007C1C61">
              <w:rPr>
                <w:rFonts w:cs="Arial"/>
                <w:szCs w:val="20"/>
              </w:rPr>
              <w:t>making</w:t>
            </w:r>
            <w:r w:rsidR="00C36A63" w:rsidRPr="007C1C61">
              <w:rPr>
                <w:rFonts w:cs="Arial"/>
                <w:szCs w:val="20"/>
              </w:rPr>
              <w:t>.</w:t>
            </w:r>
          </w:p>
          <w:p w14:paraId="3D70F428" w14:textId="61F2F5A9" w:rsidR="003B666F" w:rsidRPr="007C1C61" w:rsidRDefault="003B666F" w:rsidP="009252D5">
            <w:pPr>
              <w:pStyle w:val="TableTextLeft"/>
              <w:rPr>
                <w:rFonts w:cs="Arial"/>
                <w:szCs w:val="20"/>
              </w:rPr>
            </w:pPr>
            <w:r w:rsidRPr="0039718C">
              <w:rPr>
                <w:rFonts w:cs="Arial"/>
                <w:b/>
                <w:bCs/>
                <w:szCs w:val="20"/>
              </w:rPr>
              <w:t>O:</w:t>
            </w:r>
            <w:r w:rsidRPr="007C1C61">
              <w:rPr>
                <w:rFonts w:cs="Arial"/>
                <w:szCs w:val="20"/>
              </w:rPr>
              <w:t xml:space="preserve">  All government agencies and service providers are culturally competent and redress</w:t>
            </w:r>
            <w:r w:rsidR="000D492C" w:rsidRPr="007C1C61">
              <w:rPr>
                <w:rFonts w:cs="Arial"/>
                <w:szCs w:val="20"/>
              </w:rPr>
              <w:t xml:space="preserve"> </w:t>
            </w:r>
            <w:r w:rsidRPr="007C1C61">
              <w:rPr>
                <w:rFonts w:cs="Arial"/>
                <w:szCs w:val="20"/>
              </w:rPr>
              <w:lastRenderedPageBreak/>
              <w:t>instances of structural racism within their organisations</w:t>
            </w:r>
            <w:r w:rsidR="00C36A63" w:rsidRPr="007C1C61">
              <w:rPr>
                <w:rFonts w:cs="Arial"/>
                <w:szCs w:val="20"/>
              </w:rPr>
              <w:t>.</w:t>
            </w:r>
          </w:p>
          <w:p w14:paraId="1FEF248A" w14:textId="04BC597D" w:rsidR="003B666F" w:rsidRPr="007C1C61" w:rsidRDefault="003B666F" w:rsidP="009252D5">
            <w:pPr>
              <w:pStyle w:val="TableTextLeft"/>
              <w:rPr>
                <w:rFonts w:cs="Arial"/>
                <w:szCs w:val="20"/>
              </w:rPr>
            </w:pPr>
            <w:r w:rsidRPr="0039718C">
              <w:rPr>
                <w:rFonts w:cs="Arial"/>
                <w:b/>
                <w:bCs/>
                <w:szCs w:val="20"/>
              </w:rPr>
              <w:t>O:</w:t>
            </w:r>
            <w:r w:rsidRPr="007C1C61">
              <w:rPr>
                <w:rFonts w:cs="Arial"/>
                <w:szCs w:val="20"/>
              </w:rPr>
              <w:t xml:space="preserve">  All government agencies and service providers commit to genuine co-design processes and work in true partnerships with the community and ATSICCOs</w:t>
            </w:r>
            <w:r w:rsidR="00C36A63" w:rsidRPr="007C1C61">
              <w:rPr>
                <w:rFonts w:cs="Arial"/>
                <w:szCs w:val="20"/>
              </w:rPr>
              <w:t>.</w:t>
            </w:r>
          </w:p>
          <w:p w14:paraId="24F2CDBD" w14:textId="4DA14055" w:rsidR="003B666F" w:rsidRPr="007C1C61" w:rsidRDefault="003B666F" w:rsidP="009252D5">
            <w:pPr>
              <w:pStyle w:val="TableTextLeft"/>
              <w:rPr>
                <w:rFonts w:cs="Arial"/>
                <w:szCs w:val="20"/>
              </w:rPr>
            </w:pPr>
            <w:r w:rsidRPr="0039718C">
              <w:rPr>
                <w:rFonts w:cs="Arial"/>
                <w:b/>
                <w:bCs/>
                <w:szCs w:val="20"/>
              </w:rPr>
              <w:t>O:</w:t>
            </w:r>
            <w:r w:rsidRPr="007C1C61">
              <w:rPr>
                <w:rFonts w:cs="Arial"/>
                <w:szCs w:val="20"/>
              </w:rPr>
              <w:t xml:space="preserve">  All government agencies and service providers elevate Indigenous voice, leadership and governance in its strategic planning, policy development and practice</w:t>
            </w:r>
            <w:r w:rsidR="00C36A63" w:rsidRPr="007C1C61">
              <w:rPr>
                <w:rFonts w:cs="Arial"/>
                <w:szCs w:val="20"/>
              </w:rPr>
              <w:t>.</w:t>
            </w:r>
          </w:p>
        </w:tc>
        <w:tc>
          <w:tcPr>
            <w:tcW w:w="3685" w:type="dxa"/>
          </w:tcPr>
          <w:p w14:paraId="548DBCE9" w14:textId="52817C43" w:rsidR="003B666F" w:rsidRPr="00E07195" w:rsidRDefault="003B666F" w:rsidP="009252D5">
            <w:pPr>
              <w:pStyle w:val="TableTextLeft"/>
              <w:rPr>
                <w:rFonts w:cs="Arial"/>
                <w:szCs w:val="20"/>
              </w:rPr>
            </w:pPr>
            <w:r w:rsidRPr="00E07195">
              <w:rPr>
                <w:rFonts w:cs="Arial"/>
                <w:szCs w:val="20"/>
              </w:rPr>
              <w:lastRenderedPageBreak/>
              <w:t xml:space="preserve">In 2022, the Queensland Government ceased use of Structured Decision Making </w:t>
            </w:r>
            <w:r w:rsidR="00C36A63" w:rsidRPr="00E07195">
              <w:rPr>
                <w:rFonts w:cs="Arial"/>
                <w:szCs w:val="20"/>
              </w:rPr>
              <w:t xml:space="preserve">(SDM) </w:t>
            </w:r>
            <w:r w:rsidRPr="00E07195">
              <w:rPr>
                <w:rFonts w:cs="Arial"/>
                <w:szCs w:val="20"/>
              </w:rPr>
              <w:t>assessment tools for Aboriginal and Torres Strait Islander children in relation to family risk and reunification. Replacing SDM with culturally informed assessment tools, alongside decision</w:t>
            </w:r>
            <w:r w:rsidR="00E453E1">
              <w:rPr>
                <w:rFonts w:cs="Arial"/>
                <w:szCs w:val="20"/>
              </w:rPr>
              <w:t>-</w:t>
            </w:r>
            <w:r w:rsidRPr="00E07195">
              <w:rPr>
                <w:rFonts w:cs="Arial"/>
                <w:szCs w:val="20"/>
              </w:rPr>
              <w:t>making by Aboriginal</w:t>
            </w:r>
            <w:r w:rsidR="00E453E1">
              <w:rPr>
                <w:rFonts w:cs="Arial"/>
                <w:szCs w:val="20"/>
              </w:rPr>
              <w:t xml:space="preserve"> </w:t>
            </w:r>
            <w:r w:rsidRPr="00E07195">
              <w:rPr>
                <w:rFonts w:cs="Arial"/>
                <w:szCs w:val="20"/>
              </w:rPr>
              <w:t xml:space="preserve">and Torres Strait Islander peoples, will </w:t>
            </w:r>
            <w:r w:rsidR="00B57133" w:rsidRPr="00E07195">
              <w:rPr>
                <w:rFonts w:cs="Arial"/>
                <w:szCs w:val="20"/>
              </w:rPr>
              <w:t xml:space="preserve">reduce </w:t>
            </w:r>
            <w:r w:rsidRPr="00E07195">
              <w:rPr>
                <w:rFonts w:cs="Arial"/>
                <w:szCs w:val="20"/>
              </w:rPr>
              <w:t xml:space="preserve">racism and </w:t>
            </w:r>
            <w:r w:rsidR="00ED67D6" w:rsidRPr="00E07195">
              <w:rPr>
                <w:rFonts w:cs="Arial"/>
                <w:szCs w:val="20"/>
              </w:rPr>
              <w:t xml:space="preserve">cultural </w:t>
            </w:r>
            <w:r w:rsidRPr="00E07195">
              <w:rPr>
                <w:rFonts w:cs="Arial"/>
                <w:szCs w:val="20"/>
              </w:rPr>
              <w:t xml:space="preserve">bias from the current system. </w:t>
            </w:r>
          </w:p>
          <w:p w14:paraId="241B3FAE" w14:textId="7DF95DD8" w:rsidR="00D805AE" w:rsidRPr="00E07195" w:rsidRDefault="00D805AE" w:rsidP="009252D5">
            <w:pPr>
              <w:pStyle w:val="TableTextLeft"/>
              <w:rPr>
                <w:rFonts w:cs="Arial"/>
                <w:szCs w:val="20"/>
              </w:rPr>
            </w:pPr>
          </w:p>
          <w:p w14:paraId="4C4B4669" w14:textId="1A005323" w:rsidR="00974F10" w:rsidRPr="00E07195" w:rsidRDefault="00D333AF" w:rsidP="009252D5">
            <w:pPr>
              <w:pStyle w:val="TableTextLeft"/>
              <w:rPr>
                <w:rFonts w:cs="Arial"/>
                <w:szCs w:val="20"/>
              </w:rPr>
            </w:pPr>
            <w:r w:rsidRPr="00E07195">
              <w:rPr>
                <w:rFonts w:cs="Arial"/>
                <w:szCs w:val="20"/>
              </w:rPr>
              <w:t xml:space="preserve">Mandatory reporters make a high level of reports to the child protection </w:t>
            </w:r>
            <w:r w:rsidRPr="00E07195">
              <w:rPr>
                <w:rFonts w:cs="Arial"/>
                <w:szCs w:val="20"/>
              </w:rPr>
              <w:lastRenderedPageBreak/>
              <w:t xml:space="preserve">system that do not meet the threshold for </w:t>
            </w:r>
            <w:r w:rsidR="00C36A63" w:rsidRPr="00E07195">
              <w:rPr>
                <w:rFonts w:cs="Arial"/>
                <w:szCs w:val="20"/>
              </w:rPr>
              <w:t>I</w:t>
            </w:r>
            <w:r w:rsidRPr="00E07195">
              <w:rPr>
                <w:rFonts w:cs="Arial"/>
                <w:szCs w:val="20"/>
              </w:rPr>
              <w:t>nvestigation</w:t>
            </w:r>
            <w:r w:rsidR="00C36A63" w:rsidRPr="00E07195">
              <w:rPr>
                <w:rFonts w:cs="Arial"/>
                <w:szCs w:val="20"/>
              </w:rPr>
              <w:t xml:space="preserve"> and Assessment</w:t>
            </w:r>
            <w:r w:rsidRPr="00E07195">
              <w:rPr>
                <w:rFonts w:cs="Arial"/>
                <w:szCs w:val="20"/>
              </w:rPr>
              <w:t xml:space="preserve">. </w:t>
            </w:r>
            <w:r w:rsidR="00974F10" w:rsidRPr="00E07195">
              <w:rPr>
                <w:rFonts w:cs="Arial"/>
                <w:szCs w:val="20"/>
              </w:rPr>
              <w:t xml:space="preserve">Examining the referral behaviour of mandated reporters, including their use of the Queensland Child </w:t>
            </w:r>
            <w:r w:rsidR="00C36A63" w:rsidRPr="00E07195">
              <w:rPr>
                <w:rFonts w:cs="Arial"/>
                <w:szCs w:val="20"/>
              </w:rPr>
              <w:t>Protection</w:t>
            </w:r>
            <w:r w:rsidR="00974F10" w:rsidRPr="00E07195">
              <w:rPr>
                <w:rFonts w:cs="Arial"/>
                <w:szCs w:val="20"/>
              </w:rPr>
              <w:t xml:space="preserve"> Guide will be key to reducing the number of Aboriginal and Torres Strait Islander children who </w:t>
            </w:r>
            <w:proofErr w:type="gramStart"/>
            <w:r w:rsidR="00974F10" w:rsidRPr="00E07195">
              <w:rPr>
                <w:rFonts w:cs="Arial"/>
                <w:szCs w:val="20"/>
              </w:rPr>
              <w:t>come into contact with</w:t>
            </w:r>
            <w:proofErr w:type="gramEnd"/>
            <w:r w:rsidR="00974F10" w:rsidRPr="00E07195">
              <w:rPr>
                <w:rFonts w:cs="Arial"/>
                <w:szCs w:val="20"/>
              </w:rPr>
              <w:t xml:space="preserve"> the system.</w:t>
            </w:r>
          </w:p>
          <w:p w14:paraId="6292129D" w14:textId="2EECC4EB" w:rsidR="00D333AF" w:rsidRPr="00E07195" w:rsidRDefault="00350878" w:rsidP="009252D5">
            <w:pPr>
              <w:pStyle w:val="TableTextLeft"/>
              <w:rPr>
                <w:rFonts w:cs="Arial"/>
                <w:szCs w:val="20"/>
              </w:rPr>
            </w:pPr>
            <w:r w:rsidRPr="00E07195">
              <w:rPr>
                <w:rFonts w:cs="Arial"/>
                <w:szCs w:val="20"/>
              </w:rPr>
              <w:t xml:space="preserve">   </w:t>
            </w:r>
          </w:p>
          <w:p w14:paraId="11CB8462" w14:textId="563FE3E0" w:rsidR="003B666F" w:rsidRPr="00E07195" w:rsidRDefault="003B666F" w:rsidP="009252D5">
            <w:pPr>
              <w:pStyle w:val="TableTextLeft"/>
              <w:rPr>
                <w:rFonts w:cs="Arial"/>
                <w:szCs w:val="20"/>
              </w:rPr>
            </w:pPr>
            <w:r w:rsidRPr="00E07195">
              <w:rPr>
                <w:rFonts w:cs="Arial"/>
                <w:szCs w:val="20"/>
              </w:rPr>
              <w:t>This action aligns with Recommendation 11 of the Family Matters Report 2022.</w:t>
            </w:r>
          </w:p>
        </w:tc>
        <w:tc>
          <w:tcPr>
            <w:tcW w:w="1627" w:type="dxa"/>
          </w:tcPr>
          <w:p w14:paraId="2DDF22AF" w14:textId="294398DB" w:rsidR="00364D30" w:rsidRPr="00E07195" w:rsidRDefault="006F21BA" w:rsidP="009252D5">
            <w:pPr>
              <w:pStyle w:val="TableTextLeft"/>
              <w:rPr>
                <w:rFonts w:cs="Arial"/>
                <w:szCs w:val="20"/>
              </w:rPr>
            </w:pPr>
            <w:r w:rsidRPr="00E07195">
              <w:rPr>
                <w:rFonts w:cs="Arial"/>
                <w:noProof/>
                <w:szCs w:val="20"/>
              </w:rPr>
              <w:lastRenderedPageBreak/>
              <w:drawing>
                <wp:inline distT="0" distB="0" distL="0" distR="0" wp14:anchorId="214BDCBB" wp14:editId="1981A491">
                  <wp:extent cx="340408" cy="333375"/>
                  <wp:effectExtent l="0" t="0" r="2540" b="0"/>
                  <wp:docPr id="33" name="Picture 33" descr="Building block two - Aboriginal and Torres Strait Islander peoples and organisations participate in and have control over decisions that affect their children  &#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Building block two - Aboriginal and Torres Strait Islander peoples and organisations participate in and have control over decisions that affect their children  &#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5371" cy="338235"/>
                          </a:xfrm>
                          <a:prstGeom prst="rect">
                            <a:avLst/>
                          </a:prstGeom>
                        </pic:spPr>
                      </pic:pic>
                    </a:graphicData>
                  </a:graphic>
                </wp:inline>
              </w:drawing>
            </w:r>
          </w:p>
          <w:p w14:paraId="4451A086" w14:textId="79E004A3" w:rsidR="003B666F" w:rsidRPr="00E07195" w:rsidRDefault="006F21BA" w:rsidP="009252D5">
            <w:pPr>
              <w:pStyle w:val="TableTextLeft"/>
              <w:rPr>
                <w:rFonts w:cs="Arial"/>
                <w:szCs w:val="20"/>
              </w:rPr>
            </w:pPr>
            <w:r w:rsidRPr="00E07195">
              <w:rPr>
                <w:rFonts w:cs="Arial"/>
                <w:noProof/>
                <w:szCs w:val="20"/>
              </w:rPr>
              <w:drawing>
                <wp:inline distT="0" distB="0" distL="0" distR="0" wp14:anchorId="221ED821" wp14:editId="48D56D54">
                  <wp:extent cx="341741" cy="303530"/>
                  <wp:effectExtent l="0" t="0" r="1270" b="1270"/>
                  <wp:docPr id="34" name="Picture 34" descr="Building block three - Law, policy and practice in child and family welfare are culturally safe and responsive  &#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Building block three - Law, policy and practice in child and family welfare are culturally safe and responsive  &#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4545" cy="323785"/>
                          </a:xfrm>
                          <a:prstGeom prst="rect">
                            <a:avLst/>
                          </a:prstGeom>
                        </pic:spPr>
                      </pic:pic>
                    </a:graphicData>
                  </a:graphic>
                </wp:inline>
              </w:drawing>
            </w:r>
          </w:p>
        </w:tc>
        <w:tc>
          <w:tcPr>
            <w:tcW w:w="1197" w:type="dxa"/>
          </w:tcPr>
          <w:p w14:paraId="5852B5A5" w14:textId="646F4075" w:rsidR="003B666F" w:rsidRPr="00453A57" w:rsidRDefault="00834955" w:rsidP="00453A57">
            <w:pPr>
              <w:pStyle w:val="TableTextLeft"/>
              <w:jc w:val="center"/>
              <w:rPr>
                <w:rFonts w:cs="Arial"/>
                <w:b/>
                <w:bCs/>
                <w:sz w:val="32"/>
                <w:szCs w:val="32"/>
              </w:rPr>
            </w:pPr>
            <w:r w:rsidRPr="00453A57">
              <w:rPr>
                <w:rFonts w:cs="Arial"/>
                <w:b/>
                <w:bCs/>
                <w:sz w:val="32"/>
                <w:szCs w:val="32"/>
                <w:shd w:val="clear" w:color="auto" w:fill="FFFFFF"/>
              </w:rPr>
              <w:t>3</w:t>
            </w:r>
          </w:p>
        </w:tc>
        <w:tc>
          <w:tcPr>
            <w:tcW w:w="1260" w:type="dxa"/>
          </w:tcPr>
          <w:p w14:paraId="5C241B11" w14:textId="0354C674" w:rsidR="003B666F" w:rsidRPr="00453A57" w:rsidRDefault="00984024" w:rsidP="00453A57">
            <w:pPr>
              <w:pStyle w:val="TableTextLeft"/>
              <w:jc w:val="center"/>
              <w:rPr>
                <w:rFonts w:cs="Arial"/>
                <w:b/>
                <w:bCs/>
                <w:sz w:val="32"/>
                <w:szCs w:val="32"/>
              </w:rPr>
            </w:pPr>
            <w:r w:rsidRPr="00453A57">
              <w:rPr>
                <w:rFonts w:cs="Arial"/>
                <w:b/>
                <w:bCs/>
                <w:sz w:val="32"/>
                <w:szCs w:val="32"/>
              </w:rPr>
              <w:t>5</w:t>
            </w:r>
          </w:p>
        </w:tc>
      </w:tr>
      <w:tr w:rsidR="009252D5" w:rsidRPr="00E07195" w14:paraId="416AA495" w14:textId="7C4E451C" w:rsidTr="25F521CE">
        <w:trPr>
          <w:trHeight w:val="300"/>
        </w:trPr>
        <w:tc>
          <w:tcPr>
            <w:tcW w:w="1847" w:type="dxa"/>
            <w:vMerge/>
          </w:tcPr>
          <w:p w14:paraId="669A5C26" w14:textId="77777777" w:rsidR="003B666F" w:rsidRPr="00E07195" w:rsidRDefault="003B666F" w:rsidP="009252D5">
            <w:pPr>
              <w:pStyle w:val="TableHeadingLeft"/>
              <w:rPr>
                <w:rFonts w:cs="Arial"/>
                <w:szCs w:val="20"/>
              </w:rPr>
            </w:pPr>
          </w:p>
        </w:tc>
        <w:tc>
          <w:tcPr>
            <w:tcW w:w="1928" w:type="dxa"/>
          </w:tcPr>
          <w:p w14:paraId="0D27D7D6" w14:textId="410C4EDF" w:rsidR="003B666F" w:rsidRPr="003F245E" w:rsidRDefault="003F245E" w:rsidP="009252D5">
            <w:pPr>
              <w:pStyle w:val="TableTextLeft"/>
              <w:rPr>
                <w:rFonts w:cs="Arial"/>
                <w:b/>
                <w:bCs/>
                <w:szCs w:val="20"/>
              </w:rPr>
            </w:pPr>
            <w:r w:rsidRPr="003F245E">
              <w:rPr>
                <w:rFonts w:cs="Arial"/>
                <w:b/>
                <w:bCs/>
                <w:szCs w:val="20"/>
              </w:rPr>
              <w:t>DJAG</w:t>
            </w:r>
          </w:p>
          <w:p w14:paraId="098C91B5" w14:textId="77777777" w:rsidR="00466465" w:rsidRPr="00E07195" w:rsidRDefault="00466465" w:rsidP="009252D5">
            <w:pPr>
              <w:pStyle w:val="TableTextLeft"/>
              <w:rPr>
                <w:rFonts w:cs="Arial"/>
                <w:szCs w:val="20"/>
              </w:rPr>
            </w:pPr>
          </w:p>
          <w:p w14:paraId="78409313" w14:textId="0F92B092" w:rsidR="003B666F" w:rsidRPr="00E07195" w:rsidRDefault="00466465" w:rsidP="009252D5">
            <w:pPr>
              <w:pStyle w:val="TableTextLeft"/>
              <w:rPr>
                <w:rFonts w:cs="Arial"/>
                <w:b/>
                <w:bCs/>
                <w:szCs w:val="20"/>
              </w:rPr>
            </w:pPr>
            <w:r w:rsidRPr="00E07195">
              <w:rPr>
                <w:rFonts w:cs="Arial"/>
                <w:szCs w:val="20"/>
              </w:rPr>
              <w:t>DCSSDS</w:t>
            </w:r>
          </w:p>
          <w:p w14:paraId="3F8F7B5B" w14:textId="77777777" w:rsidR="00E7505A" w:rsidRPr="00E07195" w:rsidRDefault="003B666F" w:rsidP="009252D5">
            <w:pPr>
              <w:pStyle w:val="TableTextLeft"/>
              <w:rPr>
                <w:rFonts w:cs="Arial"/>
                <w:szCs w:val="20"/>
              </w:rPr>
            </w:pPr>
            <w:r w:rsidRPr="00E07195">
              <w:rPr>
                <w:rFonts w:cs="Arial"/>
                <w:szCs w:val="20"/>
              </w:rPr>
              <w:t xml:space="preserve">QFCC </w:t>
            </w:r>
          </w:p>
          <w:p w14:paraId="4ACDFC97" w14:textId="4FC7D050" w:rsidR="003B666F" w:rsidRPr="00E07195" w:rsidRDefault="003B666F" w:rsidP="009252D5">
            <w:pPr>
              <w:pStyle w:val="TableTextLeft"/>
              <w:rPr>
                <w:rFonts w:cs="Arial"/>
                <w:szCs w:val="20"/>
              </w:rPr>
            </w:pPr>
            <w:r w:rsidRPr="00E07195">
              <w:rPr>
                <w:rFonts w:cs="Arial"/>
                <w:szCs w:val="20"/>
              </w:rPr>
              <w:t>QATSICPP</w:t>
            </w:r>
          </w:p>
        </w:tc>
        <w:tc>
          <w:tcPr>
            <w:tcW w:w="3061" w:type="dxa"/>
          </w:tcPr>
          <w:p w14:paraId="5356BB7E" w14:textId="77777777" w:rsidR="005B1D42" w:rsidRDefault="005B1D42" w:rsidP="009252D5">
            <w:pPr>
              <w:pStyle w:val="TableTextLeft"/>
              <w:rPr>
                <w:rFonts w:eastAsia="Arial" w:cs="Arial"/>
                <w:szCs w:val="20"/>
              </w:rPr>
            </w:pPr>
            <w:r w:rsidRPr="41E8F973">
              <w:rPr>
                <w:b/>
                <w:bCs/>
              </w:rPr>
              <w:t xml:space="preserve">1.6  </w:t>
            </w:r>
            <w:r w:rsidRPr="41E8F973">
              <w:rPr>
                <w:rFonts w:ascii="Times New Roman" w:eastAsia="Times New Roman" w:hAnsi="Times New Roman"/>
                <w:sz w:val="22"/>
                <w:szCs w:val="22"/>
              </w:rPr>
              <w:t xml:space="preserve"> </w:t>
            </w:r>
            <w:r w:rsidRPr="00F866BC">
              <w:rPr>
                <w:rFonts w:eastAsia="Arial" w:cs="Arial"/>
                <w:szCs w:val="20"/>
              </w:rPr>
              <w:t>Review the intersect of the blue card system with the kinship care approval system, including processes and practice, to improve the experience of and outcomes for Aboriginal and Torres Strait Islander peoples and organisations, and enable more children to be cared for by family</w:t>
            </w:r>
            <w:r>
              <w:rPr>
                <w:rFonts w:eastAsia="Arial" w:cs="Arial"/>
                <w:szCs w:val="20"/>
              </w:rPr>
              <w:t>.</w:t>
            </w:r>
          </w:p>
          <w:p w14:paraId="16AF937D" w14:textId="15575B50" w:rsidR="00573CFD" w:rsidRDefault="005B1D42" w:rsidP="009252D5">
            <w:pPr>
              <w:pStyle w:val="TableTextLeft"/>
              <w:rPr>
                <w:rFonts w:cs="Arial"/>
                <w:b/>
                <w:bCs/>
                <w:szCs w:val="20"/>
              </w:rPr>
            </w:pPr>
            <w:r>
              <w:rPr>
                <w:rFonts w:cs="Arial"/>
                <w:b/>
                <w:bCs/>
                <w:szCs w:val="20"/>
              </w:rPr>
              <w:t xml:space="preserve"> </w:t>
            </w:r>
          </w:p>
          <w:p w14:paraId="5B5FFE14" w14:textId="6D5F25A8" w:rsidR="003B666F" w:rsidRPr="00E07195" w:rsidRDefault="003B666F" w:rsidP="009252D5">
            <w:pPr>
              <w:pStyle w:val="TableTextLeft"/>
              <w:rPr>
                <w:rFonts w:cs="Arial"/>
                <w:szCs w:val="20"/>
              </w:rPr>
            </w:pPr>
            <w:r w:rsidRPr="00E07195">
              <w:rPr>
                <w:rFonts w:cs="Arial"/>
                <w:b/>
                <w:bCs/>
                <w:szCs w:val="20"/>
              </w:rPr>
              <w:t xml:space="preserve">Timing:  </w:t>
            </w:r>
            <w:r w:rsidRPr="00E07195">
              <w:rPr>
                <w:rFonts w:cs="Arial"/>
                <w:szCs w:val="20"/>
              </w:rPr>
              <w:t>Years 1 and 2 (2023</w:t>
            </w:r>
            <w:r w:rsidR="00B30B45">
              <w:rPr>
                <w:rFonts w:eastAsia="Calibri"/>
              </w:rPr>
              <w:t>–</w:t>
            </w:r>
            <w:r w:rsidRPr="00E07195">
              <w:rPr>
                <w:rFonts w:cs="Arial"/>
                <w:szCs w:val="20"/>
              </w:rPr>
              <w:t>2024)</w:t>
            </w:r>
          </w:p>
        </w:tc>
        <w:tc>
          <w:tcPr>
            <w:tcW w:w="3685" w:type="dxa"/>
          </w:tcPr>
          <w:p w14:paraId="494E1001" w14:textId="1322C845" w:rsidR="003B666F" w:rsidRPr="00E07195" w:rsidRDefault="003B666F" w:rsidP="009252D5">
            <w:pPr>
              <w:pStyle w:val="TableTextLeft"/>
              <w:rPr>
                <w:rFonts w:cs="Arial"/>
                <w:szCs w:val="20"/>
              </w:rPr>
            </w:pPr>
            <w:r w:rsidRPr="00E07195">
              <w:rPr>
                <w:rFonts w:cs="Arial"/>
                <w:b/>
                <w:bCs/>
                <w:szCs w:val="20"/>
              </w:rPr>
              <w:t>D:</w:t>
            </w:r>
            <w:r w:rsidRPr="00E07195">
              <w:rPr>
                <w:rFonts w:cs="Arial"/>
                <w:szCs w:val="20"/>
              </w:rPr>
              <w:t xml:space="preserve">  Implementation plan to reduce barriers to Aboriginal and Torres Strait Islander peoples being issued a blue card and approved as kinship carers</w:t>
            </w:r>
            <w:r w:rsidR="00C36A63" w:rsidRPr="00E07195">
              <w:rPr>
                <w:rFonts w:cs="Arial"/>
                <w:szCs w:val="20"/>
              </w:rPr>
              <w:t>.</w:t>
            </w:r>
            <w:r w:rsidRPr="00E07195">
              <w:rPr>
                <w:rFonts w:cs="Arial"/>
                <w:szCs w:val="20"/>
              </w:rPr>
              <w:t xml:space="preserve"> </w:t>
            </w:r>
          </w:p>
          <w:p w14:paraId="77378590" w14:textId="77777777" w:rsidR="003B666F" w:rsidRPr="00E07195" w:rsidRDefault="003B666F" w:rsidP="009252D5">
            <w:pPr>
              <w:pStyle w:val="TableTextLeft"/>
              <w:rPr>
                <w:rFonts w:cs="Arial"/>
                <w:szCs w:val="20"/>
              </w:rPr>
            </w:pPr>
          </w:p>
          <w:p w14:paraId="24654B47" w14:textId="396E0486" w:rsidR="003B666F" w:rsidRPr="00E07195" w:rsidRDefault="003B666F" w:rsidP="009252D5">
            <w:pPr>
              <w:pStyle w:val="TableTextLeft"/>
              <w:rPr>
                <w:rFonts w:cs="Arial"/>
                <w:szCs w:val="20"/>
              </w:rPr>
            </w:pPr>
            <w:r w:rsidRPr="00E07195">
              <w:rPr>
                <w:rFonts w:cs="Arial"/>
                <w:b/>
                <w:bCs/>
                <w:szCs w:val="20"/>
              </w:rPr>
              <w:t>SI:</w:t>
            </w:r>
            <w:r w:rsidRPr="00E07195">
              <w:rPr>
                <w:rFonts w:cs="Arial"/>
                <w:szCs w:val="20"/>
              </w:rPr>
              <w:t xml:space="preserve">  Number of positive and negative </w:t>
            </w:r>
            <w:r w:rsidR="00C36A63" w:rsidRPr="00E07195">
              <w:rPr>
                <w:rFonts w:cs="Arial"/>
                <w:szCs w:val="20"/>
              </w:rPr>
              <w:t xml:space="preserve">blue card </w:t>
            </w:r>
            <w:r w:rsidRPr="00E07195">
              <w:rPr>
                <w:rFonts w:cs="Arial"/>
                <w:szCs w:val="20"/>
              </w:rPr>
              <w:t>notices issued to Aboriginal and Torres Strait Islander kinship care blue card applicants</w:t>
            </w:r>
            <w:r w:rsidR="00C36A63" w:rsidRPr="00E07195">
              <w:rPr>
                <w:rFonts w:cs="Arial"/>
                <w:szCs w:val="20"/>
              </w:rPr>
              <w:t>.</w:t>
            </w:r>
            <w:r w:rsidRPr="00E07195">
              <w:rPr>
                <w:rFonts w:cs="Arial"/>
                <w:szCs w:val="20"/>
              </w:rPr>
              <w:t xml:space="preserve"> </w:t>
            </w:r>
          </w:p>
          <w:p w14:paraId="79E09813" w14:textId="29348EC1" w:rsidR="003B666F" w:rsidRPr="00E07195" w:rsidRDefault="003B666F" w:rsidP="009252D5">
            <w:pPr>
              <w:pStyle w:val="TableTextLeft"/>
              <w:rPr>
                <w:rFonts w:cs="Arial"/>
                <w:szCs w:val="20"/>
              </w:rPr>
            </w:pPr>
            <w:r w:rsidRPr="00E07195">
              <w:rPr>
                <w:rFonts w:cs="Arial"/>
                <w:b/>
                <w:bCs/>
                <w:szCs w:val="20"/>
              </w:rPr>
              <w:t>SI:</w:t>
            </w:r>
            <w:r w:rsidRPr="00E07195">
              <w:rPr>
                <w:rFonts w:cs="Arial"/>
                <w:szCs w:val="20"/>
              </w:rPr>
              <w:t xml:space="preserve">  Number of kinship care applications by Aboriginal and Torres Strait Islander peoples that are withdrawn, </w:t>
            </w:r>
            <w:proofErr w:type="gramStart"/>
            <w:r w:rsidRPr="00E07195">
              <w:rPr>
                <w:rFonts w:cs="Arial"/>
                <w:szCs w:val="20"/>
              </w:rPr>
              <w:t>declined</w:t>
            </w:r>
            <w:proofErr w:type="gramEnd"/>
            <w:r w:rsidRPr="00E07195">
              <w:rPr>
                <w:rFonts w:cs="Arial"/>
                <w:szCs w:val="20"/>
              </w:rPr>
              <w:t xml:space="preserve"> and approved</w:t>
            </w:r>
            <w:r w:rsidR="00696A70">
              <w:rPr>
                <w:rFonts w:cs="Arial"/>
                <w:szCs w:val="20"/>
              </w:rPr>
              <w:t>.</w:t>
            </w:r>
          </w:p>
          <w:p w14:paraId="0CA31B36" w14:textId="028FD616" w:rsidR="003B666F" w:rsidRPr="00E07195" w:rsidRDefault="003B666F" w:rsidP="009252D5">
            <w:pPr>
              <w:pStyle w:val="TableTextLeft"/>
              <w:rPr>
                <w:rFonts w:cs="Arial"/>
                <w:szCs w:val="20"/>
              </w:rPr>
            </w:pPr>
            <w:r w:rsidRPr="00E07195">
              <w:rPr>
                <w:rFonts w:cs="Arial"/>
                <w:b/>
                <w:bCs/>
                <w:szCs w:val="20"/>
              </w:rPr>
              <w:t>SI:</w:t>
            </w:r>
            <w:r w:rsidRPr="00E07195">
              <w:rPr>
                <w:rFonts w:cs="Arial"/>
                <w:szCs w:val="20"/>
              </w:rPr>
              <w:t xml:space="preserve">  Proportion of Aboriginal and Torres Strait Islander children cared for by </w:t>
            </w:r>
            <w:r w:rsidR="009C267C" w:rsidRPr="00E07195">
              <w:rPr>
                <w:rFonts w:cs="Arial"/>
                <w:szCs w:val="20"/>
              </w:rPr>
              <w:t>kin</w:t>
            </w:r>
            <w:r w:rsidR="00C36A63" w:rsidRPr="00E07195">
              <w:rPr>
                <w:rFonts w:cs="Arial"/>
                <w:szCs w:val="20"/>
              </w:rPr>
              <w:t>.</w:t>
            </w:r>
            <w:r w:rsidR="000034E4" w:rsidRPr="00E07195">
              <w:rPr>
                <w:rFonts w:cs="Arial"/>
                <w:szCs w:val="20"/>
              </w:rPr>
              <w:t xml:space="preserve"> </w:t>
            </w:r>
          </w:p>
        </w:tc>
        <w:tc>
          <w:tcPr>
            <w:tcW w:w="3118" w:type="dxa"/>
          </w:tcPr>
          <w:p w14:paraId="0165AB97" w14:textId="019B6B1D" w:rsidR="003B666F" w:rsidRPr="007C1C61" w:rsidRDefault="003B666F" w:rsidP="009252D5">
            <w:pPr>
              <w:pStyle w:val="TableTextLeft"/>
              <w:rPr>
                <w:rFonts w:cs="Arial"/>
                <w:szCs w:val="20"/>
              </w:rPr>
            </w:pPr>
            <w:r w:rsidRPr="0039718C">
              <w:rPr>
                <w:rFonts w:cs="Arial"/>
                <w:b/>
                <w:bCs/>
                <w:szCs w:val="20"/>
              </w:rPr>
              <w:t>O:</w:t>
            </w:r>
            <w:r w:rsidRPr="007C1C61">
              <w:rPr>
                <w:rFonts w:cs="Arial"/>
                <w:szCs w:val="20"/>
              </w:rPr>
              <w:t xml:space="preserve">  All government agencies and service providers embed the principles of </w:t>
            </w:r>
            <w:r w:rsidRPr="00BC3793">
              <w:rPr>
                <w:rFonts w:cs="Arial"/>
                <w:i/>
                <w:iCs/>
                <w:szCs w:val="20"/>
              </w:rPr>
              <w:t>Our Way</w:t>
            </w:r>
            <w:r w:rsidRPr="007C1C61">
              <w:rPr>
                <w:rFonts w:cs="Arial"/>
                <w:szCs w:val="20"/>
              </w:rPr>
              <w:t xml:space="preserve"> in its strategic planning, policy development and frontline service delivery responses</w:t>
            </w:r>
            <w:r w:rsidR="00C36A63" w:rsidRPr="007C1C61">
              <w:rPr>
                <w:rFonts w:cs="Arial"/>
                <w:szCs w:val="20"/>
              </w:rPr>
              <w:t>.</w:t>
            </w:r>
          </w:p>
          <w:p w14:paraId="2B45FF3D" w14:textId="4B6EE1E5" w:rsidR="003B666F" w:rsidRPr="007C1C61" w:rsidRDefault="003B666F" w:rsidP="009252D5">
            <w:pPr>
              <w:pStyle w:val="TableTextLeft"/>
              <w:rPr>
                <w:rFonts w:cs="Arial"/>
                <w:szCs w:val="20"/>
              </w:rPr>
            </w:pPr>
            <w:r w:rsidRPr="0039718C">
              <w:rPr>
                <w:rFonts w:cs="Arial"/>
                <w:b/>
                <w:bCs/>
                <w:szCs w:val="20"/>
              </w:rPr>
              <w:t>O:</w:t>
            </w:r>
            <w:r w:rsidRPr="007C1C61">
              <w:rPr>
                <w:rFonts w:cs="Arial"/>
                <w:szCs w:val="20"/>
              </w:rPr>
              <w:t xml:space="preserve">  Improved collaboration among system stakeholders to enable the delivery of seamless and culturally appropriate supports</w:t>
            </w:r>
            <w:r w:rsidR="00C36A63" w:rsidRPr="007C1C61">
              <w:rPr>
                <w:rFonts w:cs="Arial"/>
                <w:szCs w:val="20"/>
              </w:rPr>
              <w:t>.</w:t>
            </w:r>
          </w:p>
          <w:p w14:paraId="6857A734" w14:textId="728FF7A0" w:rsidR="003B666F" w:rsidRPr="007C1C61" w:rsidRDefault="003B666F" w:rsidP="00F73909">
            <w:pPr>
              <w:pStyle w:val="TableTextLeft"/>
              <w:rPr>
                <w:rFonts w:cs="Arial"/>
                <w:szCs w:val="20"/>
              </w:rPr>
            </w:pPr>
            <w:r w:rsidRPr="0039718C">
              <w:rPr>
                <w:rFonts w:cs="Arial"/>
                <w:b/>
                <w:bCs/>
                <w:szCs w:val="20"/>
              </w:rPr>
              <w:t>O:</w:t>
            </w:r>
            <w:r w:rsidRPr="007C1C61">
              <w:rPr>
                <w:rFonts w:cs="Arial"/>
                <w:szCs w:val="20"/>
              </w:rPr>
              <w:t xml:space="preserve">  All government agencies and service providers are culturally competent and redress instances of structural racism within their organisations</w:t>
            </w:r>
            <w:r w:rsidR="00C36A63" w:rsidRPr="007C1C61">
              <w:rPr>
                <w:rFonts w:cs="Arial"/>
                <w:szCs w:val="20"/>
              </w:rPr>
              <w:t>.</w:t>
            </w:r>
          </w:p>
        </w:tc>
        <w:tc>
          <w:tcPr>
            <w:tcW w:w="3685" w:type="dxa"/>
          </w:tcPr>
          <w:p w14:paraId="2713DD37" w14:textId="0A4882F6" w:rsidR="003B666F" w:rsidRDefault="003B666F" w:rsidP="720B08D4">
            <w:pPr>
              <w:pStyle w:val="TableTextLeft"/>
              <w:rPr>
                <w:rFonts w:cs="Arial"/>
              </w:rPr>
            </w:pPr>
            <w:r w:rsidRPr="720B08D4">
              <w:rPr>
                <w:rFonts w:cs="Arial"/>
              </w:rPr>
              <w:t xml:space="preserve">Cross-agency information </w:t>
            </w:r>
            <w:r w:rsidR="00696A70" w:rsidRPr="720B08D4">
              <w:rPr>
                <w:rFonts w:cs="Arial"/>
              </w:rPr>
              <w:t>sharing,</w:t>
            </w:r>
            <w:r w:rsidRPr="720B08D4">
              <w:rPr>
                <w:rFonts w:cs="Arial"/>
              </w:rPr>
              <w:t xml:space="preserve"> and collaboration allows for a more holistic overview of the end-to-end process for kinship care, noting that</w:t>
            </w:r>
            <w:r w:rsidR="0B018AE1" w:rsidRPr="720B08D4">
              <w:rPr>
                <w:rFonts w:cs="Arial"/>
              </w:rPr>
              <w:t xml:space="preserve"> </w:t>
            </w:r>
            <w:r w:rsidR="0015764E" w:rsidRPr="720B08D4">
              <w:rPr>
                <w:rFonts w:cs="Arial"/>
              </w:rPr>
              <w:t xml:space="preserve">DCSSDS </w:t>
            </w:r>
            <w:r w:rsidRPr="720B08D4">
              <w:rPr>
                <w:rFonts w:cs="Arial"/>
              </w:rPr>
              <w:t xml:space="preserve">and DJAG both have a role in approving carers and household members, which enables actions to be more targeted at improving the </w:t>
            </w:r>
            <w:proofErr w:type="gramStart"/>
            <w:r w:rsidRPr="720B08D4">
              <w:rPr>
                <w:rFonts w:cs="Arial"/>
              </w:rPr>
              <w:t>process as a whole</w:t>
            </w:r>
            <w:proofErr w:type="gramEnd"/>
            <w:r w:rsidRPr="720B08D4">
              <w:rPr>
                <w:rFonts w:cs="Arial"/>
              </w:rPr>
              <w:t>.</w:t>
            </w:r>
          </w:p>
          <w:p w14:paraId="529461AA" w14:textId="18EEA86D" w:rsidR="00696A70" w:rsidRDefault="00696A70" w:rsidP="009252D5">
            <w:pPr>
              <w:pStyle w:val="TableTextLeft"/>
              <w:rPr>
                <w:rFonts w:cs="Arial"/>
                <w:szCs w:val="20"/>
              </w:rPr>
            </w:pPr>
          </w:p>
          <w:p w14:paraId="1045CAC7" w14:textId="4C88EA42" w:rsidR="009A7C59" w:rsidRDefault="297F168F" w:rsidP="5BEB8098">
            <w:pPr>
              <w:pStyle w:val="TableTextLeft"/>
              <w:rPr>
                <w:rFonts w:cs="Arial"/>
              </w:rPr>
            </w:pPr>
            <w:r w:rsidRPr="5BEB8098">
              <w:rPr>
                <w:rFonts w:cs="Arial"/>
              </w:rPr>
              <w:t>While the number of Aboriginal and Torres Strait Islander kinship carers is increasing, it appears there are differences between suitability assessments for Aboriginal and Torres Strait Islander peoples to care for children with provisionally approved kinship carers subsequently receiving blue card negative notice decisions.</w:t>
            </w:r>
          </w:p>
          <w:p w14:paraId="35FC8AE6" w14:textId="758D7904" w:rsidR="5BEB8098" w:rsidRDefault="5BEB8098" w:rsidP="5BEB8098">
            <w:pPr>
              <w:pStyle w:val="TableTextLeft"/>
              <w:rPr>
                <w:rFonts w:cs="Arial"/>
              </w:rPr>
            </w:pPr>
          </w:p>
          <w:p w14:paraId="7A37B443" w14:textId="261B61F0" w:rsidR="356A744F" w:rsidRPr="00F55CDD" w:rsidRDefault="356A744F" w:rsidP="00F55CDD">
            <w:pPr>
              <w:pStyle w:val="TableTextLeft"/>
              <w:rPr>
                <w:rFonts w:eastAsia="Arial" w:cs="Arial"/>
                <w:szCs w:val="20"/>
              </w:rPr>
            </w:pPr>
            <w:r w:rsidRPr="00F55CDD">
              <w:rPr>
                <w:rFonts w:eastAsia="Arial" w:cs="Arial"/>
                <w:szCs w:val="20"/>
              </w:rPr>
              <w:t xml:space="preserve">Improving the intersection of the blue card system with the kinship care approval system, including information, communication, </w:t>
            </w:r>
            <w:proofErr w:type="gramStart"/>
            <w:r w:rsidRPr="00F55CDD">
              <w:rPr>
                <w:rFonts w:eastAsia="Arial" w:cs="Arial"/>
                <w:szCs w:val="20"/>
              </w:rPr>
              <w:t>processes</w:t>
            </w:r>
            <w:proofErr w:type="gramEnd"/>
            <w:r w:rsidRPr="00F55CDD">
              <w:rPr>
                <w:rFonts w:eastAsia="Arial" w:cs="Arial"/>
                <w:szCs w:val="20"/>
              </w:rPr>
              <w:t xml:space="preserve"> and practice, will improve the experience of and outcomes for Aboriginal and Torres Strait Islander peoples and </w:t>
            </w:r>
            <w:r w:rsidRPr="00F55CDD">
              <w:rPr>
                <w:rFonts w:eastAsia="Arial" w:cs="Arial"/>
                <w:szCs w:val="20"/>
              </w:rPr>
              <w:lastRenderedPageBreak/>
              <w:t>organisations, and enable more children to be cared for by family”</w:t>
            </w:r>
            <w:r w:rsidR="005B1D42">
              <w:rPr>
                <w:rFonts w:eastAsia="Arial" w:cs="Arial"/>
                <w:szCs w:val="20"/>
              </w:rPr>
              <w:t>.</w:t>
            </w:r>
          </w:p>
          <w:p w14:paraId="4C314346" w14:textId="77777777" w:rsidR="009A7C59" w:rsidRPr="00E07195" w:rsidRDefault="009A7C59" w:rsidP="009252D5">
            <w:pPr>
              <w:pStyle w:val="TableTextLeft"/>
              <w:rPr>
                <w:rFonts w:cs="Arial"/>
                <w:szCs w:val="20"/>
              </w:rPr>
            </w:pPr>
          </w:p>
          <w:p w14:paraId="05B665C3" w14:textId="0284C423" w:rsidR="003B666F" w:rsidRPr="00E07195" w:rsidRDefault="003B666F" w:rsidP="009252D5">
            <w:pPr>
              <w:pStyle w:val="TableTextLeft"/>
              <w:rPr>
                <w:rFonts w:cs="Arial"/>
                <w:szCs w:val="20"/>
              </w:rPr>
            </w:pPr>
            <w:r w:rsidRPr="00E07195">
              <w:rPr>
                <w:rFonts w:cs="Arial"/>
                <w:szCs w:val="20"/>
              </w:rPr>
              <w:t>This action aligns with Recommendation 11 of the Family Matters Report 2022.</w:t>
            </w:r>
          </w:p>
        </w:tc>
        <w:tc>
          <w:tcPr>
            <w:tcW w:w="1627" w:type="dxa"/>
          </w:tcPr>
          <w:p w14:paraId="1E463126" w14:textId="1891D5A6" w:rsidR="003B666F" w:rsidRPr="00E07195" w:rsidRDefault="006F21BA" w:rsidP="009252D5">
            <w:pPr>
              <w:pStyle w:val="TableTextLeft"/>
              <w:rPr>
                <w:rFonts w:cs="Arial"/>
                <w:szCs w:val="20"/>
              </w:rPr>
            </w:pPr>
            <w:r w:rsidRPr="00E07195">
              <w:rPr>
                <w:rFonts w:cs="Arial"/>
                <w:noProof/>
                <w:szCs w:val="20"/>
              </w:rPr>
              <w:lastRenderedPageBreak/>
              <w:drawing>
                <wp:inline distT="0" distB="0" distL="0" distR="0" wp14:anchorId="2DBE0B8F" wp14:editId="5604A610">
                  <wp:extent cx="342429" cy="323215"/>
                  <wp:effectExtent l="0" t="0" r="635" b="635"/>
                  <wp:docPr id="35" name="Picture 35" descr="Building block three - Law, policy and practice in child and family welfare are culturally safe and responsive  &#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Building block three - Law, policy and practice in child and family welfare are culturally safe and responsive  &#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8823" cy="338689"/>
                          </a:xfrm>
                          <a:prstGeom prst="rect">
                            <a:avLst/>
                          </a:prstGeom>
                        </pic:spPr>
                      </pic:pic>
                    </a:graphicData>
                  </a:graphic>
                </wp:inline>
              </w:drawing>
            </w:r>
          </w:p>
        </w:tc>
        <w:tc>
          <w:tcPr>
            <w:tcW w:w="1197" w:type="dxa"/>
          </w:tcPr>
          <w:p w14:paraId="7F98E9CC" w14:textId="6C15DEEA" w:rsidR="003B666F" w:rsidRPr="00453A57" w:rsidRDefault="00834955" w:rsidP="00453A57">
            <w:pPr>
              <w:pStyle w:val="TableTextLeft"/>
              <w:jc w:val="center"/>
              <w:rPr>
                <w:rFonts w:cs="Arial"/>
                <w:b/>
                <w:bCs/>
                <w:sz w:val="32"/>
                <w:szCs w:val="32"/>
              </w:rPr>
            </w:pPr>
            <w:r w:rsidRPr="00453A57">
              <w:rPr>
                <w:rFonts w:cs="Arial"/>
                <w:b/>
                <w:bCs/>
                <w:sz w:val="32"/>
                <w:szCs w:val="32"/>
                <w:shd w:val="clear" w:color="auto" w:fill="FFFFFF"/>
              </w:rPr>
              <w:t>3</w:t>
            </w:r>
          </w:p>
        </w:tc>
        <w:tc>
          <w:tcPr>
            <w:tcW w:w="1260" w:type="dxa"/>
          </w:tcPr>
          <w:p w14:paraId="61BE3D4E" w14:textId="5B910245" w:rsidR="003B666F" w:rsidRPr="00453A57" w:rsidRDefault="00984024" w:rsidP="00453A57">
            <w:pPr>
              <w:pStyle w:val="TableTextLeft"/>
              <w:jc w:val="center"/>
              <w:rPr>
                <w:rFonts w:cs="Arial"/>
                <w:b/>
                <w:bCs/>
                <w:sz w:val="32"/>
                <w:szCs w:val="32"/>
              </w:rPr>
            </w:pPr>
            <w:r w:rsidRPr="00453A57">
              <w:rPr>
                <w:rFonts w:cs="Arial"/>
                <w:b/>
                <w:bCs/>
                <w:sz w:val="32"/>
                <w:szCs w:val="32"/>
              </w:rPr>
              <w:t>5</w:t>
            </w:r>
          </w:p>
        </w:tc>
      </w:tr>
      <w:tr w:rsidR="009252D5" w:rsidRPr="00E07195" w14:paraId="65F84825" w14:textId="3D0EFFD5" w:rsidTr="25F521CE">
        <w:trPr>
          <w:trHeight w:val="300"/>
        </w:trPr>
        <w:tc>
          <w:tcPr>
            <w:tcW w:w="1847" w:type="dxa"/>
            <w:vMerge/>
          </w:tcPr>
          <w:p w14:paraId="6F29677C" w14:textId="77777777" w:rsidR="003B666F" w:rsidRPr="00E07195" w:rsidRDefault="003B666F" w:rsidP="009252D5">
            <w:pPr>
              <w:pStyle w:val="TableHeadingLeft"/>
              <w:rPr>
                <w:rFonts w:cs="Arial"/>
                <w:szCs w:val="20"/>
              </w:rPr>
            </w:pPr>
          </w:p>
        </w:tc>
        <w:tc>
          <w:tcPr>
            <w:tcW w:w="1928" w:type="dxa"/>
            <w:tcBorders>
              <w:bottom w:val="single" w:sz="12" w:space="0" w:color="auto"/>
            </w:tcBorders>
          </w:tcPr>
          <w:p w14:paraId="12FB6B74" w14:textId="55E2D945" w:rsidR="003B666F" w:rsidRPr="00E07195" w:rsidRDefault="00466465" w:rsidP="009252D5">
            <w:pPr>
              <w:pStyle w:val="TableTextLeft"/>
              <w:rPr>
                <w:rFonts w:cs="Arial"/>
                <w:b/>
                <w:bCs/>
                <w:szCs w:val="20"/>
              </w:rPr>
            </w:pPr>
            <w:r w:rsidRPr="00E07195">
              <w:rPr>
                <w:rFonts w:cs="Arial"/>
                <w:b/>
                <w:bCs/>
                <w:szCs w:val="20"/>
              </w:rPr>
              <w:t>DCSSDS</w:t>
            </w:r>
          </w:p>
          <w:p w14:paraId="2273F16A" w14:textId="6BED8B07" w:rsidR="003B666F" w:rsidRPr="00E07195" w:rsidRDefault="003B666F" w:rsidP="009252D5">
            <w:pPr>
              <w:pStyle w:val="TableTextLeft"/>
              <w:rPr>
                <w:rFonts w:cs="Arial"/>
                <w:szCs w:val="20"/>
              </w:rPr>
            </w:pPr>
          </w:p>
        </w:tc>
        <w:tc>
          <w:tcPr>
            <w:tcW w:w="3061" w:type="dxa"/>
            <w:tcBorders>
              <w:bottom w:val="single" w:sz="12" w:space="0" w:color="auto"/>
            </w:tcBorders>
          </w:tcPr>
          <w:p w14:paraId="3D57AB3D" w14:textId="6FE14659" w:rsidR="00573CFD" w:rsidRDefault="00DA18C6" w:rsidP="009252D5">
            <w:pPr>
              <w:pStyle w:val="TableTextLeft"/>
            </w:pPr>
            <w:r w:rsidRPr="00EC15B0">
              <w:rPr>
                <w:b/>
                <w:bCs/>
              </w:rPr>
              <w:t>1.7</w:t>
            </w:r>
            <w:r w:rsidRPr="00EC15B0">
              <w:t xml:space="preserve"> Develop</w:t>
            </w:r>
            <w:r w:rsidR="005B1D42" w:rsidRPr="00EC15B0">
              <w:t xml:space="preserve"> and implement culturally safe and responsive complaints management policy, </w:t>
            </w:r>
            <w:proofErr w:type="gramStart"/>
            <w:r w:rsidR="005B1D42" w:rsidRPr="00EC15B0">
              <w:t>processes</w:t>
            </w:r>
            <w:proofErr w:type="gramEnd"/>
            <w:r w:rsidR="005B1D42" w:rsidRPr="00EC15B0">
              <w:t xml:space="preserve"> and practice to improve Aboriginal</w:t>
            </w:r>
            <w:r w:rsidR="005B1D42">
              <w:t xml:space="preserve"> </w:t>
            </w:r>
            <w:r w:rsidR="005B1D42" w:rsidRPr="00EC15B0">
              <w:t>and Torres Strait Islander peoples and organisations experience with government agencies that play a role in the lives of their children and families.</w:t>
            </w:r>
          </w:p>
          <w:p w14:paraId="47BA2A39" w14:textId="77777777" w:rsidR="005B1D42" w:rsidRDefault="005B1D42" w:rsidP="009252D5">
            <w:pPr>
              <w:pStyle w:val="TableTextLeft"/>
              <w:rPr>
                <w:rFonts w:cs="Arial"/>
                <w:b/>
                <w:bCs/>
                <w:szCs w:val="20"/>
              </w:rPr>
            </w:pPr>
          </w:p>
          <w:p w14:paraId="5501429A" w14:textId="078AB461" w:rsidR="003B666F" w:rsidRPr="00E07195" w:rsidRDefault="003B666F" w:rsidP="009252D5">
            <w:pPr>
              <w:pStyle w:val="TableTextLeft"/>
              <w:rPr>
                <w:rFonts w:cs="Arial"/>
                <w:b/>
                <w:bCs/>
                <w:szCs w:val="20"/>
              </w:rPr>
            </w:pPr>
            <w:r w:rsidRPr="00E07195">
              <w:rPr>
                <w:rFonts w:cs="Arial"/>
                <w:b/>
                <w:bCs/>
                <w:szCs w:val="20"/>
              </w:rPr>
              <w:t xml:space="preserve">Timing:  </w:t>
            </w:r>
            <w:r w:rsidRPr="00E07195">
              <w:rPr>
                <w:rFonts w:cs="Arial"/>
                <w:szCs w:val="20"/>
              </w:rPr>
              <w:t>Years 1 and 2 (2023</w:t>
            </w:r>
            <w:r w:rsidR="00C96CC8">
              <w:rPr>
                <w:rFonts w:eastAsia="Calibri"/>
              </w:rPr>
              <w:t>–</w:t>
            </w:r>
            <w:r w:rsidRPr="00E07195">
              <w:rPr>
                <w:rFonts w:cs="Arial"/>
                <w:szCs w:val="20"/>
              </w:rPr>
              <w:t>2024)</w:t>
            </w:r>
          </w:p>
        </w:tc>
        <w:tc>
          <w:tcPr>
            <w:tcW w:w="3685" w:type="dxa"/>
            <w:tcBorders>
              <w:bottom w:val="single" w:sz="12" w:space="0" w:color="auto"/>
            </w:tcBorders>
          </w:tcPr>
          <w:p w14:paraId="15A6A47F" w14:textId="1598C522" w:rsidR="003B666F" w:rsidRPr="00E07195" w:rsidRDefault="003B666F" w:rsidP="7B78C8E7">
            <w:pPr>
              <w:pStyle w:val="TableTextLeft"/>
              <w:rPr>
                <w:rFonts w:cs="Arial"/>
              </w:rPr>
            </w:pPr>
            <w:r w:rsidRPr="7B78C8E7">
              <w:rPr>
                <w:rFonts w:cs="Arial"/>
                <w:b/>
                <w:bCs/>
              </w:rPr>
              <w:t>D:</w:t>
            </w:r>
            <w:r w:rsidRPr="7B78C8E7">
              <w:rPr>
                <w:rFonts w:cs="Arial"/>
              </w:rPr>
              <w:t xml:space="preserve">  Implementation </w:t>
            </w:r>
            <w:r w:rsidR="664CA3EA" w:rsidRPr="7B78C8E7">
              <w:rPr>
                <w:rFonts w:cs="Arial"/>
              </w:rPr>
              <w:t>plan to</w:t>
            </w:r>
            <w:r w:rsidRPr="7B78C8E7">
              <w:rPr>
                <w:rFonts w:cs="Arial"/>
              </w:rPr>
              <w:t xml:space="preserve"> improve</w:t>
            </w:r>
            <w:r w:rsidR="000034E4" w:rsidRPr="7B78C8E7">
              <w:rPr>
                <w:rFonts w:cs="Arial"/>
              </w:rPr>
              <w:t xml:space="preserve"> the</w:t>
            </w:r>
            <w:r w:rsidRPr="7B78C8E7">
              <w:rPr>
                <w:rFonts w:cs="Arial"/>
              </w:rPr>
              <w:t xml:space="preserve"> cultural</w:t>
            </w:r>
            <w:r w:rsidR="000034E4" w:rsidRPr="7B78C8E7">
              <w:rPr>
                <w:rFonts w:cs="Arial"/>
              </w:rPr>
              <w:t xml:space="preserve"> safety and</w:t>
            </w:r>
            <w:r w:rsidRPr="7B78C8E7">
              <w:rPr>
                <w:rFonts w:cs="Arial"/>
              </w:rPr>
              <w:t xml:space="preserve"> responsiveness of the complaints management systems</w:t>
            </w:r>
            <w:r w:rsidR="000034E4" w:rsidRPr="7B78C8E7">
              <w:rPr>
                <w:rFonts w:cs="Arial"/>
              </w:rPr>
              <w:t xml:space="preserve"> within the child protection system.</w:t>
            </w:r>
          </w:p>
          <w:p w14:paraId="41525286" w14:textId="12ADDC14" w:rsidR="0063366C" w:rsidRPr="00E07195" w:rsidRDefault="0063366C" w:rsidP="6FE4FB69">
            <w:pPr>
              <w:pStyle w:val="TableTextLeft"/>
              <w:rPr>
                <w:rFonts w:cs="Arial"/>
              </w:rPr>
            </w:pPr>
            <w:r w:rsidRPr="6FE4FB69">
              <w:rPr>
                <w:rFonts w:cs="Arial"/>
                <w:b/>
                <w:bCs/>
              </w:rPr>
              <w:t xml:space="preserve">D: </w:t>
            </w:r>
            <w:r w:rsidRPr="6FE4FB69">
              <w:rPr>
                <w:rFonts w:cs="Arial"/>
              </w:rPr>
              <w:t>Develop an agreed definition of cultural safety and principles for culturally responsive complaints management</w:t>
            </w:r>
            <w:r w:rsidR="706B2705" w:rsidRPr="6FE4FB69">
              <w:rPr>
                <w:rFonts w:cs="Arial"/>
              </w:rPr>
              <w:t xml:space="preserve">, </w:t>
            </w:r>
            <w:r w:rsidR="2C6F9629" w:rsidRPr="6FE4FB69">
              <w:rPr>
                <w:rFonts w:cs="Arial"/>
              </w:rPr>
              <w:t>which embeds</w:t>
            </w:r>
            <w:r w:rsidR="706B2705" w:rsidRPr="6FE4FB69">
              <w:rPr>
                <w:rFonts w:cs="Arial"/>
              </w:rPr>
              <w:t xml:space="preserve"> Human Rights considerations under S28 of </w:t>
            </w:r>
            <w:r w:rsidR="706B2705" w:rsidRPr="00F55CDD">
              <w:rPr>
                <w:rFonts w:cs="Arial"/>
              </w:rPr>
              <w:t>the</w:t>
            </w:r>
            <w:r w:rsidR="706B2705" w:rsidRPr="6FE4FB69">
              <w:rPr>
                <w:rFonts w:cs="Arial"/>
                <w:i/>
                <w:iCs/>
              </w:rPr>
              <w:t xml:space="preserve"> Human Rights Act </w:t>
            </w:r>
            <w:r w:rsidR="00DA18C6" w:rsidRPr="6FE4FB69">
              <w:rPr>
                <w:rFonts w:cs="Arial"/>
                <w:i/>
                <w:iCs/>
              </w:rPr>
              <w:t>2019,</w:t>
            </w:r>
            <w:r w:rsidR="00DA18C6" w:rsidRPr="6FE4FB69">
              <w:rPr>
                <w:rFonts w:cs="Arial"/>
              </w:rPr>
              <w:t xml:space="preserve"> to</w:t>
            </w:r>
            <w:r w:rsidRPr="6FE4FB69">
              <w:rPr>
                <w:rFonts w:cs="Arial"/>
              </w:rPr>
              <w:t xml:space="preserve"> be shared with government partners to inform improvements to their own systems</w:t>
            </w:r>
            <w:r w:rsidR="009C71C5" w:rsidRPr="6FE4FB69">
              <w:rPr>
                <w:rFonts w:cs="Arial"/>
              </w:rPr>
              <w:t>.</w:t>
            </w:r>
          </w:p>
          <w:p w14:paraId="11CD63E1" w14:textId="77777777" w:rsidR="003B666F" w:rsidRPr="00E07195" w:rsidRDefault="003B666F" w:rsidP="009252D5">
            <w:pPr>
              <w:pStyle w:val="TableTextLeft"/>
              <w:rPr>
                <w:rFonts w:cs="Arial"/>
                <w:szCs w:val="20"/>
              </w:rPr>
            </w:pPr>
          </w:p>
          <w:p w14:paraId="703C6F31" w14:textId="68153D83" w:rsidR="003B666F" w:rsidRPr="00E07195" w:rsidRDefault="003B666F" w:rsidP="009252D5">
            <w:pPr>
              <w:pStyle w:val="TableTextLeft"/>
              <w:rPr>
                <w:rFonts w:cs="Arial"/>
                <w:szCs w:val="20"/>
              </w:rPr>
            </w:pPr>
            <w:r w:rsidRPr="00E07195">
              <w:rPr>
                <w:rFonts w:cs="Arial"/>
                <w:b/>
                <w:bCs/>
                <w:szCs w:val="20"/>
              </w:rPr>
              <w:t>SI:</w:t>
            </w:r>
            <w:r w:rsidRPr="00E07195">
              <w:rPr>
                <w:rFonts w:cs="Arial"/>
                <w:szCs w:val="20"/>
              </w:rPr>
              <w:t xml:space="preserve">  Number of Aboriginal and Torres Strait Islander peoples accessing a complaints process</w:t>
            </w:r>
            <w:r w:rsidR="009C71C5" w:rsidRPr="00E07195">
              <w:rPr>
                <w:rFonts w:cs="Arial"/>
                <w:szCs w:val="20"/>
              </w:rPr>
              <w:t>.</w:t>
            </w:r>
          </w:p>
          <w:p w14:paraId="2C64F8A5" w14:textId="03AF0807" w:rsidR="00FC1DB1" w:rsidRPr="00E07195" w:rsidRDefault="00FC1DB1" w:rsidP="009252D5">
            <w:pPr>
              <w:pStyle w:val="TableTextLeft"/>
              <w:rPr>
                <w:rFonts w:cs="Arial"/>
                <w:szCs w:val="20"/>
              </w:rPr>
            </w:pPr>
            <w:r w:rsidRPr="00E07195">
              <w:rPr>
                <w:rFonts w:cs="Arial"/>
                <w:b/>
                <w:bCs/>
                <w:szCs w:val="20"/>
              </w:rPr>
              <w:t xml:space="preserve">SI: </w:t>
            </w:r>
            <w:r w:rsidRPr="00E07195">
              <w:rPr>
                <w:rFonts w:cs="Arial"/>
                <w:szCs w:val="20"/>
              </w:rPr>
              <w:t xml:space="preserve">Adoption by Queensland Government agencies of </w:t>
            </w:r>
            <w:r w:rsidR="00416B12" w:rsidRPr="00E07195">
              <w:rPr>
                <w:rFonts w:cs="Arial"/>
                <w:szCs w:val="20"/>
              </w:rPr>
              <w:t xml:space="preserve">agreed </w:t>
            </w:r>
            <w:r w:rsidRPr="00E07195">
              <w:rPr>
                <w:rFonts w:cs="Arial"/>
                <w:szCs w:val="20"/>
              </w:rPr>
              <w:t>principles to inform culturally responsive complaints management</w:t>
            </w:r>
            <w:r w:rsidR="009C71C5" w:rsidRPr="00E07195">
              <w:rPr>
                <w:rFonts w:cs="Arial"/>
                <w:szCs w:val="20"/>
              </w:rPr>
              <w:t>.</w:t>
            </w:r>
          </w:p>
        </w:tc>
        <w:tc>
          <w:tcPr>
            <w:tcW w:w="3118" w:type="dxa"/>
            <w:tcBorders>
              <w:bottom w:val="single" w:sz="12" w:space="0" w:color="auto"/>
            </w:tcBorders>
          </w:tcPr>
          <w:p w14:paraId="253F8D2C" w14:textId="452DFEC0" w:rsidR="003B666F" w:rsidRPr="007C1C61" w:rsidRDefault="0039718C" w:rsidP="009252D5">
            <w:pPr>
              <w:pStyle w:val="TableTextLeft"/>
              <w:rPr>
                <w:rFonts w:cs="Arial"/>
                <w:szCs w:val="20"/>
              </w:rPr>
            </w:pPr>
            <w:r w:rsidRPr="0039718C">
              <w:rPr>
                <w:rFonts w:cs="Arial"/>
                <w:b/>
                <w:bCs/>
                <w:szCs w:val="20"/>
              </w:rPr>
              <w:t>O:</w:t>
            </w:r>
            <w:r w:rsidR="003B666F" w:rsidRPr="007C1C61">
              <w:rPr>
                <w:rFonts w:cs="Arial"/>
                <w:szCs w:val="20"/>
              </w:rPr>
              <w:t xml:space="preserve">  Strengthened accountability mechanisms at all levels to ensure the service needs of Aboriginal and Torres Strait Islander peoples are met</w:t>
            </w:r>
            <w:r w:rsidR="009C71C5" w:rsidRPr="007C1C61">
              <w:rPr>
                <w:rFonts w:cs="Arial"/>
                <w:szCs w:val="20"/>
              </w:rPr>
              <w:t>.</w:t>
            </w:r>
          </w:p>
          <w:p w14:paraId="729D7D33" w14:textId="6D876EA6" w:rsidR="003B666F" w:rsidRPr="007C1C61" w:rsidRDefault="0039718C" w:rsidP="009252D5">
            <w:pPr>
              <w:pStyle w:val="TableTextLeft"/>
              <w:rPr>
                <w:rFonts w:cs="Arial"/>
                <w:szCs w:val="20"/>
              </w:rPr>
            </w:pPr>
            <w:r w:rsidRPr="0039718C">
              <w:rPr>
                <w:rFonts w:cs="Arial"/>
                <w:b/>
                <w:bCs/>
                <w:szCs w:val="20"/>
              </w:rPr>
              <w:t>O:</w:t>
            </w:r>
            <w:r w:rsidR="003B666F" w:rsidRPr="007C1C61">
              <w:rPr>
                <w:rFonts w:cs="Arial"/>
                <w:szCs w:val="20"/>
              </w:rPr>
              <w:t xml:space="preserve">  All government agencies and service providers embed the principles of </w:t>
            </w:r>
            <w:r w:rsidR="003B666F" w:rsidRPr="00BC3793">
              <w:rPr>
                <w:rFonts w:cs="Arial"/>
                <w:i/>
                <w:iCs/>
                <w:szCs w:val="20"/>
              </w:rPr>
              <w:t>Our Way</w:t>
            </w:r>
            <w:r w:rsidR="003B666F" w:rsidRPr="007C1C61">
              <w:rPr>
                <w:rFonts w:cs="Arial"/>
                <w:szCs w:val="20"/>
              </w:rPr>
              <w:t xml:space="preserve"> in its strategic planning, policy development and frontline service delivery responses</w:t>
            </w:r>
            <w:r w:rsidR="009C71C5" w:rsidRPr="007C1C61">
              <w:rPr>
                <w:rFonts w:cs="Arial"/>
                <w:szCs w:val="20"/>
              </w:rPr>
              <w:t>.</w:t>
            </w:r>
          </w:p>
          <w:p w14:paraId="38A39E98" w14:textId="203BBE30" w:rsidR="003B666F" w:rsidRPr="007C1C61" w:rsidRDefault="0039718C" w:rsidP="009252D5">
            <w:pPr>
              <w:pStyle w:val="TableTextLeft"/>
              <w:rPr>
                <w:rFonts w:cs="Arial"/>
                <w:szCs w:val="20"/>
              </w:rPr>
            </w:pPr>
            <w:r w:rsidRPr="0039718C">
              <w:rPr>
                <w:rFonts w:cs="Arial"/>
                <w:b/>
                <w:bCs/>
                <w:szCs w:val="20"/>
              </w:rPr>
              <w:t>O:</w:t>
            </w:r>
            <w:r w:rsidR="003B666F" w:rsidRPr="007C1C61">
              <w:rPr>
                <w:rFonts w:cs="Arial"/>
                <w:szCs w:val="20"/>
              </w:rPr>
              <w:t xml:space="preserve">  All government agencies and service providers are culturally competent and redress instances of structural racism within their organisations</w:t>
            </w:r>
            <w:r w:rsidR="009C71C5" w:rsidRPr="007C1C61">
              <w:rPr>
                <w:rFonts w:cs="Arial"/>
                <w:szCs w:val="20"/>
              </w:rPr>
              <w:t>.</w:t>
            </w:r>
          </w:p>
        </w:tc>
        <w:tc>
          <w:tcPr>
            <w:tcW w:w="3685" w:type="dxa"/>
            <w:tcBorders>
              <w:bottom w:val="single" w:sz="12" w:space="0" w:color="auto"/>
            </w:tcBorders>
          </w:tcPr>
          <w:p w14:paraId="5AA07830" w14:textId="6C0F143F" w:rsidR="003B666F" w:rsidRPr="00E07195" w:rsidRDefault="003B666F" w:rsidP="009252D5">
            <w:pPr>
              <w:pStyle w:val="TableTextLeft"/>
              <w:rPr>
                <w:rFonts w:eastAsiaTheme="minorEastAsia" w:cs="Arial"/>
                <w:szCs w:val="20"/>
              </w:rPr>
            </w:pPr>
            <w:r w:rsidRPr="00E07195">
              <w:rPr>
                <w:rFonts w:cs="Arial"/>
                <w:szCs w:val="20"/>
              </w:rPr>
              <w:t>The proportion of complaints from Aboriginal and Torres Strait Islander peoples is not proportionate with their interactions with government.</w:t>
            </w:r>
            <w:r w:rsidRPr="00E07195">
              <w:rPr>
                <w:rFonts w:eastAsiaTheme="minorEastAsia" w:cs="Arial"/>
                <w:szCs w:val="20"/>
              </w:rPr>
              <w:t xml:space="preserve"> Culturally </w:t>
            </w:r>
            <w:r w:rsidR="00A41DC6" w:rsidRPr="00E07195">
              <w:rPr>
                <w:rFonts w:eastAsiaTheme="minorEastAsia" w:cs="Arial"/>
                <w:szCs w:val="20"/>
              </w:rPr>
              <w:t xml:space="preserve">safe and </w:t>
            </w:r>
            <w:r w:rsidRPr="00E07195">
              <w:rPr>
                <w:rFonts w:eastAsiaTheme="minorEastAsia" w:cs="Arial"/>
                <w:szCs w:val="20"/>
              </w:rPr>
              <w:t>responsive complaint</w:t>
            </w:r>
            <w:r w:rsidR="00A41DC6" w:rsidRPr="00E07195">
              <w:rPr>
                <w:rFonts w:eastAsiaTheme="minorEastAsia" w:cs="Arial"/>
                <w:szCs w:val="20"/>
              </w:rPr>
              <w:t xml:space="preserve">s management </w:t>
            </w:r>
            <w:r w:rsidR="00DA18C6" w:rsidRPr="00E07195">
              <w:rPr>
                <w:rFonts w:eastAsiaTheme="minorEastAsia" w:cs="Arial"/>
                <w:szCs w:val="20"/>
              </w:rPr>
              <w:t>systems are</w:t>
            </w:r>
            <w:r w:rsidRPr="00E07195">
              <w:rPr>
                <w:rFonts w:eastAsiaTheme="minorEastAsia" w:cs="Arial"/>
                <w:szCs w:val="20"/>
              </w:rPr>
              <w:t xml:space="preserve"> a starting point to address the interpersonal and institutional racism Aboriginal and Torres Strait Islander peoples experience when accessing government and mainstream services.</w:t>
            </w:r>
          </w:p>
          <w:p w14:paraId="78080016" w14:textId="76B3BDAF" w:rsidR="003B666F" w:rsidRPr="00E07195" w:rsidRDefault="003B666F" w:rsidP="009252D5">
            <w:pPr>
              <w:pStyle w:val="TableTextLeft"/>
              <w:rPr>
                <w:rFonts w:cs="Arial"/>
                <w:szCs w:val="20"/>
              </w:rPr>
            </w:pPr>
            <w:r w:rsidRPr="00E07195">
              <w:rPr>
                <w:rFonts w:cs="Arial"/>
                <w:szCs w:val="20"/>
              </w:rPr>
              <w:t>This action aligns with Recommendation 11 of the Family Matters Report 2022.</w:t>
            </w:r>
          </w:p>
        </w:tc>
        <w:tc>
          <w:tcPr>
            <w:tcW w:w="1627" w:type="dxa"/>
            <w:tcBorders>
              <w:bottom w:val="single" w:sz="12" w:space="0" w:color="auto"/>
            </w:tcBorders>
          </w:tcPr>
          <w:p w14:paraId="359BAB9C" w14:textId="2B5E8EB0" w:rsidR="001367C4" w:rsidRPr="00E07195" w:rsidRDefault="006F21BA" w:rsidP="009252D5">
            <w:pPr>
              <w:pStyle w:val="TableTextLeft"/>
              <w:rPr>
                <w:rFonts w:cs="Arial"/>
                <w:noProof/>
                <w:szCs w:val="20"/>
              </w:rPr>
            </w:pPr>
            <w:r w:rsidRPr="00E07195">
              <w:rPr>
                <w:rFonts w:cs="Arial"/>
                <w:noProof/>
                <w:szCs w:val="20"/>
              </w:rPr>
              <w:drawing>
                <wp:inline distT="0" distB="0" distL="0" distR="0" wp14:anchorId="6594BACB" wp14:editId="07FB71CA">
                  <wp:extent cx="342429" cy="323215"/>
                  <wp:effectExtent l="0" t="0" r="635" b="635"/>
                  <wp:docPr id="36" name="Picture 36" descr="Building block three - Law, policy and practice in child and family welfare are culturally safe and responsive  &#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Building block three - Law, policy and practice in child and family welfare are culturally safe and responsive  &#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8823" cy="338689"/>
                          </a:xfrm>
                          <a:prstGeom prst="rect">
                            <a:avLst/>
                          </a:prstGeom>
                        </pic:spPr>
                      </pic:pic>
                    </a:graphicData>
                  </a:graphic>
                </wp:inline>
              </w:drawing>
            </w:r>
          </w:p>
          <w:p w14:paraId="7FDCEBE9" w14:textId="65B7438A" w:rsidR="001367C4" w:rsidRPr="00E07195" w:rsidRDefault="006F21BA" w:rsidP="001367C4">
            <w:pPr>
              <w:pStyle w:val="TableTextLeft"/>
              <w:rPr>
                <w:rFonts w:cs="Arial"/>
                <w:szCs w:val="20"/>
              </w:rPr>
            </w:pPr>
            <w:r w:rsidRPr="00E07195">
              <w:rPr>
                <w:rFonts w:cs="Arial"/>
                <w:noProof/>
                <w:szCs w:val="20"/>
              </w:rPr>
              <w:drawing>
                <wp:inline distT="0" distB="0" distL="0" distR="0" wp14:anchorId="42A6FF91" wp14:editId="348681C8">
                  <wp:extent cx="355600" cy="351929"/>
                  <wp:effectExtent l="0" t="0" r="6350" b="0"/>
                  <wp:docPr id="37" name="Picture 37" descr="Building block four - Governments and services are accountable to Aboriginal and Torres Strait Islander peoples &#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Building block four - Governments and services are accountable to Aboriginal and Torres Strait Islander peoples &#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7636" cy="363841"/>
                          </a:xfrm>
                          <a:prstGeom prst="rect">
                            <a:avLst/>
                          </a:prstGeom>
                        </pic:spPr>
                      </pic:pic>
                    </a:graphicData>
                  </a:graphic>
                </wp:inline>
              </w:drawing>
            </w:r>
          </w:p>
          <w:p w14:paraId="5532A19E" w14:textId="5686AC09" w:rsidR="003B666F" w:rsidRPr="00E07195" w:rsidRDefault="003B666F" w:rsidP="009252D5">
            <w:pPr>
              <w:pStyle w:val="TableTextLeft"/>
              <w:rPr>
                <w:rFonts w:cs="Arial"/>
                <w:szCs w:val="20"/>
              </w:rPr>
            </w:pPr>
          </w:p>
        </w:tc>
        <w:tc>
          <w:tcPr>
            <w:tcW w:w="1197" w:type="dxa"/>
            <w:tcBorders>
              <w:bottom w:val="single" w:sz="12" w:space="0" w:color="auto"/>
            </w:tcBorders>
          </w:tcPr>
          <w:p w14:paraId="5CFFFA8C" w14:textId="3A65266B" w:rsidR="003B666F" w:rsidRPr="00453A57" w:rsidRDefault="00834955" w:rsidP="00453A57">
            <w:pPr>
              <w:pStyle w:val="TableTextLeft"/>
              <w:jc w:val="center"/>
              <w:rPr>
                <w:rFonts w:cs="Arial"/>
                <w:b/>
                <w:bCs/>
                <w:sz w:val="32"/>
                <w:szCs w:val="32"/>
              </w:rPr>
            </w:pPr>
            <w:r w:rsidRPr="00453A57">
              <w:rPr>
                <w:rFonts w:cs="Arial"/>
                <w:b/>
                <w:bCs/>
                <w:sz w:val="32"/>
                <w:szCs w:val="32"/>
                <w:shd w:val="clear" w:color="auto" w:fill="FFFFFF"/>
              </w:rPr>
              <w:t>3</w:t>
            </w:r>
          </w:p>
        </w:tc>
        <w:tc>
          <w:tcPr>
            <w:tcW w:w="1260" w:type="dxa"/>
            <w:tcBorders>
              <w:bottom w:val="single" w:sz="12" w:space="0" w:color="auto"/>
            </w:tcBorders>
          </w:tcPr>
          <w:p w14:paraId="03796B98" w14:textId="177D83F6" w:rsidR="003B666F" w:rsidRPr="00453A57" w:rsidRDefault="00C22CDE" w:rsidP="00453A57">
            <w:pPr>
              <w:pStyle w:val="TableTextLeft"/>
              <w:jc w:val="center"/>
              <w:rPr>
                <w:rFonts w:cs="Arial"/>
                <w:b/>
                <w:bCs/>
                <w:sz w:val="32"/>
                <w:szCs w:val="32"/>
              </w:rPr>
            </w:pPr>
            <w:r>
              <w:rPr>
                <w:rFonts w:cs="Arial"/>
                <w:b/>
                <w:bCs/>
                <w:sz w:val="32"/>
                <w:szCs w:val="32"/>
              </w:rPr>
              <w:t>3,5</w:t>
            </w:r>
          </w:p>
        </w:tc>
      </w:tr>
      <w:tr w:rsidR="009252D5" w:rsidRPr="00E07195" w14:paraId="6BF56C0B" w14:textId="631CB7BD" w:rsidTr="25F521CE">
        <w:tc>
          <w:tcPr>
            <w:tcW w:w="1847" w:type="dxa"/>
            <w:vMerge w:val="restart"/>
            <w:tcBorders>
              <w:top w:val="single" w:sz="12" w:space="0" w:color="auto"/>
              <w:left w:val="single" w:sz="4" w:space="0" w:color="auto"/>
            </w:tcBorders>
            <w:shd w:val="clear" w:color="auto" w:fill="FEEFD3" w:themeFill="accent2" w:themeFillTint="33"/>
          </w:tcPr>
          <w:p w14:paraId="5D785F45" w14:textId="4267A8F9" w:rsidR="003B666F" w:rsidRPr="00E07195" w:rsidRDefault="003B666F" w:rsidP="009252D5">
            <w:pPr>
              <w:pStyle w:val="TableHeadingLeft"/>
              <w:rPr>
                <w:rFonts w:cs="Arial"/>
                <w:szCs w:val="20"/>
              </w:rPr>
            </w:pPr>
            <w:r w:rsidRPr="00E07195">
              <w:rPr>
                <w:rFonts w:cs="Arial"/>
                <w:szCs w:val="20"/>
              </w:rPr>
              <w:t>2:</w:t>
            </w:r>
          </w:p>
          <w:p w14:paraId="0640289D" w14:textId="064184D6" w:rsidR="003B666F" w:rsidRPr="00E07195" w:rsidRDefault="003B666F" w:rsidP="009252D5">
            <w:pPr>
              <w:pStyle w:val="TableHeadingLeft"/>
              <w:rPr>
                <w:rFonts w:cs="Arial"/>
                <w:szCs w:val="20"/>
              </w:rPr>
            </w:pPr>
            <w:r w:rsidRPr="00E07195">
              <w:rPr>
                <w:rFonts w:cs="Arial"/>
                <w:szCs w:val="20"/>
              </w:rPr>
              <w:t>Investment in the community-controlled sector</w:t>
            </w:r>
          </w:p>
        </w:tc>
        <w:tc>
          <w:tcPr>
            <w:tcW w:w="1928" w:type="dxa"/>
            <w:tcBorders>
              <w:top w:val="single" w:sz="12" w:space="0" w:color="auto"/>
            </w:tcBorders>
          </w:tcPr>
          <w:p w14:paraId="6D67C745" w14:textId="36748B47" w:rsidR="003B666F" w:rsidRPr="00E07195" w:rsidRDefault="00466465" w:rsidP="009252D5">
            <w:pPr>
              <w:pStyle w:val="TableTextLeft"/>
              <w:rPr>
                <w:rFonts w:cs="Arial"/>
                <w:b/>
                <w:bCs/>
                <w:szCs w:val="20"/>
              </w:rPr>
            </w:pPr>
            <w:r w:rsidRPr="00E07195">
              <w:rPr>
                <w:rFonts w:cs="Arial"/>
                <w:b/>
                <w:bCs/>
                <w:szCs w:val="20"/>
              </w:rPr>
              <w:t>DCSSDS</w:t>
            </w:r>
          </w:p>
          <w:p w14:paraId="6662C103" w14:textId="747A67DE" w:rsidR="003B666F" w:rsidRPr="00E07195" w:rsidRDefault="003B666F" w:rsidP="009252D5">
            <w:pPr>
              <w:pStyle w:val="TableTextLeft"/>
              <w:rPr>
                <w:rFonts w:cs="Arial"/>
                <w:szCs w:val="20"/>
              </w:rPr>
            </w:pPr>
          </w:p>
        </w:tc>
        <w:tc>
          <w:tcPr>
            <w:tcW w:w="3061" w:type="dxa"/>
            <w:tcBorders>
              <w:top w:val="single" w:sz="12" w:space="0" w:color="auto"/>
            </w:tcBorders>
          </w:tcPr>
          <w:p w14:paraId="2E6D93B1" w14:textId="3B956A96" w:rsidR="00573CFD" w:rsidRPr="00811D0E" w:rsidRDefault="00DA18C6" w:rsidP="009252D5">
            <w:pPr>
              <w:pStyle w:val="TableTextLeft"/>
              <w:rPr>
                <w:rFonts w:cs="Arial"/>
                <w:szCs w:val="20"/>
              </w:rPr>
            </w:pPr>
            <w:r w:rsidRPr="66293221">
              <w:rPr>
                <w:b/>
                <w:bCs/>
              </w:rPr>
              <w:t>2.1</w:t>
            </w:r>
            <w:r w:rsidRPr="66293221">
              <w:t xml:space="preserve"> </w:t>
            </w:r>
            <w:r w:rsidRPr="00811D0E">
              <w:rPr>
                <w:rFonts w:cs="Arial"/>
                <w:szCs w:val="20"/>
              </w:rPr>
              <w:t>Review</w:t>
            </w:r>
            <w:r w:rsidR="005B1D42" w:rsidRPr="00811D0E">
              <w:rPr>
                <w:rFonts w:cs="Arial"/>
                <w:szCs w:val="20"/>
              </w:rPr>
              <w:t xml:space="preserve"> and identify current spending on Aboriginal and Torres Strait Islander children and families in the child protection system to identify reprioritisation opportunities.</w:t>
            </w:r>
          </w:p>
          <w:p w14:paraId="3D2B4DBE" w14:textId="77777777" w:rsidR="005B1D42" w:rsidRDefault="005B1D42" w:rsidP="009252D5">
            <w:pPr>
              <w:pStyle w:val="TableTextLeft"/>
              <w:rPr>
                <w:rFonts w:cs="Arial"/>
                <w:b/>
                <w:bCs/>
                <w:szCs w:val="20"/>
              </w:rPr>
            </w:pPr>
          </w:p>
          <w:p w14:paraId="56D6A8E4" w14:textId="2035E1D5" w:rsidR="003B666F" w:rsidRPr="00E07195" w:rsidRDefault="003B666F" w:rsidP="009252D5">
            <w:pPr>
              <w:pStyle w:val="TableTextLeft"/>
              <w:rPr>
                <w:rFonts w:cs="Arial"/>
                <w:szCs w:val="20"/>
              </w:rPr>
            </w:pPr>
            <w:r w:rsidRPr="00E07195">
              <w:rPr>
                <w:rFonts w:cs="Arial"/>
                <w:b/>
                <w:bCs/>
                <w:szCs w:val="20"/>
              </w:rPr>
              <w:t xml:space="preserve">Timing:  </w:t>
            </w:r>
            <w:r w:rsidRPr="00E07195">
              <w:rPr>
                <w:rFonts w:cs="Arial"/>
                <w:szCs w:val="20"/>
              </w:rPr>
              <w:t>Year</w:t>
            </w:r>
            <w:r w:rsidR="00A44585" w:rsidRPr="00E07195">
              <w:rPr>
                <w:rFonts w:cs="Arial"/>
                <w:szCs w:val="20"/>
              </w:rPr>
              <w:t>s</w:t>
            </w:r>
            <w:r w:rsidRPr="00E07195">
              <w:rPr>
                <w:rFonts w:cs="Arial"/>
                <w:szCs w:val="20"/>
              </w:rPr>
              <w:t xml:space="preserve"> 1 </w:t>
            </w:r>
            <w:r w:rsidR="00A44585" w:rsidRPr="00E07195">
              <w:rPr>
                <w:rFonts w:cs="Arial"/>
                <w:szCs w:val="20"/>
              </w:rPr>
              <w:t xml:space="preserve">and 2 </w:t>
            </w:r>
            <w:r w:rsidRPr="00E07195">
              <w:rPr>
                <w:rFonts w:cs="Arial"/>
                <w:szCs w:val="20"/>
              </w:rPr>
              <w:t>(2023</w:t>
            </w:r>
            <w:r w:rsidR="00C96CC8">
              <w:rPr>
                <w:rFonts w:eastAsia="Calibri"/>
              </w:rPr>
              <w:t>–</w:t>
            </w:r>
            <w:r w:rsidR="00CC64C4">
              <w:rPr>
                <w:rFonts w:cs="Arial"/>
                <w:szCs w:val="20"/>
              </w:rPr>
              <w:t>20</w:t>
            </w:r>
            <w:r w:rsidR="00A44585" w:rsidRPr="00E07195">
              <w:rPr>
                <w:rFonts w:cs="Arial"/>
                <w:szCs w:val="20"/>
              </w:rPr>
              <w:t>24</w:t>
            </w:r>
            <w:r w:rsidRPr="00E07195">
              <w:rPr>
                <w:rFonts w:cs="Arial"/>
                <w:szCs w:val="20"/>
              </w:rPr>
              <w:t>)</w:t>
            </w:r>
          </w:p>
          <w:p w14:paraId="75936FD8" w14:textId="6505D688" w:rsidR="003B666F" w:rsidRPr="00E07195" w:rsidRDefault="003B666F" w:rsidP="009252D5">
            <w:pPr>
              <w:pStyle w:val="TableTextLeft"/>
              <w:rPr>
                <w:rFonts w:cs="Arial"/>
                <w:szCs w:val="20"/>
              </w:rPr>
            </w:pPr>
          </w:p>
        </w:tc>
        <w:tc>
          <w:tcPr>
            <w:tcW w:w="3685" w:type="dxa"/>
            <w:tcBorders>
              <w:top w:val="single" w:sz="12" w:space="0" w:color="auto"/>
            </w:tcBorders>
          </w:tcPr>
          <w:p w14:paraId="03CC1099" w14:textId="57DB4B0F" w:rsidR="003B666F" w:rsidRPr="00E07195" w:rsidRDefault="003B666F" w:rsidP="009252D5">
            <w:pPr>
              <w:pStyle w:val="TableTextLeft"/>
              <w:rPr>
                <w:rFonts w:cs="Arial"/>
                <w:szCs w:val="20"/>
              </w:rPr>
            </w:pPr>
            <w:r w:rsidRPr="00E07195">
              <w:rPr>
                <w:rFonts w:cs="Arial"/>
                <w:b/>
                <w:bCs/>
                <w:szCs w:val="20"/>
              </w:rPr>
              <w:t>D:</w:t>
            </w:r>
            <w:r w:rsidRPr="00E07195">
              <w:rPr>
                <w:rFonts w:cs="Arial"/>
                <w:szCs w:val="20"/>
              </w:rPr>
              <w:t xml:space="preserve">  Comprehensive expenditure report detailing the spend on Aboriginal and Torres Strait Islander children and families in the child protection system</w:t>
            </w:r>
            <w:r w:rsidR="00416B12" w:rsidRPr="00E07195">
              <w:rPr>
                <w:rFonts w:cs="Arial"/>
                <w:szCs w:val="20"/>
              </w:rPr>
              <w:t xml:space="preserve">, developed in collaboration with the </w:t>
            </w:r>
            <w:r w:rsidR="009C71C5" w:rsidRPr="00E07195">
              <w:rPr>
                <w:rFonts w:cs="Arial"/>
                <w:szCs w:val="20"/>
              </w:rPr>
              <w:t>ATSI</w:t>
            </w:r>
            <w:r w:rsidR="00416B12" w:rsidRPr="00E07195">
              <w:rPr>
                <w:rFonts w:cs="Arial"/>
                <w:szCs w:val="20"/>
              </w:rPr>
              <w:t>CCO sector</w:t>
            </w:r>
            <w:r w:rsidR="009C71C5" w:rsidRPr="00E07195">
              <w:rPr>
                <w:rFonts w:cs="Arial"/>
                <w:szCs w:val="20"/>
              </w:rPr>
              <w:t>.</w:t>
            </w:r>
          </w:p>
          <w:p w14:paraId="6FAA6315" w14:textId="77777777" w:rsidR="00416B12" w:rsidRPr="00E07195" w:rsidRDefault="00416B12" w:rsidP="009252D5">
            <w:pPr>
              <w:pStyle w:val="TableTextLeft"/>
              <w:rPr>
                <w:rFonts w:cs="Arial"/>
                <w:szCs w:val="20"/>
              </w:rPr>
            </w:pPr>
          </w:p>
          <w:p w14:paraId="3436B6EB" w14:textId="791A945C" w:rsidR="00416B12" w:rsidRPr="00E07195" w:rsidRDefault="00416B12" w:rsidP="00F73909">
            <w:pPr>
              <w:pStyle w:val="TableTextLeft"/>
              <w:rPr>
                <w:rFonts w:cs="Arial"/>
                <w:szCs w:val="20"/>
              </w:rPr>
            </w:pPr>
            <w:r w:rsidRPr="00E07195">
              <w:rPr>
                <w:rFonts w:cs="Arial"/>
                <w:b/>
                <w:bCs/>
                <w:szCs w:val="20"/>
              </w:rPr>
              <w:t xml:space="preserve">SI: </w:t>
            </w:r>
            <w:r w:rsidRPr="00E07195">
              <w:rPr>
                <w:rFonts w:cs="Arial"/>
                <w:szCs w:val="20"/>
              </w:rPr>
              <w:t xml:space="preserve">The expenditure report is used to inform actions </w:t>
            </w:r>
            <w:r w:rsidR="007E6788" w:rsidRPr="00E07195">
              <w:rPr>
                <w:rFonts w:cs="Arial"/>
                <w:szCs w:val="20"/>
              </w:rPr>
              <w:t>1.4</w:t>
            </w:r>
            <w:r w:rsidRPr="00E07195">
              <w:rPr>
                <w:rFonts w:cs="Arial"/>
                <w:szCs w:val="20"/>
              </w:rPr>
              <w:t xml:space="preserve"> and </w:t>
            </w:r>
            <w:r w:rsidR="007E6788" w:rsidRPr="00E07195">
              <w:rPr>
                <w:rFonts w:cs="Arial"/>
                <w:szCs w:val="20"/>
              </w:rPr>
              <w:t>2.3</w:t>
            </w:r>
            <w:r w:rsidRPr="00E07195">
              <w:rPr>
                <w:rFonts w:cs="Arial"/>
                <w:szCs w:val="20"/>
              </w:rPr>
              <w:t xml:space="preserve"> </w:t>
            </w:r>
            <w:r w:rsidR="007E6788" w:rsidRPr="00E07195">
              <w:rPr>
                <w:rFonts w:cs="Arial"/>
                <w:szCs w:val="20"/>
              </w:rPr>
              <w:t xml:space="preserve">through </w:t>
            </w:r>
            <w:r w:rsidRPr="00E07195">
              <w:rPr>
                <w:rFonts w:cs="Arial"/>
                <w:szCs w:val="20"/>
              </w:rPr>
              <w:t xml:space="preserve">which </w:t>
            </w:r>
            <w:r w:rsidR="007E6788" w:rsidRPr="00E07195">
              <w:rPr>
                <w:rFonts w:cs="Arial"/>
                <w:szCs w:val="20"/>
              </w:rPr>
              <w:t xml:space="preserve">realignment of expenditure will be determined collaboratively with the </w:t>
            </w:r>
            <w:r w:rsidR="009C71C5" w:rsidRPr="00E07195">
              <w:rPr>
                <w:rFonts w:cs="Arial"/>
                <w:szCs w:val="20"/>
              </w:rPr>
              <w:t xml:space="preserve">ATSICCO </w:t>
            </w:r>
            <w:r w:rsidR="007E6788" w:rsidRPr="00E07195">
              <w:rPr>
                <w:rFonts w:cs="Arial"/>
                <w:szCs w:val="20"/>
              </w:rPr>
              <w:t>sector</w:t>
            </w:r>
            <w:r w:rsidR="009C71C5" w:rsidRPr="00E07195">
              <w:rPr>
                <w:rFonts w:cs="Arial"/>
                <w:szCs w:val="20"/>
              </w:rPr>
              <w:t>.</w:t>
            </w:r>
          </w:p>
        </w:tc>
        <w:tc>
          <w:tcPr>
            <w:tcW w:w="3118" w:type="dxa"/>
            <w:tcBorders>
              <w:top w:val="single" w:sz="12" w:space="0" w:color="auto"/>
            </w:tcBorders>
          </w:tcPr>
          <w:p w14:paraId="487EC04C" w14:textId="1586359C" w:rsidR="003B666F" w:rsidRPr="007C1C61" w:rsidRDefault="0039718C" w:rsidP="009252D5">
            <w:pPr>
              <w:pStyle w:val="TableTextLeft"/>
              <w:rPr>
                <w:rFonts w:cs="Arial"/>
                <w:szCs w:val="20"/>
              </w:rPr>
            </w:pPr>
            <w:r w:rsidRPr="0039718C">
              <w:rPr>
                <w:rFonts w:cs="Arial"/>
                <w:b/>
                <w:bCs/>
                <w:szCs w:val="20"/>
              </w:rPr>
              <w:t>O:</w:t>
            </w:r>
            <w:r w:rsidR="003B666F" w:rsidRPr="007C1C61">
              <w:rPr>
                <w:rFonts w:cs="Arial"/>
                <w:szCs w:val="20"/>
              </w:rPr>
              <w:t xml:space="preserve">  The </w:t>
            </w:r>
            <w:r w:rsidR="009C71C5" w:rsidRPr="007C1C61">
              <w:rPr>
                <w:rFonts w:cs="Arial"/>
                <w:szCs w:val="20"/>
              </w:rPr>
              <w:t>ATSICCO</w:t>
            </w:r>
            <w:r w:rsidR="003B666F" w:rsidRPr="007C1C61">
              <w:rPr>
                <w:rFonts w:cs="Arial"/>
                <w:szCs w:val="20"/>
              </w:rPr>
              <w:t xml:space="preserve"> sector has access to data and information on their community</w:t>
            </w:r>
            <w:r w:rsidR="009C71C5" w:rsidRPr="007C1C61">
              <w:rPr>
                <w:rFonts w:cs="Arial"/>
                <w:szCs w:val="20"/>
              </w:rPr>
              <w:t>.</w:t>
            </w:r>
          </w:p>
          <w:p w14:paraId="32141C2E" w14:textId="57FFABFA" w:rsidR="003B666F" w:rsidRPr="007C1C61" w:rsidRDefault="0039718C" w:rsidP="009252D5">
            <w:pPr>
              <w:pStyle w:val="TableTextLeft"/>
              <w:rPr>
                <w:rFonts w:cs="Arial"/>
                <w:szCs w:val="20"/>
              </w:rPr>
            </w:pPr>
            <w:r w:rsidRPr="0039718C">
              <w:rPr>
                <w:rFonts w:cs="Arial"/>
                <w:b/>
                <w:bCs/>
                <w:szCs w:val="20"/>
              </w:rPr>
              <w:t>O:</w:t>
            </w:r>
            <w:r w:rsidR="003B666F" w:rsidRPr="007C1C61">
              <w:rPr>
                <w:rFonts w:cs="Arial"/>
                <w:szCs w:val="20"/>
              </w:rPr>
              <w:t xml:space="preserve">  Strengthened accountability mechanisms at all levels to ensure the service needs of Aboriginal and Torres Strait Islander peoples are met</w:t>
            </w:r>
            <w:r w:rsidR="009C71C5" w:rsidRPr="007C1C61">
              <w:rPr>
                <w:rFonts w:cs="Arial"/>
                <w:szCs w:val="20"/>
              </w:rPr>
              <w:t>.</w:t>
            </w:r>
          </w:p>
        </w:tc>
        <w:tc>
          <w:tcPr>
            <w:tcW w:w="3685" w:type="dxa"/>
            <w:tcBorders>
              <w:top w:val="single" w:sz="12" w:space="0" w:color="auto"/>
            </w:tcBorders>
          </w:tcPr>
          <w:p w14:paraId="4889DD23" w14:textId="43B5E1ED" w:rsidR="003B666F" w:rsidRPr="00E07195" w:rsidRDefault="003B666F" w:rsidP="009252D5">
            <w:pPr>
              <w:pStyle w:val="TableTextLeft"/>
              <w:rPr>
                <w:rFonts w:cs="Arial"/>
                <w:szCs w:val="20"/>
              </w:rPr>
            </w:pPr>
            <w:r w:rsidRPr="00E07195">
              <w:rPr>
                <w:rFonts w:cs="Arial"/>
                <w:szCs w:val="20"/>
              </w:rPr>
              <w:t xml:space="preserve">Quantifying, analysing and publicly reporting expenditure on programs and services relating to Aboriginal and Torres Strait Islander peoples increases transparency of funding allocations. It will assist government and the </w:t>
            </w:r>
            <w:r w:rsidR="009C71C5" w:rsidRPr="00E07195">
              <w:rPr>
                <w:rFonts w:cs="Arial"/>
                <w:szCs w:val="20"/>
              </w:rPr>
              <w:t>ATSICCO</w:t>
            </w:r>
            <w:r w:rsidRPr="00E07195">
              <w:rPr>
                <w:rFonts w:cs="Arial"/>
                <w:szCs w:val="20"/>
              </w:rPr>
              <w:t xml:space="preserve"> sector to understand the impact, effectiveness and efficiency of investment and consider opportunities to better direct government funding to improve outcomes for Aboriginal and Torres Strait Islander children and families.</w:t>
            </w:r>
          </w:p>
        </w:tc>
        <w:tc>
          <w:tcPr>
            <w:tcW w:w="1627" w:type="dxa"/>
            <w:tcBorders>
              <w:top w:val="single" w:sz="12" w:space="0" w:color="auto"/>
            </w:tcBorders>
          </w:tcPr>
          <w:p w14:paraId="6859EC01" w14:textId="5CBFDC7F" w:rsidR="0075422F" w:rsidRDefault="0075422F" w:rsidP="720B08D4">
            <w:pPr>
              <w:pStyle w:val="TableTextLeft"/>
              <w:rPr>
                <w:rFonts w:cs="Arial"/>
              </w:rPr>
            </w:pPr>
            <w:r w:rsidRPr="00E07195">
              <w:rPr>
                <w:rFonts w:cs="Arial"/>
                <w:noProof/>
                <w:szCs w:val="20"/>
              </w:rPr>
              <w:drawing>
                <wp:inline distT="0" distB="0" distL="0" distR="0" wp14:anchorId="477AD0D3" wp14:editId="105A2BA1">
                  <wp:extent cx="339271" cy="323850"/>
                  <wp:effectExtent l="0" t="0" r="3810" b="0"/>
                  <wp:docPr id="9" name="Picture 9" descr="Building block one - All families enjoy access to quality, culturally safe universal and targeted services necessary for Aboriginal and Torres Strait Islander children to thrive  &#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uilding block one - All families enjoy access to quality, culturally safe universal and targeted services necessary for Aboriginal and Torres Strait Islander children to thrive  &#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3940" cy="328307"/>
                          </a:xfrm>
                          <a:prstGeom prst="rect">
                            <a:avLst/>
                          </a:prstGeom>
                        </pic:spPr>
                      </pic:pic>
                    </a:graphicData>
                  </a:graphic>
                </wp:inline>
              </w:drawing>
            </w:r>
          </w:p>
          <w:p w14:paraId="30388F77" w14:textId="44D2DC4A" w:rsidR="003B666F" w:rsidRPr="00E07195" w:rsidRDefault="006F21BA" w:rsidP="720B08D4">
            <w:pPr>
              <w:pStyle w:val="TableTextLeft"/>
              <w:rPr>
                <w:rFonts w:cs="Arial"/>
              </w:rPr>
            </w:pPr>
            <w:r>
              <w:rPr>
                <w:noProof/>
              </w:rPr>
              <w:drawing>
                <wp:inline distT="0" distB="0" distL="0" distR="0" wp14:anchorId="4FF0BEE5" wp14:editId="7F8CA3A3">
                  <wp:extent cx="355600" cy="351929"/>
                  <wp:effectExtent l="0" t="0" r="6350" b="0"/>
                  <wp:docPr id="38" name="Picture 38" descr="Building block four - Governments and services are accountable to Aboriginal and Torres Strait Islander peoples &#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Building block four - Governments and services are accountable to Aboriginal and Torres Strait Islander peoples &#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5600" cy="351929"/>
                          </a:xfrm>
                          <a:prstGeom prst="rect">
                            <a:avLst/>
                          </a:prstGeom>
                        </pic:spPr>
                      </pic:pic>
                    </a:graphicData>
                  </a:graphic>
                </wp:inline>
              </w:drawing>
            </w:r>
          </w:p>
        </w:tc>
        <w:tc>
          <w:tcPr>
            <w:tcW w:w="1197" w:type="dxa"/>
            <w:tcBorders>
              <w:top w:val="single" w:sz="12" w:space="0" w:color="auto"/>
            </w:tcBorders>
          </w:tcPr>
          <w:p w14:paraId="6C879865" w14:textId="38428FE2" w:rsidR="003B666F" w:rsidRPr="00453A57" w:rsidRDefault="00834955" w:rsidP="00453A57">
            <w:pPr>
              <w:pStyle w:val="TableTextLeft"/>
              <w:jc w:val="center"/>
              <w:rPr>
                <w:rFonts w:cs="Arial"/>
                <w:b/>
                <w:bCs/>
                <w:sz w:val="32"/>
                <w:szCs w:val="32"/>
              </w:rPr>
            </w:pPr>
            <w:r w:rsidRPr="00453A57">
              <w:rPr>
                <w:rFonts w:cs="Arial"/>
                <w:b/>
                <w:bCs/>
                <w:sz w:val="32"/>
                <w:szCs w:val="32"/>
                <w:shd w:val="clear" w:color="auto" w:fill="FFFFFF"/>
              </w:rPr>
              <w:t>3</w:t>
            </w:r>
          </w:p>
        </w:tc>
        <w:tc>
          <w:tcPr>
            <w:tcW w:w="1260" w:type="dxa"/>
            <w:tcBorders>
              <w:top w:val="single" w:sz="12" w:space="0" w:color="auto"/>
            </w:tcBorders>
          </w:tcPr>
          <w:p w14:paraId="5FC1CC10" w14:textId="31248BE2" w:rsidR="003B666F" w:rsidRPr="00453A57" w:rsidRDefault="00C22CDE" w:rsidP="00453A57">
            <w:pPr>
              <w:pStyle w:val="TableTextLeft"/>
              <w:jc w:val="center"/>
              <w:rPr>
                <w:rFonts w:cs="Arial"/>
                <w:b/>
                <w:bCs/>
                <w:sz w:val="32"/>
                <w:szCs w:val="32"/>
              </w:rPr>
            </w:pPr>
            <w:r>
              <w:rPr>
                <w:rFonts w:cs="Arial"/>
                <w:b/>
                <w:bCs/>
                <w:sz w:val="32"/>
                <w:szCs w:val="32"/>
              </w:rPr>
              <w:t>2</w:t>
            </w:r>
          </w:p>
        </w:tc>
      </w:tr>
      <w:tr w:rsidR="009252D5" w:rsidRPr="00E07195" w14:paraId="72CFB235" w14:textId="57CA640D" w:rsidTr="25F521CE">
        <w:trPr>
          <w:trHeight w:val="300"/>
        </w:trPr>
        <w:tc>
          <w:tcPr>
            <w:tcW w:w="1847" w:type="dxa"/>
            <w:vMerge/>
          </w:tcPr>
          <w:p w14:paraId="5AF003CC" w14:textId="77777777" w:rsidR="003B666F" w:rsidRPr="00E07195" w:rsidRDefault="003B666F" w:rsidP="009252D5">
            <w:pPr>
              <w:pStyle w:val="TableHeadingLeft"/>
              <w:rPr>
                <w:rFonts w:cs="Arial"/>
                <w:szCs w:val="20"/>
              </w:rPr>
            </w:pPr>
          </w:p>
        </w:tc>
        <w:tc>
          <w:tcPr>
            <w:tcW w:w="1928" w:type="dxa"/>
          </w:tcPr>
          <w:p w14:paraId="4257DDEE" w14:textId="5069EE38" w:rsidR="003B666F" w:rsidRDefault="003B666F" w:rsidP="009252D5">
            <w:pPr>
              <w:pStyle w:val="TableTextLeft"/>
              <w:rPr>
                <w:rFonts w:cs="Arial"/>
                <w:b/>
                <w:bCs/>
                <w:szCs w:val="20"/>
              </w:rPr>
            </w:pPr>
            <w:r w:rsidRPr="00E07195">
              <w:rPr>
                <w:rFonts w:cs="Arial"/>
                <w:b/>
                <w:bCs/>
                <w:szCs w:val="20"/>
              </w:rPr>
              <w:t>QATSICPP</w:t>
            </w:r>
          </w:p>
          <w:p w14:paraId="0AE4C066" w14:textId="77777777" w:rsidR="00E07195" w:rsidRPr="00E07195" w:rsidRDefault="00E07195" w:rsidP="009252D5">
            <w:pPr>
              <w:pStyle w:val="TableTextLeft"/>
              <w:rPr>
                <w:rFonts w:cs="Arial"/>
                <w:b/>
                <w:bCs/>
                <w:szCs w:val="20"/>
              </w:rPr>
            </w:pPr>
          </w:p>
          <w:p w14:paraId="44CE8B91" w14:textId="705BA485" w:rsidR="003B666F" w:rsidRPr="00E07195" w:rsidRDefault="00466465" w:rsidP="009252D5">
            <w:pPr>
              <w:pStyle w:val="TableTextLeft"/>
              <w:rPr>
                <w:rFonts w:cs="Arial"/>
                <w:szCs w:val="20"/>
              </w:rPr>
            </w:pPr>
            <w:r w:rsidRPr="00E07195">
              <w:rPr>
                <w:rFonts w:cs="Arial"/>
                <w:szCs w:val="20"/>
              </w:rPr>
              <w:t>DCSSDS</w:t>
            </w:r>
          </w:p>
        </w:tc>
        <w:tc>
          <w:tcPr>
            <w:tcW w:w="3061" w:type="dxa"/>
          </w:tcPr>
          <w:p w14:paraId="5283B78C" w14:textId="69F7DCA1" w:rsidR="00573CFD" w:rsidRDefault="00DA18C6" w:rsidP="009252D5">
            <w:pPr>
              <w:pStyle w:val="TableTextLeft"/>
            </w:pPr>
            <w:r w:rsidRPr="66293221">
              <w:rPr>
                <w:b/>
                <w:bCs/>
              </w:rPr>
              <w:t xml:space="preserve">2.2 </w:t>
            </w:r>
            <w:r w:rsidRPr="00DA18C6">
              <w:t>Undertake</w:t>
            </w:r>
            <w:r w:rsidR="005B1D42" w:rsidRPr="66293221">
              <w:t xml:space="preserve"> investment reform planning activities with the ATSICCO sector to support readiness for growth in investment. </w:t>
            </w:r>
          </w:p>
          <w:p w14:paraId="0F8674C4" w14:textId="77777777" w:rsidR="005B1D42" w:rsidRDefault="005B1D42" w:rsidP="009252D5">
            <w:pPr>
              <w:pStyle w:val="TableTextLeft"/>
              <w:rPr>
                <w:rFonts w:cs="Arial"/>
                <w:b/>
                <w:bCs/>
                <w:szCs w:val="20"/>
              </w:rPr>
            </w:pPr>
          </w:p>
          <w:p w14:paraId="42CD0714" w14:textId="0CEDD374" w:rsidR="003B666F" w:rsidRPr="00E07195" w:rsidRDefault="003B666F" w:rsidP="009252D5">
            <w:pPr>
              <w:pStyle w:val="TableTextLeft"/>
              <w:rPr>
                <w:rFonts w:cs="Arial"/>
                <w:szCs w:val="20"/>
              </w:rPr>
            </w:pPr>
            <w:r w:rsidRPr="00E07195">
              <w:rPr>
                <w:rFonts w:cs="Arial"/>
                <w:b/>
                <w:bCs/>
                <w:szCs w:val="20"/>
              </w:rPr>
              <w:t xml:space="preserve">Timing: </w:t>
            </w:r>
            <w:r w:rsidRPr="00E07195">
              <w:rPr>
                <w:rFonts w:cs="Arial"/>
                <w:szCs w:val="20"/>
              </w:rPr>
              <w:t xml:space="preserve"> Years 1 and 2 (2023</w:t>
            </w:r>
            <w:r w:rsidR="00C96CC8">
              <w:rPr>
                <w:rFonts w:eastAsia="Calibri"/>
              </w:rPr>
              <w:t>–</w:t>
            </w:r>
            <w:r w:rsidRPr="00E07195">
              <w:rPr>
                <w:rFonts w:cs="Arial"/>
                <w:szCs w:val="20"/>
              </w:rPr>
              <w:t xml:space="preserve">2024) </w:t>
            </w:r>
          </w:p>
        </w:tc>
        <w:tc>
          <w:tcPr>
            <w:tcW w:w="3685" w:type="dxa"/>
          </w:tcPr>
          <w:p w14:paraId="79A69D18" w14:textId="52F41ADE" w:rsidR="003B666F" w:rsidRPr="00E07195" w:rsidRDefault="003B666F" w:rsidP="009252D5">
            <w:pPr>
              <w:pStyle w:val="TableTextLeft"/>
              <w:rPr>
                <w:rFonts w:cs="Arial"/>
                <w:szCs w:val="20"/>
              </w:rPr>
            </w:pPr>
            <w:r w:rsidRPr="00E07195">
              <w:rPr>
                <w:rFonts w:cs="Arial"/>
                <w:b/>
                <w:bCs/>
                <w:szCs w:val="20"/>
              </w:rPr>
              <w:t>D:</w:t>
            </w:r>
            <w:r w:rsidRPr="00E07195">
              <w:rPr>
                <w:rFonts w:cs="Arial"/>
                <w:szCs w:val="20"/>
              </w:rPr>
              <w:t xml:space="preserve">  ATSICCO sector readiness plan outlining governance, workforce and infrastructure needs to support transition of investment</w:t>
            </w:r>
            <w:r w:rsidR="009C71C5" w:rsidRPr="00E07195">
              <w:rPr>
                <w:rFonts w:cs="Arial"/>
                <w:szCs w:val="20"/>
              </w:rPr>
              <w:t>.</w:t>
            </w:r>
          </w:p>
          <w:p w14:paraId="49F3F526" w14:textId="77777777" w:rsidR="007779E6" w:rsidRPr="00E07195" w:rsidRDefault="007779E6" w:rsidP="009252D5">
            <w:pPr>
              <w:pStyle w:val="TableTextLeft"/>
              <w:rPr>
                <w:rFonts w:cs="Arial"/>
                <w:szCs w:val="20"/>
              </w:rPr>
            </w:pPr>
          </w:p>
          <w:p w14:paraId="4E955618" w14:textId="7878867F" w:rsidR="007779E6" w:rsidRPr="00E07195" w:rsidRDefault="007779E6" w:rsidP="009252D5">
            <w:pPr>
              <w:pStyle w:val="TableTextLeft"/>
              <w:rPr>
                <w:rFonts w:cs="Arial"/>
                <w:szCs w:val="20"/>
              </w:rPr>
            </w:pPr>
            <w:r w:rsidRPr="00E07195">
              <w:rPr>
                <w:rFonts w:cs="Arial"/>
                <w:b/>
                <w:bCs/>
                <w:szCs w:val="20"/>
              </w:rPr>
              <w:t>SI:</w:t>
            </w:r>
            <w:r w:rsidRPr="00E07195">
              <w:rPr>
                <w:rFonts w:cs="Arial"/>
                <w:szCs w:val="20"/>
              </w:rPr>
              <w:t xml:space="preserve"> Comprehensive understanding of current and future workforce and </w:t>
            </w:r>
            <w:r w:rsidR="009C71C5" w:rsidRPr="00E07195">
              <w:rPr>
                <w:rFonts w:cs="Arial"/>
                <w:szCs w:val="20"/>
              </w:rPr>
              <w:t>ATSICCO</w:t>
            </w:r>
            <w:r w:rsidRPr="00E07195">
              <w:rPr>
                <w:rFonts w:cs="Arial"/>
                <w:szCs w:val="20"/>
              </w:rPr>
              <w:t xml:space="preserve"> sector informs development of investment reform blueprint</w:t>
            </w:r>
            <w:r w:rsidR="009C71C5" w:rsidRPr="00E07195">
              <w:rPr>
                <w:rFonts w:cs="Arial"/>
                <w:szCs w:val="20"/>
              </w:rPr>
              <w:t>.</w:t>
            </w:r>
          </w:p>
        </w:tc>
        <w:tc>
          <w:tcPr>
            <w:tcW w:w="3118" w:type="dxa"/>
          </w:tcPr>
          <w:p w14:paraId="5214A9AA" w14:textId="638B6994" w:rsidR="003B666F" w:rsidRPr="007C1C61" w:rsidRDefault="0039718C" w:rsidP="009252D5">
            <w:pPr>
              <w:pStyle w:val="TableTextLeft"/>
              <w:rPr>
                <w:rFonts w:cs="Arial"/>
                <w:szCs w:val="20"/>
              </w:rPr>
            </w:pPr>
            <w:r w:rsidRPr="0039718C">
              <w:rPr>
                <w:rFonts w:cs="Arial"/>
                <w:b/>
                <w:bCs/>
                <w:szCs w:val="20"/>
              </w:rPr>
              <w:t>O:</w:t>
            </w:r>
            <w:r w:rsidR="003B666F" w:rsidRPr="007C1C61">
              <w:rPr>
                <w:rFonts w:cs="Arial"/>
                <w:szCs w:val="20"/>
              </w:rPr>
              <w:t xml:space="preserve">  The </w:t>
            </w:r>
            <w:r w:rsidR="009C71C5" w:rsidRPr="007C1C61">
              <w:rPr>
                <w:rFonts w:cs="Arial"/>
                <w:szCs w:val="20"/>
              </w:rPr>
              <w:t>ATSICCO</w:t>
            </w:r>
            <w:r w:rsidR="003B666F" w:rsidRPr="007C1C61">
              <w:rPr>
                <w:rFonts w:cs="Arial"/>
                <w:szCs w:val="20"/>
              </w:rPr>
              <w:t xml:space="preserve"> sector is supported to strengthen its capacity and capability to deliver high quality services to Aboriginal and Torres Strait Islander communities</w:t>
            </w:r>
            <w:r w:rsidR="009C71C5" w:rsidRPr="007C1C61">
              <w:rPr>
                <w:rFonts w:cs="Arial"/>
                <w:szCs w:val="20"/>
              </w:rPr>
              <w:t>.</w:t>
            </w:r>
          </w:p>
        </w:tc>
        <w:tc>
          <w:tcPr>
            <w:tcW w:w="3685" w:type="dxa"/>
            <w:vMerge w:val="restart"/>
          </w:tcPr>
          <w:p w14:paraId="3CC60110" w14:textId="67D5B2C4" w:rsidR="005F690C" w:rsidRDefault="003B666F" w:rsidP="009252D5">
            <w:pPr>
              <w:pStyle w:val="TableTextLeft"/>
              <w:rPr>
                <w:rFonts w:cs="Arial"/>
                <w:szCs w:val="20"/>
              </w:rPr>
            </w:pPr>
            <w:r w:rsidRPr="00E07195">
              <w:rPr>
                <w:rFonts w:cs="Arial"/>
                <w:szCs w:val="20"/>
              </w:rPr>
              <w:t>In 2022, the Queensland Government committed to transition existing investment</w:t>
            </w:r>
            <w:r w:rsidR="007779E6" w:rsidRPr="00E07195">
              <w:rPr>
                <w:rFonts w:cs="Arial"/>
                <w:szCs w:val="20"/>
              </w:rPr>
              <w:t xml:space="preserve"> in child and family </w:t>
            </w:r>
            <w:r w:rsidR="009C71C5" w:rsidRPr="00E07195">
              <w:rPr>
                <w:rFonts w:cs="Arial"/>
                <w:szCs w:val="20"/>
              </w:rPr>
              <w:t>sport</w:t>
            </w:r>
            <w:r w:rsidR="007779E6" w:rsidRPr="00E07195">
              <w:rPr>
                <w:rFonts w:cs="Arial"/>
                <w:szCs w:val="20"/>
              </w:rPr>
              <w:t xml:space="preserve"> services</w:t>
            </w:r>
            <w:r w:rsidRPr="00E07195">
              <w:rPr>
                <w:rFonts w:cs="Arial"/>
                <w:szCs w:val="20"/>
              </w:rPr>
              <w:t xml:space="preserve"> from the non-Indigenous to </w:t>
            </w:r>
            <w:r w:rsidR="009C71C5" w:rsidRPr="00E07195">
              <w:rPr>
                <w:rFonts w:cs="Arial"/>
                <w:szCs w:val="20"/>
              </w:rPr>
              <w:t>ATSICCO</w:t>
            </w:r>
            <w:r w:rsidRPr="00E07195">
              <w:rPr>
                <w:rFonts w:cs="Arial"/>
                <w:szCs w:val="20"/>
              </w:rPr>
              <w:t xml:space="preserve"> sector within 10</w:t>
            </w:r>
            <w:r w:rsidR="00025626">
              <w:rPr>
                <w:rFonts w:cs="Arial"/>
                <w:szCs w:val="20"/>
              </w:rPr>
              <w:t>-</w:t>
            </w:r>
            <w:r w:rsidRPr="00E07195">
              <w:rPr>
                <w:rFonts w:cs="Arial"/>
                <w:szCs w:val="20"/>
              </w:rPr>
              <w:t xml:space="preserve">years. </w:t>
            </w:r>
          </w:p>
          <w:p w14:paraId="57910C19" w14:textId="77777777" w:rsidR="005F690C" w:rsidRDefault="005F690C" w:rsidP="009252D5">
            <w:pPr>
              <w:pStyle w:val="TableTextLeft"/>
              <w:rPr>
                <w:rFonts w:cs="Arial"/>
                <w:szCs w:val="20"/>
              </w:rPr>
            </w:pPr>
          </w:p>
          <w:p w14:paraId="27C85FB1" w14:textId="13239829" w:rsidR="003B666F" w:rsidRPr="00E07195" w:rsidRDefault="003B666F" w:rsidP="009252D5">
            <w:pPr>
              <w:pStyle w:val="TableTextLeft"/>
              <w:rPr>
                <w:rFonts w:cs="Arial"/>
                <w:szCs w:val="20"/>
              </w:rPr>
            </w:pPr>
            <w:r w:rsidRPr="00E07195">
              <w:rPr>
                <w:rFonts w:cs="Arial"/>
                <w:szCs w:val="20"/>
              </w:rPr>
              <w:t xml:space="preserve">Reform of this scope and significance will require considerable planning and preparation and cooperative </w:t>
            </w:r>
            <w:r w:rsidRPr="00E07195">
              <w:rPr>
                <w:rFonts w:cs="Arial"/>
                <w:szCs w:val="20"/>
              </w:rPr>
              <w:lastRenderedPageBreak/>
              <w:t xml:space="preserve">relationships among all parties and at all levels. </w:t>
            </w:r>
          </w:p>
          <w:p w14:paraId="3403F6B2" w14:textId="77777777" w:rsidR="005F690C" w:rsidRDefault="005F690C" w:rsidP="009252D5">
            <w:pPr>
              <w:pStyle w:val="TableTextLeft"/>
              <w:rPr>
                <w:rFonts w:cs="Arial"/>
                <w:szCs w:val="20"/>
              </w:rPr>
            </w:pPr>
          </w:p>
          <w:p w14:paraId="7DBDBB84" w14:textId="728A058D" w:rsidR="003B666F" w:rsidRPr="00E07195" w:rsidRDefault="003B666F" w:rsidP="009252D5">
            <w:pPr>
              <w:pStyle w:val="TableTextLeft"/>
              <w:rPr>
                <w:rFonts w:cs="Arial"/>
                <w:szCs w:val="20"/>
              </w:rPr>
            </w:pPr>
            <w:r w:rsidRPr="00E07195">
              <w:rPr>
                <w:rFonts w:cs="Arial"/>
                <w:szCs w:val="20"/>
              </w:rPr>
              <w:t>These actions align with Recommendation 4 of the Family Matters Report 2022.</w:t>
            </w:r>
          </w:p>
        </w:tc>
        <w:tc>
          <w:tcPr>
            <w:tcW w:w="1627" w:type="dxa"/>
          </w:tcPr>
          <w:p w14:paraId="5155A7C8" w14:textId="0287097C" w:rsidR="003B666F" w:rsidRPr="00E07195" w:rsidRDefault="006F21BA" w:rsidP="009252D5">
            <w:pPr>
              <w:pStyle w:val="TableTextLeft"/>
              <w:rPr>
                <w:rFonts w:cs="Arial"/>
                <w:szCs w:val="20"/>
              </w:rPr>
            </w:pPr>
            <w:r w:rsidRPr="00E07195">
              <w:rPr>
                <w:rFonts w:cs="Arial"/>
                <w:noProof/>
                <w:szCs w:val="20"/>
              </w:rPr>
              <w:lastRenderedPageBreak/>
              <w:drawing>
                <wp:inline distT="0" distB="0" distL="0" distR="0" wp14:anchorId="11838522" wp14:editId="3873497B">
                  <wp:extent cx="339271" cy="323850"/>
                  <wp:effectExtent l="0" t="0" r="3810" b="0"/>
                  <wp:docPr id="39" name="Picture 39" descr="Building block one - All families enjoy access to quality, culturally safe universal and targeted services necessary for Aboriginal and Torres Strait Islander children to thrive  &#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Building block one - All families enjoy access to quality, culturally safe universal and targeted services necessary for Aboriginal and Torres Strait Islander children to thrive  &#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3940" cy="328307"/>
                          </a:xfrm>
                          <a:prstGeom prst="rect">
                            <a:avLst/>
                          </a:prstGeom>
                        </pic:spPr>
                      </pic:pic>
                    </a:graphicData>
                  </a:graphic>
                </wp:inline>
              </w:drawing>
            </w:r>
          </w:p>
        </w:tc>
        <w:tc>
          <w:tcPr>
            <w:tcW w:w="1197" w:type="dxa"/>
          </w:tcPr>
          <w:p w14:paraId="57BADC0C" w14:textId="3FB1575E" w:rsidR="003B666F" w:rsidRPr="00453A57" w:rsidRDefault="003B666F" w:rsidP="00453A57">
            <w:pPr>
              <w:pStyle w:val="TableTextLeft"/>
              <w:jc w:val="center"/>
              <w:rPr>
                <w:rFonts w:cs="Arial"/>
                <w:b/>
                <w:bCs/>
                <w:sz w:val="32"/>
                <w:szCs w:val="32"/>
              </w:rPr>
            </w:pPr>
            <w:r w:rsidRPr="00453A57">
              <w:rPr>
                <w:rFonts w:cs="Arial"/>
                <w:b/>
                <w:bCs/>
                <w:sz w:val="32"/>
                <w:szCs w:val="32"/>
                <w:shd w:val="clear" w:color="auto" w:fill="FFFFFF"/>
              </w:rPr>
              <w:t>2</w:t>
            </w:r>
          </w:p>
        </w:tc>
        <w:tc>
          <w:tcPr>
            <w:tcW w:w="1260" w:type="dxa"/>
          </w:tcPr>
          <w:p w14:paraId="0A6D1A45" w14:textId="2D52BCD7" w:rsidR="003B666F" w:rsidRPr="00453A57" w:rsidRDefault="00984024" w:rsidP="00453A57">
            <w:pPr>
              <w:pStyle w:val="TableTextLeft"/>
              <w:jc w:val="center"/>
              <w:rPr>
                <w:rFonts w:cs="Arial"/>
                <w:b/>
                <w:bCs/>
                <w:sz w:val="32"/>
                <w:szCs w:val="32"/>
              </w:rPr>
            </w:pPr>
            <w:r w:rsidRPr="00453A57">
              <w:rPr>
                <w:rFonts w:cs="Arial"/>
                <w:b/>
                <w:bCs/>
                <w:sz w:val="32"/>
                <w:szCs w:val="32"/>
              </w:rPr>
              <w:t>2</w:t>
            </w:r>
          </w:p>
        </w:tc>
      </w:tr>
      <w:tr w:rsidR="009252D5" w:rsidRPr="00E07195" w14:paraId="2D804DFC" w14:textId="4D650D61" w:rsidTr="25F521CE">
        <w:trPr>
          <w:trHeight w:val="300"/>
        </w:trPr>
        <w:tc>
          <w:tcPr>
            <w:tcW w:w="1847" w:type="dxa"/>
            <w:vMerge/>
          </w:tcPr>
          <w:p w14:paraId="1D85F423" w14:textId="77777777" w:rsidR="003B666F" w:rsidRPr="00E07195" w:rsidRDefault="003B666F" w:rsidP="009252D5">
            <w:pPr>
              <w:pStyle w:val="TableHeadingLeft"/>
              <w:rPr>
                <w:rFonts w:cs="Arial"/>
                <w:szCs w:val="20"/>
              </w:rPr>
            </w:pPr>
          </w:p>
        </w:tc>
        <w:tc>
          <w:tcPr>
            <w:tcW w:w="1928" w:type="dxa"/>
            <w:tcBorders>
              <w:bottom w:val="single" w:sz="12" w:space="0" w:color="auto"/>
            </w:tcBorders>
          </w:tcPr>
          <w:p w14:paraId="0DF4ADB8" w14:textId="04B5CBAB" w:rsidR="003B666F" w:rsidRDefault="00466465" w:rsidP="009252D5">
            <w:pPr>
              <w:pStyle w:val="TableTextLeft"/>
              <w:rPr>
                <w:rFonts w:cs="Arial"/>
                <w:b/>
                <w:bCs/>
                <w:szCs w:val="20"/>
              </w:rPr>
            </w:pPr>
            <w:r w:rsidRPr="00E07195">
              <w:rPr>
                <w:rFonts w:cs="Arial"/>
                <w:b/>
                <w:bCs/>
                <w:szCs w:val="20"/>
              </w:rPr>
              <w:t>DCSSDS</w:t>
            </w:r>
          </w:p>
          <w:p w14:paraId="4D5324F4" w14:textId="77777777" w:rsidR="00E07195" w:rsidRPr="00E07195" w:rsidRDefault="00E07195" w:rsidP="009252D5">
            <w:pPr>
              <w:pStyle w:val="TableTextLeft"/>
              <w:rPr>
                <w:rFonts w:cs="Arial"/>
                <w:b/>
                <w:bCs/>
                <w:szCs w:val="20"/>
              </w:rPr>
            </w:pPr>
          </w:p>
          <w:p w14:paraId="36F391B2" w14:textId="0B950555" w:rsidR="003B666F" w:rsidRPr="00E07195" w:rsidRDefault="003B666F" w:rsidP="009252D5">
            <w:pPr>
              <w:pStyle w:val="TableTextLeft"/>
              <w:rPr>
                <w:rFonts w:cs="Arial"/>
                <w:b/>
                <w:bCs/>
                <w:szCs w:val="20"/>
              </w:rPr>
            </w:pPr>
            <w:r w:rsidRPr="00E07195">
              <w:rPr>
                <w:rFonts w:cs="Arial"/>
                <w:szCs w:val="20"/>
              </w:rPr>
              <w:t>QATSICPP</w:t>
            </w:r>
          </w:p>
        </w:tc>
        <w:tc>
          <w:tcPr>
            <w:tcW w:w="3061" w:type="dxa"/>
            <w:tcBorders>
              <w:bottom w:val="single" w:sz="12" w:space="0" w:color="auto"/>
            </w:tcBorders>
          </w:tcPr>
          <w:p w14:paraId="1051EAF5" w14:textId="163128D1" w:rsidR="00573CFD" w:rsidRDefault="00DA18C6" w:rsidP="009252D5">
            <w:pPr>
              <w:pStyle w:val="TableTextLeft"/>
            </w:pPr>
            <w:r w:rsidRPr="531AA20D">
              <w:rPr>
                <w:b/>
                <w:bCs/>
              </w:rPr>
              <w:t>2.3</w:t>
            </w:r>
            <w:r w:rsidRPr="531AA20D">
              <w:t xml:space="preserve"> Develop</w:t>
            </w:r>
            <w:r w:rsidR="005B1D42" w:rsidRPr="531AA20D">
              <w:t xml:space="preserve">, </w:t>
            </w:r>
            <w:proofErr w:type="gramStart"/>
            <w:r w:rsidR="005B1D42" w:rsidRPr="531AA20D">
              <w:t>resource</w:t>
            </w:r>
            <w:proofErr w:type="gramEnd"/>
            <w:r w:rsidR="005B1D42" w:rsidRPr="531AA20D">
              <w:t xml:space="preserve"> and implement a strategy to transition investment in services for Aboriginal and Torres Strait Islander children and families to the ATSICCO sector within 10</w:t>
            </w:r>
            <w:r w:rsidR="005B1D42">
              <w:t xml:space="preserve"> </w:t>
            </w:r>
            <w:r w:rsidR="005B1D42" w:rsidRPr="531AA20D">
              <w:t>years.</w:t>
            </w:r>
          </w:p>
          <w:p w14:paraId="5F421DE3" w14:textId="77777777" w:rsidR="005B1D42" w:rsidRDefault="005B1D42" w:rsidP="009252D5">
            <w:pPr>
              <w:pStyle w:val="TableTextLeft"/>
              <w:rPr>
                <w:rFonts w:cs="Arial"/>
                <w:b/>
                <w:bCs/>
                <w:szCs w:val="20"/>
              </w:rPr>
            </w:pPr>
          </w:p>
          <w:p w14:paraId="3877EFD9" w14:textId="171EAF24" w:rsidR="003B666F" w:rsidRPr="00E07195" w:rsidRDefault="003B666F" w:rsidP="009252D5">
            <w:pPr>
              <w:pStyle w:val="TableTextLeft"/>
              <w:rPr>
                <w:rFonts w:cs="Arial"/>
                <w:szCs w:val="20"/>
              </w:rPr>
            </w:pPr>
            <w:r w:rsidRPr="00E07195">
              <w:rPr>
                <w:rFonts w:cs="Arial"/>
                <w:b/>
                <w:bCs/>
                <w:szCs w:val="20"/>
              </w:rPr>
              <w:t xml:space="preserve">Timing: </w:t>
            </w:r>
            <w:r w:rsidRPr="00E07195">
              <w:rPr>
                <w:rFonts w:cs="Arial"/>
                <w:szCs w:val="20"/>
              </w:rPr>
              <w:t xml:space="preserve"> Years 2 and 3 (2024</w:t>
            </w:r>
            <w:r w:rsidR="00C96CC8">
              <w:rPr>
                <w:rFonts w:eastAsia="Calibri"/>
              </w:rPr>
              <w:t>–</w:t>
            </w:r>
            <w:r w:rsidRPr="00E07195">
              <w:rPr>
                <w:rFonts w:cs="Arial"/>
                <w:szCs w:val="20"/>
              </w:rPr>
              <w:t xml:space="preserve">2025) </w:t>
            </w:r>
          </w:p>
          <w:p w14:paraId="39292F3C" w14:textId="7D7DD4D3" w:rsidR="003B666F" w:rsidRPr="00E07195" w:rsidRDefault="003B666F" w:rsidP="009252D5">
            <w:pPr>
              <w:pStyle w:val="TableTextLeft"/>
              <w:rPr>
                <w:rFonts w:cs="Arial"/>
                <w:szCs w:val="20"/>
              </w:rPr>
            </w:pPr>
            <w:r w:rsidRPr="00E07195">
              <w:rPr>
                <w:rFonts w:cs="Arial"/>
                <w:szCs w:val="20"/>
              </w:rPr>
              <w:t>*Ongoing implementation in Breaking Cycles Action Plans 2 and 3 (2026-2031)</w:t>
            </w:r>
          </w:p>
        </w:tc>
        <w:tc>
          <w:tcPr>
            <w:tcW w:w="3685" w:type="dxa"/>
            <w:tcBorders>
              <w:bottom w:val="single" w:sz="12" w:space="0" w:color="auto"/>
            </w:tcBorders>
          </w:tcPr>
          <w:p w14:paraId="70528C62" w14:textId="6F8C611B" w:rsidR="003B666F" w:rsidRPr="00E07195" w:rsidRDefault="003B666F" w:rsidP="009252D5">
            <w:pPr>
              <w:pStyle w:val="TableTextLeft"/>
              <w:rPr>
                <w:rFonts w:cs="Arial"/>
                <w:szCs w:val="20"/>
              </w:rPr>
            </w:pPr>
            <w:r w:rsidRPr="00E07195">
              <w:rPr>
                <w:rFonts w:cs="Arial"/>
                <w:b/>
                <w:bCs/>
                <w:szCs w:val="20"/>
              </w:rPr>
              <w:t>D:</w:t>
            </w:r>
            <w:r w:rsidRPr="00E07195">
              <w:rPr>
                <w:rFonts w:cs="Arial"/>
                <w:szCs w:val="20"/>
              </w:rPr>
              <w:t xml:space="preserve">  Long-term blueprint and implementation plan to transition investment in child and family support services to the ATSICCO sector by 2032, including development of targets and regional transition plans, co-designed with QATSICPP and in consultation with ATSICCOs and non-Indigenous peaks</w:t>
            </w:r>
            <w:r w:rsidR="009C71C5" w:rsidRPr="00E07195">
              <w:rPr>
                <w:rFonts w:cs="Arial"/>
                <w:szCs w:val="20"/>
              </w:rPr>
              <w:t>.</w:t>
            </w:r>
          </w:p>
          <w:p w14:paraId="791CEC24" w14:textId="357240C6" w:rsidR="00E54F42" w:rsidRPr="00E07195" w:rsidRDefault="00E54F42" w:rsidP="009252D5">
            <w:pPr>
              <w:pStyle w:val="TableTextLeft"/>
              <w:rPr>
                <w:rFonts w:cs="Arial"/>
                <w:szCs w:val="20"/>
              </w:rPr>
            </w:pPr>
            <w:r w:rsidRPr="00E07195">
              <w:rPr>
                <w:rFonts w:cs="Arial"/>
                <w:b/>
                <w:bCs/>
                <w:szCs w:val="20"/>
              </w:rPr>
              <w:t>D:</w:t>
            </w:r>
            <w:r w:rsidRPr="00E07195">
              <w:rPr>
                <w:rFonts w:cs="Arial"/>
                <w:szCs w:val="20"/>
              </w:rPr>
              <w:t xml:space="preserve"> Blueprint to incorporate the co-design of responses geared to the needs </w:t>
            </w:r>
            <w:r w:rsidR="00DA18C6" w:rsidRPr="00E07195">
              <w:rPr>
                <w:rFonts w:cs="Arial"/>
                <w:szCs w:val="20"/>
              </w:rPr>
              <w:t>of Aboriginal</w:t>
            </w:r>
            <w:r w:rsidR="005D77BF" w:rsidRPr="00E07195">
              <w:rPr>
                <w:rFonts w:cs="Arial"/>
                <w:szCs w:val="20"/>
              </w:rPr>
              <w:t xml:space="preserve"> and Torres Strait Islander </w:t>
            </w:r>
            <w:r w:rsidRPr="00E07195">
              <w:rPr>
                <w:rFonts w:cs="Arial"/>
                <w:szCs w:val="20"/>
              </w:rPr>
              <w:t xml:space="preserve">children and families and the collaborative redesign of existing programs and services. </w:t>
            </w:r>
          </w:p>
          <w:p w14:paraId="762BD694" w14:textId="0947D30B" w:rsidR="0043447F" w:rsidRPr="00E07195" w:rsidRDefault="0043447F" w:rsidP="009252D5">
            <w:pPr>
              <w:pStyle w:val="TableTextLeft"/>
              <w:rPr>
                <w:rFonts w:cs="Arial"/>
                <w:b/>
                <w:bCs/>
                <w:szCs w:val="20"/>
              </w:rPr>
            </w:pPr>
            <w:r w:rsidRPr="00E07195">
              <w:rPr>
                <w:rFonts w:cs="Arial"/>
                <w:b/>
                <w:bCs/>
                <w:szCs w:val="20"/>
              </w:rPr>
              <w:t xml:space="preserve">D: </w:t>
            </w:r>
            <w:r w:rsidR="0015764E" w:rsidRPr="00E07195">
              <w:rPr>
                <w:rFonts w:cs="Arial"/>
                <w:szCs w:val="20"/>
              </w:rPr>
              <w:t xml:space="preserve"> DCSSDS </w:t>
            </w:r>
            <w:r w:rsidRPr="00E07195">
              <w:rPr>
                <w:rFonts w:cs="Arial"/>
                <w:szCs w:val="20"/>
              </w:rPr>
              <w:t>to share learnings from the transition process to encourage the adoption of similar investment policy across Queensland Government</w:t>
            </w:r>
            <w:r w:rsidR="009C71C5" w:rsidRPr="00E07195">
              <w:rPr>
                <w:rFonts w:cs="Arial"/>
                <w:szCs w:val="20"/>
              </w:rPr>
              <w:t>.</w:t>
            </w:r>
          </w:p>
          <w:p w14:paraId="10AF4CA8" w14:textId="301C82A7" w:rsidR="003B666F" w:rsidRPr="00E07195" w:rsidRDefault="003B666F" w:rsidP="009252D5">
            <w:pPr>
              <w:pStyle w:val="TableTextLeft"/>
              <w:rPr>
                <w:rFonts w:cs="Arial"/>
                <w:szCs w:val="20"/>
              </w:rPr>
            </w:pPr>
          </w:p>
          <w:p w14:paraId="046CB4FD" w14:textId="6BFB4215" w:rsidR="003B666F" w:rsidRPr="00E07195" w:rsidRDefault="003B666F" w:rsidP="009252D5">
            <w:pPr>
              <w:pStyle w:val="TableTextLeft"/>
              <w:rPr>
                <w:rFonts w:cs="Arial"/>
                <w:szCs w:val="20"/>
              </w:rPr>
            </w:pPr>
            <w:r w:rsidRPr="00E07195">
              <w:rPr>
                <w:rFonts w:cs="Arial"/>
                <w:b/>
                <w:bCs/>
                <w:szCs w:val="20"/>
              </w:rPr>
              <w:t>SI:</w:t>
            </w:r>
            <w:r w:rsidRPr="00E07195">
              <w:rPr>
                <w:rFonts w:cs="Arial"/>
                <w:szCs w:val="20"/>
              </w:rPr>
              <w:t xml:space="preserve">  Number of agreements in place to transition services from non-Indigenous providers to ATSICCOs</w:t>
            </w:r>
            <w:r w:rsidR="009C71C5" w:rsidRPr="00E07195">
              <w:rPr>
                <w:rFonts w:cs="Arial"/>
                <w:szCs w:val="20"/>
              </w:rPr>
              <w:t>.</w:t>
            </w:r>
          </w:p>
          <w:p w14:paraId="613D2360" w14:textId="052E1148" w:rsidR="003B666F" w:rsidRPr="00E07195" w:rsidRDefault="003B666F" w:rsidP="009252D5">
            <w:pPr>
              <w:pStyle w:val="TableTextLeft"/>
              <w:rPr>
                <w:rFonts w:cs="Arial"/>
                <w:szCs w:val="20"/>
              </w:rPr>
            </w:pPr>
            <w:r w:rsidRPr="00E07195">
              <w:rPr>
                <w:rFonts w:cs="Arial"/>
                <w:b/>
                <w:bCs/>
                <w:szCs w:val="20"/>
              </w:rPr>
              <w:t>SI:</w:t>
            </w:r>
            <w:r w:rsidRPr="00E07195">
              <w:rPr>
                <w:rFonts w:cs="Arial"/>
                <w:szCs w:val="20"/>
              </w:rPr>
              <w:t xml:space="preserve">  </w:t>
            </w:r>
            <w:r w:rsidR="0043447F" w:rsidRPr="00E07195">
              <w:rPr>
                <w:rFonts w:cs="Arial"/>
                <w:szCs w:val="20"/>
              </w:rPr>
              <w:t>Proportion of</w:t>
            </w:r>
            <w:r w:rsidRPr="00E07195">
              <w:rPr>
                <w:rFonts w:cs="Arial"/>
                <w:szCs w:val="20"/>
              </w:rPr>
              <w:t xml:space="preserve"> funding transitioned from non-Indigenous service providers to ATSICCOs</w:t>
            </w:r>
            <w:r w:rsidR="009C71C5" w:rsidRPr="00E07195">
              <w:rPr>
                <w:rFonts w:cs="Arial"/>
                <w:szCs w:val="20"/>
              </w:rPr>
              <w:t>.</w:t>
            </w:r>
          </w:p>
          <w:p w14:paraId="64AC1AAC" w14:textId="61DA4107" w:rsidR="0043447F" w:rsidRPr="00E07195" w:rsidRDefault="0043447F" w:rsidP="009252D5">
            <w:pPr>
              <w:pStyle w:val="TableTextLeft"/>
              <w:rPr>
                <w:rFonts w:cs="Arial"/>
                <w:szCs w:val="20"/>
              </w:rPr>
            </w:pPr>
            <w:r w:rsidRPr="00E07195">
              <w:rPr>
                <w:rFonts w:cs="Arial"/>
                <w:b/>
                <w:bCs/>
                <w:szCs w:val="20"/>
              </w:rPr>
              <w:t>SI:</w:t>
            </w:r>
            <w:r w:rsidRPr="00E07195">
              <w:rPr>
                <w:rFonts w:cs="Arial"/>
                <w:szCs w:val="20"/>
              </w:rPr>
              <w:t xml:space="preserve"> Proportion of ATSICCOs engaged with development of the blueprint</w:t>
            </w:r>
            <w:r w:rsidR="009C71C5" w:rsidRPr="00E07195">
              <w:rPr>
                <w:rFonts w:cs="Arial"/>
                <w:szCs w:val="20"/>
              </w:rPr>
              <w:t>.</w:t>
            </w:r>
          </w:p>
          <w:p w14:paraId="7C05D4E7" w14:textId="05F77CC6" w:rsidR="003B666F" w:rsidRPr="00E07195" w:rsidRDefault="003B666F" w:rsidP="009252D5">
            <w:pPr>
              <w:pStyle w:val="TableTextLeft"/>
              <w:rPr>
                <w:rFonts w:cs="Arial"/>
                <w:szCs w:val="20"/>
              </w:rPr>
            </w:pPr>
            <w:r w:rsidRPr="00E07195">
              <w:rPr>
                <w:rFonts w:cs="Arial"/>
                <w:b/>
                <w:bCs/>
                <w:szCs w:val="20"/>
              </w:rPr>
              <w:t>SI:</w:t>
            </w:r>
            <w:r w:rsidRPr="00E07195">
              <w:rPr>
                <w:rFonts w:cs="Arial"/>
                <w:szCs w:val="20"/>
              </w:rPr>
              <w:t xml:space="preserve">  Proportion of services delivered by ATSICCOs</w:t>
            </w:r>
            <w:r w:rsidR="009C71C5" w:rsidRPr="00E07195">
              <w:rPr>
                <w:rFonts w:cs="Arial"/>
                <w:szCs w:val="20"/>
              </w:rPr>
              <w:t>.</w:t>
            </w:r>
          </w:p>
        </w:tc>
        <w:tc>
          <w:tcPr>
            <w:tcW w:w="3118" w:type="dxa"/>
            <w:tcBorders>
              <w:bottom w:val="single" w:sz="12" w:space="0" w:color="auto"/>
            </w:tcBorders>
          </w:tcPr>
          <w:p w14:paraId="104AA021" w14:textId="1B62889D" w:rsidR="003B666F" w:rsidRPr="007C1C61" w:rsidRDefault="0039718C" w:rsidP="009252D5">
            <w:pPr>
              <w:pStyle w:val="TableTextLeft"/>
              <w:rPr>
                <w:rFonts w:cs="Arial"/>
                <w:szCs w:val="20"/>
              </w:rPr>
            </w:pPr>
            <w:r w:rsidRPr="0039718C">
              <w:rPr>
                <w:rFonts w:cs="Arial"/>
                <w:b/>
                <w:bCs/>
                <w:szCs w:val="20"/>
              </w:rPr>
              <w:t>O:</w:t>
            </w:r>
            <w:r w:rsidR="003B666F" w:rsidRPr="007C1C61">
              <w:rPr>
                <w:rFonts w:cs="Arial"/>
                <w:szCs w:val="20"/>
              </w:rPr>
              <w:t xml:space="preserve">  The </w:t>
            </w:r>
            <w:r w:rsidR="009C71C5" w:rsidRPr="007C1C61">
              <w:rPr>
                <w:rFonts w:cs="Arial"/>
                <w:szCs w:val="20"/>
              </w:rPr>
              <w:t>ATSICCO</w:t>
            </w:r>
            <w:r w:rsidR="003B666F" w:rsidRPr="007C1C61">
              <w:rPr>
                <w:rFonts w:cs="Arial"/>
                <w:szCs w:val="20"/>
              </w:rPr>
              <w:t xml:space="preserve"> sector is supported to strengthen its capacity and capability to deliver high quality services to Aboriginal and Torres Strait Islander communities</w:t>
            </w:r>
            <w:r w:rsidR="009C71C5" w:rsidRPr="007C1C61">
              <w:rPr>
                <w:rFonts w:cs="Arial"/>
                <w:szCs w:val="20"/>
              </w:rPr>
              <w:t>.</w:t>
            </w:r>
          </w:p>
          <w:p w14:paraId="44BEE695" w14:textId="0B99AB5C" w:rsidR="003B666F" w:rsidRPr="007C1C61" w:rsidRDefault="003B666F" w:rsidP="009252D5">
            <w:pPr>
              <w:pStyle w:val="TableTextLeft"/>
              <w:rPr>
                <w:rFonts w:cs="Arial"/>
                <w:szCs w:val="20"/>
              </w:rPr>
            </w:pPr>
            <w:r w:rsidRPr="0039718C">
              <w:rPr>
                <w:rFonts w:cs="Arial"/>
                <w:b/>
                <w:bCs/>
                <w:szCs w:val="20"/>
              </w:rPr>
              <w:t>O:</w:t>
            </w:r>
            <w:r w:rsidRPr="007C1C61">
              <w:rPr>
                <w:rFonts w:cs="Arial"/>
                <w:szCs w:val="20"/>
              </w:rPr>
              <w:t xml:space="preserve">  Aboriginal and Torres Strait Islander children and families </w:t>
            </w:r>
            <w:proofErr w:type="gramStart"/>
            <w:r w:rsidRPr="007C1C61">
              <w:rPr>
                <w:rFonts w:cs="Arial"/>
                <w:szCs w:val="20"/>
              </w:rPr>
              <w:t>are able to</w:t>
            </w:r>
            <w:proofErr w:type="gramEnd"/>
            <w:r w:rsidRPr="007C1C61">
              <w:rPr>
                <w:rFonts w:cs="Arial"/>
                <w:szCs w:val="20"/>
              </w:rPr>
              <w:t xml:space="preserve"> access the services of their choice</w:t>
            </w:r>
            <w:r w:rsidR="009C71C5" w:rsidRPr="007C1C61">
              <w:rPr>
                <w:rFonts w:cs="Arial"/>
                <w:szCs w:val="20"/>
              </w:rPr>
              <w:t>.</w:t>
            </w:r>
          </w:p>
          <w:p w14:paraId="23CBD333" w14:textId="091C15B3" w:rsidR="003B666F" w:rsidRPr="007C1C61" w:rsidRDefault="003B666F" w:rsidP="009252D5">
            <w:pPr>
              <w:pStyle w:val="TableTextLeft"/>
              <w:rPr>
                <w:rFonts w:cs="Arial"/>
                <w:szCs w:val="20"/>
              </w:rPr>
            </w:pPr>
            <w:r w:rsidRPr="0039718C">
              <w:rPr>
                <w:rFonts w:cs="Arial"/>
                <w:b/>
                <w:bCs/>
                <w:szCs w:val="20"/>
              </w:rPr>
              <w:t>O:</w:t>
            </w:r>
            <w:r w:rsidRPr="007C1C61">
              <w:rPr>
                <w:rFonts w:cs="Arial"/>
                <w:szCs w:val="20"/>
              </w:rPr>
              <w:t xml:space="preserve">  Funding, procurement and commissioning processes are equitable and reflect the shift in investment and power to the </w:t>
            </w:r>
            <w:r w:rsidR="009C71C5" w:rsidRPr="007C1C61">
              <w:rPr>
                <w:rFonts w:cs="Arial"/>
                <w:szCs w:val="20"/>
              </w:rPr>
              <w:t>ATSICCO</w:t>
            </w:r>
            <w:r w:rsidRPr="007C1C61">
              <w:rPr>
                <w:rFonts w:cs="Arial"/>
                <w:szCs w:val="20"/>
              </w:rPr>
              <w:t xml:space="preserve"> sector</w:t>
            </w:r>
            <w:r w:rsidR="009C71C5" w:rsidRPr="007C1C61">
              <w:rPr>
                <w:rFonts w:cs="Arial"/>
                <w:szCs w:val="20"/>
              </w:rPr>
              <w:t>.</w:t>
            </w:r>
          </w:p>
          <w:p w14:paraId="06C5A665" w14:textId="65B09D3B" w:rsidR="003B666F" w:rsidRPr="007C1C61" w:rsidRDefault="003B666F" w:rsidP="009252D5">
            <w:pPr>
              <w:pStyle w:val="TableTextLeft"/>
              <w:rPr>
                <w:rFonts w:cs="Arial"/>
                <w:szCs w:val="20"/>
              </w:rPr>
            </w:pPr>
            <w:r w:rsidRPr="0039718C">
              <w:rPr>
                <w:rFonts w:cs="Arial"/>
                <w:b/>
                <w:bCs/>
                <w:szCs w:val="20"/>
              </w:rPr>
              <w:t>O:</w:t>
            </w:r>
            <w:r w:rsidRPr="007C1C61">
              <w:rPr>
                <w:rFonts w:cs="Arial"/>
                <w:szCs w:val="20"/>
              </w:rPr>
              <w:t xml:space="preserve">  Government agencies and service providers commit to genuine co-design processes and work in true partnerships with the community and ATSICCOs</w:t>
            </w:r>
            <w:r w:rsidR="009C71C5" w:rsidRPr="007C1C61">
              <w:rPr>
                <w:rFonts w:cs="Arial"/>
                <w:szCs w:val="20"/>
              </w:rPr>
              <w:t>.</w:t>
            </w:r>
          </w:p>
        </w:tc>
        <w:tc>
          <w:tcPr>
            <w:tcW w:w="3685" w:type="dxa"/>
            <w:vMerge/>
          </w:tcPr>
          <w:p w14:paraId="678D298F" w14:textId="2DC09527" w:rsidR="003B666F" w:rsidRPr="00E07195" w:rsidRDefault="003B666F" w:rsidP="009252D5">
            <w:pPr>
              <w:pStyle w:val="TableTextLeft"/>
              <w:rPr>
                <w:rFonts w:cs="Arial"/>
                <w:szCs w:val="20"/>
              </w:rPr>
            </w:pPr>
          </w:p>
        </w:tc>
        <w:tc>
          <w:tcPr>
            <w:tcW w:w="1627" w:type="dxa"/>
            <w:tcBorders>
              <w:bottom w:val="single" w:sz="12" w:space="0" w:color="auto"/>
            </w:tcBorders>
          </w:tcPr>
          <w:p w14:paraId="71839F16" w14:textId="66065CCD" w:rsidR="003B666F" w:rsidRDefault="006F21BA" w:rsidP="009252D5">
            <w:pPr>
              <w:pStyle w:val="TableTextLeft"/>
            </w:pPr>
            <w:r>
              <w:rPr>
                <w:noProof/>
              </w:rPr>
              <w:drawing>
                <wp:inline distT="0" distB="0" distL="0" distR="0" wp14:anchorId="1DEB4411" wp14:editId="7F07D153">
                  <wp:extent cx="339271" cy="323850"/>
                  <wp:effectExtent l="0" t="0" r="3810" b="0"/>
                  <wp:docPr id="40" name="Picture 40" descr="Building block one - All families enjoy access to quality, culturally safe universal and targeted services necessary for Aboriginal and Torres Strait Islander children to thrive  &#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Building block one - All families enjoy access to quality, culturally safe universal and targeted services necessary for Aboriginal and Torres Strait Islander children to thrive  &#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9271" cy="323850"/>
                          </a:xfrm>
                          <a:prstGeom prst="rect">
                            <a:avLst/>
                          </a:prstGeom>
                        </pic:spPr>
                      </pic:pic>
                    </a:graphicData>
                  </a:graphic>
                </wp:inline>
              </w:drawing>
            </w:r>
          </w:p>
          <w:p w14:paraId="1D231504" w14:textId="01CDA09B" w:rsidR="0075422F" w:rsidRPr="00E07195" w:rsidRDefault="0075422F" w:rsidP="009252D5">
            <w:pPr>
              <w:pStyle w:val="TableTextLeft"/>
            </w:pPr>
            <w:r>
              <w:rPr>
                <w:noProof/>
              </w:rPr>
              <w:drawing>
                <wp:inline distT="0" distB="0" distL="0" distR="0" wp14:anchorId="489706D1" wp14:editId="6C4121D8">
                  <wp:extent cx="355600" cy="351929"/>
                  <wp:effectExtent l="0" t="0" r="6350" b="0"/>
                  <wp:docPr id="10" name="Picture 10" descr="Building block four - Governments and services are accountable to Aboriginal and Torres Strait Islander peoples &#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uilding block four - Governments and services are accountable to Aboriginal and Torres Strait Islander peoples &#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5600" cy="351929"/>
                          </a:xfrm>
                          <a:prstGeom prst="rect">
                            <a:avLst/>
                          </a:prstGeom>
                        </pic:spPr>
                      </pic:pic>
                    </a:graphicData>
                  </a:graphic>
                </wp:inline>
              </w:drawing>
            </w:r>
          </w:p>
          <w:p w14:paraId="060946F3" w14:textId="452E906B" w:rsidR="003B666F" w:rsidRPr="00E07195" w:rsidRDefault="003B666F" w:rsidP="009252D5">
            <w:pPr>
              <w:pStyle w:val="TableTextLeft"/>
            </w:pPr>
          </w:p>
        </w:tc>
        <w:tc>
          <w:tcPr>
            <w:tcW w:w="1197" w:type="dxa"/>
            <w:tcBorders>
              <w:bottom w:val="single" w:sz="12" w:space="0" w:color="auto"/>
            </w:tcBorders>
          </w:tcPr>
          <w:p w14:paraId="1943FCA3" w14:textId="1128F453" w:rsidR="003B666F" w:rsidRPr="00453A57" w:rsidRDefault="00834955" w:rsidP="00453A57">
            <w:pPr>
              <w:pStyle w:val="TableTextLeft"/>
              <w:jc w:val="center"/>
              <w:rPr>
                <w:rFonts w:cs="Arial"/>
                <w:b/>
                <w:bCs/>
                <w:sz w:val="32"/>
                <w:szCs w:val="32"/>
              </w:rPr>
            </w:pPr>
            <w:r w:rsidRPr="00453A57">
              <w:rPr>
                <w:rFonts w:cs="Arial"/>
                <w:b/>
                <w:bCs/>
                <w:sz w:val="32"/>
                <w:szCs w:val="32"/>
                <w:shd w:val="clear" w:color="auto" w:fill="FFFFFF"/>
              </w:rPr>
              <w:t>2</w:t>
            </w:r>
          </w:p>
        </w:tc>
        <w:tc>
          <w:tcPr>
            <w:tcW w:w="1260" w:type="dxa"/>
            <w:tcBorders>
              <w:bottom w:val="single" w:sz="12" w:space="0" w:color="auto"/>
            </w:tcBorders>
          </w:tcPr>
          <w:p w14:paraId="38BF2945" w14:textId="147FD63C" w:rsidR="003B666F" w:rsidRPr="00453A57" w:rsidRDefault="00984024" w:rsidP="00453A57">
            <w:pPr>
              <w:pStyle w:val="TableTextLeft"/>
              <w:jc w:val="center"/>
              <w:rPr>
                <w:rFonts w:cs="Arial"/>
                <w:b/>
                <w:bCs/>
                <w:sz w:val="32"/>
                <w:szCs w:val="32"/>
              </w:rPr>
            </w:pPr>
            <w:r w:rsidRPr="00453A57">
              <w:rPr>
                <w:rFonts w:cs="Arial"/>
                <w:b/>
                <w:bCs/>
                <w:sz w:val="32"/>
                <w:szCs w:val="32"/>
              </w:rPr>
              <w:t>2</w:t>
            </w:r>
          </w:p>
        </w:tc>
      </w:tr>
      <w:tr w:rsidR="00F73909" w:rsidRPr="00E07195" w14:paraId="6DE1D6F7" w14:textId="6DF0F8EE" w:rsidTr="25F521CE">
        <w:tc>
          <w:tcPr>
            <w:tcW w:w="1847" w:type="dxa"/>
            <w:tcBorders>
              <w:top w:val="single" w:sz="12" w:space="0" w:color="auto"/>
              <w:bottom w:val="single" w:sz="12" w:space="0" w:color="auto"/>
            </w:tcBorders>
            <w:shd w:val="clear" w:color="auto" w:fill="FEEFD3" w:themeFill="accent2" w:themeFillTint="33"/>
          </w:tcPr>
          <w:p w14:paraId="746054D6" w14:textId="1DCA2915" w:rsidR="003B666F" w:rsidRPr="00E07195" w:rsidRDefault="003B666F" w:rsidP="009252D5">
            <w:pPr>
              <w:pStyle w:val="TableHeadingLeft"/>
              <w:rPr>
                <w:rFonts w:cs="Arial"/>
                <w:szCs w:val="20"/>
              </w:rPr>
            </w:pPr>
            <w:r w:rsidRPr="00E07195">
              <w:rPr>
                <w:rFonts w:cs="Arial"/>
                <w:szCs w:val="20"/>
              </w:rPr>
              <w:t>3:</w:t>
            </w:r>
          </w:p>
          <w:p w14:paraId="4304FA9B" w14:textId="209D59C2" w:rsidR="003B666F" w:rsidRPr="00E07195" w:rsidRDefault="003B666F" w:rsidP="009252D5">
            <w:pPr>
              <w:pStyle w:val="TableHeadingLeft"/>
              <w:rPr>
                <w:rFonts w:cs="Arial"/>
                <w:szCs w:val="20"/>
              </w:rPr>
            </w:pPr>
            <w:r w:rsidRPr="00E07195">
              <w:rPr>
                <w:rFonts w:cs="Arial"/>
                <w:szCs w:val="20"/>
              </w:rPr>
              <w:t>Delegated Authority</w:t>
            </w:r>
          </w:p>
        </w:tc>
        <w:tc>
          <w:tcPr>
            <w:tcW w:w="1928" w:type="dxa"/>
            <w:tcBorders>
              <w:top w:val="single" w:sz="12" w:space="0" w:color="auto"/>
              <w:bottom w:val="single" w:sz="12" w:space="0" w:color="auto"/>
            </w:tcBorders>
          </w:tcPr>
          <w:p w14:paraId="5FF99936" w14:textId="77777777" w:rsidR="00466465" w:rsidRPr="00E07195" w:rsidRDefault="00466465" w:rsidP="009252D5">
            <w:pPr>
              <w:pStyle w:val="TableTextLeft"/>
              <w:rPr>
                <w:rFonts w:cs="Arial"/>
                <w:b/>
                <w:bCs/>
                <w:szCs w:val="20"/>
              </w:rPr>
            </w:pPr>
            <w:r w:rsidRPr="00E07195">
              <w:rPr>
                <w:rFonts w:cs="Arial"/>
                <w:b/>
                <w:bCs/>
                <w:szCs w:val="20"/>
              </w:rPr>
              <w:t xml:space="preserve">DCSSDS </w:t>
            </w:r>
          </w:p>
          <w:p w14:paraId="6A93CBEE" w14:textId="03D6BC11" w:rsidR="003B666F" w:rsidRPr="00E07195" w:rsidRDefault="003B666F" w:rsidP="009252D5">
            <w:pPr>
              <w:pStyle w:val="TableTextLeft"/>
              <w:rPr>
                <w:rFonts w:cs="Arial"/>
                <w:szCs w:val="20"/>
              </w:rPr>
            </w:pPr>
            <w:r w:rsidRPr="00E07195">
              <w:rPr>
                <w:rFonts w:cs="Arial"/>
                <w:szCs w:val="20"/>
              </w:rPr>
              <w:t xml:space="preserve">     </w:t>
            </w:r>
          </w:p>
          <w:p w14:paraId="310EDD4F" w14:textId="669E8651" w:rsidR="003B666F" w:rsidRPr="00E07195" w:rsidRDefault="003B666F" w:rsidP="009252D5">
            <w:pPr>
              <w:pStyle w:val="TableTextLeft"/>
              <w:rPr>
                <w:rFonts w:cs="Arial"/>
                <w:szCs w:val="20"/>
              </w:rPr>
            </w:pPr>
            <w:r w:rsidRPr="00E07195">
              <w:rPr>
                <w:rFonts w:cs="Arial"/>
                <w:szCs w:val="20"/>
              </w:rPr>
              <w:t>QATSICPP</w:t>
            </w:r>
          </w:p>
        </w:tc>
        <w:tc>
          <w:tcPr>
            <w:tcW w:w="3061" w:type="dxa"/>
            <w:tcBorders>
              <w:top w:val="single" w:sz="12" w:space="0" w:color="auto"/>
              <w:bottom w:val="single" w:sz="12" w:space="0" w:color="auto"/>
            </w:tcBorders>
          </w:tcPr>
          <w:p w14:paraId="3F1D37E1" w14:textId="05EB7E9E" w:rsidR="00AC68D0" w:rsidRDefault="00DA18C6" w:rsidP="004B0581">
            <w:pPr>
              <w:pStyle w:val="TableTextLeft"/>
              <w:rPr>
                <w:rStyle w:val="normaltextrun"/>
                <w:shd w:val="clear" w:color="auto" w:fill="FFFFFF"/>
                <w:lang w:val="en-US"/>
              </w:rPr>
            </w:pPr>
            <w:r w:rsidRPr="00F86B18">
              <w:rPr>
                <w:b/>
                <w:bCs/>
                <w:szCs w:val="20"/>
              </w:rPr>
              <w:t>3.1</w:t>
            </w:r>
            <w:r w:rsidRPr="00F86B18">
              <w:rPr>
                <w:szCs w:val="20"/>
              </w:rPr>
              <w:t xml:space="preserve"> Implement</w:t>
            </w:r>
            <w:r w:rsidR="005B1D42" w:rsidRPr="00F86B18">
              <w:rPr>
                <w:szCs w:val="20"/>
              </w:rPr>
              <w:t xml:space="preserve"> </w:t>
            </w:r>
            <w:r w:rsidR="005B1D42">
              <w:rPr>
                <w:i/>
                <w:iCs/>
                <w:szCs w:val="20"/>
              </w:rPr>
              <w:t>R</w:t>
            </w:r>
            <w:r w:rsidR="005B1D42" w:rsidRPr="008766F2">
              <w:rPr>
                <w:i/>
                <w:iCs/>
                <w:szCs w:val="20"/>
              </w:rPr>
              <w:t>eclaiming our storyline: Transforming systems and practice by making decision</w:t>
            </w:r>
            <w:r w:rsidR="005B1D42">
              <w:rPr>
                <w:i/>
                <w:iCs/>
                <w:szCs w:val="20"/>
              </w:rPr>
              <w:t>s</w:t>
            </w:r>
            <w:r w:rsidR="005B1D42" w:rsidRPr="008766F2">
              <w:rPr>
                <w:i/>
                <w:iCs/>
                <w:szCs w:val="20"/>
              </w:rPr>
              <w:t xml:space="preserve"> our way</w:t>
            </w:r>
            <w:r w:rsidR="005B1D42">
              <w:rPr>
                <w:szCs w:val="20"/>
              </w:rPr>
              <w:t xml:space="preserve"> to scale up delegated authority </w:t>
            </w:r>
            <w:r w:rsidR="005B1D42" w:rsidRPr="00F86B18">
              <w:rPr>
                <w:szCs w:val="20"/>
              </w:rPr>
              <w:t>arrangements across Queensland</w:t>
            </w:r>
            <w:proofErr w:type="gramStart"/>
            <w:r w:rsidR="005B1D42" w:rsidRPr="00F86B18">
              <w:rPr>
                <w:szCs w:val="20"/>
              </w:rPr>
              <w:t xml:space="preserve">. </w:t>
            </w:r>
            <w:r w:rsidR="00AC68D0">
              <w:rPr>
                <w:rStyle w:val="normaltextrun"/>
                <w:shd w:val="clear" w:color="auto" w:fill="FFFFFF"/>
                <w:lang w:val="en-US"/>
              </w:rPr>
              <w:t>.</w:t>
            </w:r>
            <w:proofErr w:type="gramEnd"/>
            <w:r w:rsidR="00AC68D0">
              <w:rPr>
                <w:rStyle w:val="normaltextrun"/>
                <w:shd w:val="clear" w:color="auto" w:fill="FFFFFF"/>
                <w:lang w:val="en-US"/>
              </w:rPr>
              <w:t xml:space="preserve"> </w:t>
            </w:r>
          </w:p>
          <w:p w14:paraId="3410EF8D" w14:textId="77777777" w:rsidR="00AC68D0" w:rsidRDefault="00AC68D0" w:rsidP="004B0581">
            <w:pPr>
              <w:pStyle w:val="TableTextLeft"/>
              <w:rPr>
                <w:rFonts w:cs="Arial"/>
                <w:b/>
                <w:bCs/>
                <w:szCs w:val="20"/>
              </w:rPr>
            </w:pPr>
          </w:p>
          <w:p w14:paraId="0359DB51" w14:textId="7E53067B" w:rsidR="004B0581" w:rsidRPr="00E07195" w:rsidRDefault="004B0581" w:rsidP="004B0581">
            <w:pPr>
              <w:pStyle w:val="TableTextLeft"/>
              <w:rPr>
                <w:rFonts w:cs="Arial"/>
                <w:szCs w:val="20"/>
              </w:rPr>
            </w:pPr>
            <w:r w:rsidRPr="00E07195">
              <w:rPr>
                <w:rFonts w:cs="Arial"/>
                <w:b/>
                <w:bCs/>
                <w:szCs w:val="20"/>
              </w:rPr>
              <w:t>Timing:</w:t>
            </w:r>
            <w:r w:rsidRPr="00E07195">
              <w:rPr>
                <w:rFonts w:cs="Arial"/>
                <w:szCs w:val="20"/>
              </w:rPr>
              <w:t>  Years 1 to 3 (2023</w:t>
            </w:r>
            <w:r w:rsidR="00C96CC8">
              <w:rPr>
                <w:rFonts w:eastAsia="Calibri"/>
              </w:rPr>
              <w:t>–</w:t>
            </w:r>
            <w:r w:rsidRPr="00E07195">
              <w:rPr>
                <w:rFonts w:cs="Arial"/>
                <w:szCs w:val="20"/>
              </w:rPr>
              <w:t>2025)</w:t>
            </w:r>
          </w:p>
          <w:p w14:paraId="5335D572" w14:textId="77777777" w:rsidR="003B666F" w:rsidRDefault="003B666F" w:rsidP="009252D5">
            <w:pPr>
              <w:pStyle w:val="TableTextLeft"/>
              <w:rPr>
                <w:rFonts w:cs="Arial"/>
                <w:szCs w:val="20"/>
              </w:rPr>
            </w:pPr>
            <w:r w:rsidRPr="00E07195">
              <w:rPr>
                <w:rFonts w:cs="Arial"/>
                <w:szCs w:val="20"/>
              </w:rPr>
              <w:t>*Ongoing implementation in Breaking Cycles Action Plans 2 and 3 (2026-2031)</w:t>
            </w:r>
          </w:p>
          <w:p w14:paraId="689EB51F" w14:textId="77777777" w:rsidR="006F1347" w:rsidRPr="006F1347" w:rsidRDefault="006F1347" w:rsidP="006F1347"/>
          <w:p w14:paraId="6A14B6F8" w14:textId="77777777" w:rsidR="006F1347" w:rsidRPr="006F1347" w:rsidRDefault="006F1347" w:rsidP="006F1347"/>
          <w:p w14:paraId="4B7F30AE" w14:textId="77777777" w:rsidR="006F1347" w:rsidRPr="006F1347" w:rsidRDefault="006F1347" w:rsidP="006F1347"/>
          <w:p w14:paraId="224CE0BD" w14:textId="37BC3D0F" w:rsidR="006F1347" w:rsidRPr="006F1347" w:rsidRDefault="006F1347" w:rsidP="006F1347">
            <w:pPr>
              <w:ind w:firstLine="720"/>
            </w:pPr>
          </w:p>
        </w:tc>
        <w:tc>
          <w:tcPr>
            <w:tcW w:w="3685" w:type="dxa"/>
            <w:tcBorders>
              <w:top w:val="single" w:sz="12" w:space="0" w:color="auto"/>
              <w:bottom w:val="single" w:sz="12" w:space="0" w:color="auto"/>
            </w:tcBorders>
          </w:tcPr>
          <w:p w14:paraId="66C626F5" w14:textId="77777777" w:rsidR="004B0581" w:rsidRPr="00E07195" w:rsidRDefault="004B0581" w:rsidP="004B0581">
            <w:pPr>
              <w:pStyle w:val="TableTextLeft"/>
              <w:rPr>
                <w:rFonts w:cs="Arial"/>
                <w:szCs w:val="20"/>
              </w:rPr>
            </w:pPr>
            <w:r w:rsidRPr="00E07195">
              <w:rPr>
                <w:rFonts w:cs="Arial"/>
                <w:b/>
                <w:bCs/>
                <w:szCs w:val="20"/>
              </w:rPr>
              <w:t>D:</w:t>
            </w:r>
            <w:r w:rsidRPr="00E07195">
              <w:rPr>
                <w:rFonts w:cs="Arial"/>
                <w:szCs w:val="20"/>
              </w:rPr>
              <w:t>  Expand the availability of delegated authority arrangements in partnership with QATSICPP.</w:t>
            </w:r>
          </w:p>
          <w:p w14:paraId="5AD16031" w14:textId="77777777" w:rsidR="004B0581" w:rsidRPr="00E07195" w:rsidRDefault="004B0581" w:rsidP="004B0581">
            <w:pPr>
              <w:pStyle w:val="TableTextLeft"/>
              <w:rPr>
                <w:rFonts w:cs="Arial"/>
                <w:szCs w:val="20"/>
              </w:rPr>
            </w:pPr>
          </w:p>
          <w:p w14:paraId="2D6413D0" w14:textId="77777777" w:rsidR="004B0581" w:rsidRPr="00E07195" w:rsidRDefault="004B0581" w:rsidP="004B0581">
            <w:pPr>
              <w:pStyle w:val="TableTextLeft"/>
              <w:rPr>
                <w:rFonts w:cs="Arial"/>
                <w:szCs w:val="20"/>
              </w:rPr>
            </w:pPr>
            <w:r w:rsidRPr="00E07195">
              <w:rPr>
                <w:rFonts w:cs="Arial"/>
                <w:b/>
                <w:bCs/>
                <w:szCs w:val="20"/>
              </w:rPr>
              <w:t>SI:</w:t>
            </w:r>
            <w:r w:rsidRPr="00E07195">
              <w:rPr>
                <w:rFonts w:cs="Arial"/>
                <w:szCs w:val="20"/>
              </w:rPr>
              <w:t>  Number of ATSICCOs participating in delegated authority.</w:t>
            </w:r>
          </w:p>
          <w:p w14:paraId="7358EE7F" w14:textId="77777777" w:rsidR="004B0581" w:rsidRPr="00E07195" w:rsidRDefault="004B0581" w:rsidP="004B0581">
            <w:pPr>
              <w:pStyle w:val="TableTextLeft"/>
              <w:rPr>
                <w:rFonts w:cs="Arial"/>
                <w:szCs w:val="20"/>
              </w:rPr>
            </w:pPr>
            <w:r w:rsidRPr="00E07195">
              <w:rPr>
                <w:rFonts w:cs="Arial"/>
                <w:b/>
                <w:bCs/>
                <w:szCs w:val="20"/>
              </w:rPr>
              <w:t>SI:</w:t>
            </w:r>
            <w:r w:rsidRPr="00E07195">
              <w:rPr>
                <w:rFonts w:cs="Arial"/>
                <w:szCs w:val="20"/>
              </w:rPr>
              <w:t>  Range of statutory child protection powers and functions delegated to ATSICCOs.</w:t>
            </w:r>
          </w:p>
          <w:p w14:paraId="7A567F9C" w14:textId="71A731D8" w:rsidR="00F354D0" w:rsidRPr="00E07195" w:rsidRDefault="004B0581" w:rsidP="009252D5">
            <w:pPr>
              <w:pStyle w:val="TableTextLeft"/>
              <w:rPr>
                <w:rFonts w:cs="Arial"/>
                <w:szCs w:val="20"/>
              </w:rPr>
            </w:pPr>
            <w:r w:rsidRPr="00E07195">
              <w:rPr>
                <w:rFonts w:cs="Arial"/>
                <w:b/>
                <w:bCs/>
                <w:szCs w:val="20"/>
              </w:rPr>
              <w:t xml:space="preserve">SI: </w:t>
            </w:r>
            <w:r w:rsidRPr="00E07195">
              <w:rPr>
                <w:rFonts w:cs="Arial"/>
                <w:szCs w:val="20"/>
              </w:rPr>
              <w:t xml:space="preserve">Review of Reclaiming our storyline: Transforming systems and practice by making decisions in </w:t>
            </w:r>
            <w:r w:rsidR="00F83C83" w:rsidRPr="00E07195">
              <w:rPr>
                <w:rFonts w:cs="Arial"/>
                <w:i/>
                <w:iCs/>
                <w:szCs w:val="20"/>
              </w:rPr>
              <w:t xml:space="preserve">Our Way </w:t>
            </w:r>
            <w:r w:rsidRPr="00E07195">
              <w:rPr>
                <w:rFonts w:cs="Arial"/>
                <w:szCs w:val="20"/>
              </w:rPr>
              <w:t>implementation progress indicates reform is on track with its deliverables.</w:t>
            </w:r>
          </w:p>
        </w:tc>
        <w:tc>
          <w:tcPr>
            <w:tcW w:w="3118" w:type="dxa"/>
            <w:tcBorders>
              <w:top w:val="single" w:sz="12" w:space="0" w:color="auto"/>
              <w:bottom w:val="single" w:sz="12" w:space="0" w:color="auto"/>
            </w:tcBorders>
          </w:tcPr>
          <w:p w14:paraId="6B695DFE" w14:textId="0987F8F5" w:rsidR="003B666F" w:rsidRPr="007C1C61" w:rsidRDefault="003B666F" w:rsidP="009252D5">
            <w:pPr>
              <w:pStyle w:val="TableTextLeft"/>
              <w:rPr>
                <w:rFonts w:cs="Arial"/>
                <w:szCs w:val="20"/>
              </w:rPr>
            </w:pPr>
            <w:r w:rsidRPr="00E45B62">
              <w:rPr>
                <w:rFonts w:cs="Arial"/>
                <w:b/>
                <w:bCs/>
                <w:szCs w:val="20"/>
              </w:rPr>
              <w:t>O:</w:t>
            </w:r>
            <w:r w:rsidRPr="007C1C61">
              <w:rPr>
                <w:rFonts w:cs="Arial"/>
                <w:szCs w:val="20"/>
              </w:rPr>
              <w:t xml:space="preserve">  The </w:t>
            </w:r>
            <w:r w:rsidR="009C71C5" w:rsidRPr="007C1C61">
              <w:rPr>
                <w:rFonts w:cs="Arial"/>
                <w:szCs w:val="20"/>
              </w:rPr>
              <w:t>ATSICCO</w:t>
            </w:r>
            <w:r w:rsidRPr="007C1C61">
              <w:rPr>
                <w:rFonts w:cs="Arial"/>
                <w:szCs w:val="20"/>
              </w:rPr>
              <w:t xml:space="preserve"> sector is supported to strengthen its capacity and capability to deliver high quality services to Aboriginal and Torres Strait Islander communities</w:t>
            </w:r>
            <w:r w:rsidR="009C71C5" w:rsidRPr="007C1C61">
              <w:rPr>
                <w:rFonts w:cs="Arial"/>
                <w:szCs w:val="20"/>
              </w:rPr>
              <w:t>.</w:t>
            </w:r>
          </w:p>
          <w:p w14:paraId="496A6B87" w14:textId="4C3C7075" w:rsidR="003B666F" w:rsidRPr="007C1C61" w:rsidRDefault="003B666F" w:rsidP="009252D5">
            <w:pPr>
              <w:pStyle w:val="TableTextLeft"/>
              <w:rPr>
                <w:rFonts w:cs="Arial"/>
                <w:szCs w:val="20"/>
              </w:rPr>
            </w:pPr>
            <w:r w:rsidRPr="00E45B62">
              <w:rPr>
                <w:rFonts w:cs="Arial"/>
                <w:b/>
                <w:bCs/>
                <w:szCs w:val="20"/>
              </w:rPr>
              <w:t>O:</w:t>
            </w:r>
            <w:r w:rsidRPr="007C1C61">
              <w:rPr>
                <w:rFonts w:cs="Arial"/>
                <w:szCs w:val="20"/>
              </w:rPr>
              <w:t xml:space="preserve">  Aboriginal and Torres Strait Islander leaders and community organisations lead all policy and </w:t>
            </w:r>
            <w:r w:rsidR="007A6406" w:rsidRPr="007C1C61">
              <w:rPr>
                <w:rFonts w:cs="Arial"/>
                <w:szCs w:val="20"/>
              </w:rPr>
              <w:t>decision-making</w:t>
            </w:r>
            <w:r w:rsidRPr="007C1C61">
              <w:rPr>
                <w:rFonts w:cs="Arial"/>
                <w:szCs w:val="20"/>
              </w:rPr>
              <w:t xml:space="preserve"> processes related to their communities</w:t>
            </w:r>
            <w:r w:rsidR="009C71C5" w:rsidRPr="007C1C61">
              <w:rPr>
                <w:rFonts w:cs="Arial"/>
                <w:szCs w:val="20"/>
              </w:rPr>
              <w:t>.</w:t>
            </w:r>
          </w:p>
          <w:p w14:paraId="636A726A" w14:textId="722E46EA" w:rsidR="003B666F" w:rsidRPr="007C1C61" w:rsidRDefault="003B666F" w:rsidP="009252D5">
            <w:pPr>
              <w:pStyle w:val="TableTextLeft"/>
              <w:rPr>
                <w:rFonts w:cs="Arial"/>
                <w:szCs w:val="20"/>
              </w:rPr>
            </w:pPr>
            <w:r w:rsidRPr="00E45B62">
              <w:rPr>
                <w:rFonts w:cs="Arial"/>
                <w:b/>
                <w:bCs/>
                <w:szCs w:val="20"/>
              </w:rPr>
              <w:t>O:</w:t>
            </w:r>
            <w:r w:rsidRPr="007C1C61">
              <w:rPr>
                <w:rFonts w:cs="Arial"/>
                <w:szCs w:val="20"/>
              </w:rPr>
              <w:t xml:space="preserve">  Government agencies and service providers commit to genuine co-design processes and work in true partnerships with the community and ATSICCOs</w:t>
            </w:r>
            <w:r w:rsidR="009C71C5" w:rsidRPr="007C1C61">
              <w:rPr>
                <w:rFonts w:cs="Arial"/>
                <w:szCs w:val="20"/>
              </w:rPr>
              <w:t>.</w:t>
            </w:r>
          </w:p>
        </w:tc>
        <w:tc>
          <w:tcPr>
            <w:tcW w:w="3685" w:type="dxa"/>
            <w:tcBorders>
              <w:top w:val="single" w:sz="12" w:space="0" w:color="auto"/>
              <w:bottom w:val="single" w:sz="12" w:space="0" w:color="auto"/>
            </w:tcBorders>
          </w:tcPr>
          <w:p w14:paraId="3A750BB4" w14:textId="109A7CE9" w:rsidR="003B666F" w:rsidRPr="00E07195" w:rsidRDefault="003B666F" w:rsidP="009252D5">
            <w:pPr>
              <w:pStyle w:val="TableTextLeft"/>
              <w:rPr>
                <w:rFonts w:cs="Arial"/>
                <w:szCs w:val="20"/>
              </w:rPr>
            </w:pPr>
            <w:r w:rsidRPr="00E07195">
              <w:rPr>
                <w:rFonts w:cs="Arial"/>
                <w:szCs w:val="20"/>
              </w:rPr>
              <w:t xml:space="preserve">The delegation of statutory child protection powers and functions under the </w:t>
            </w:r>
            <w:r w:rsidRPr="00E07195">
              <w:rPr>
                <w:rFonts w:cs="Arial"/>
                <w:i/>
                <w:iCs/>
                <w:szCs w:val="20"/>
              </w:rPr>
              <w:t>Child Protection Act 1999</w:t>
            </w:r>
            <w:r w:rsidR="009C71C5" w:rsidRPr="00E07195">
              <w:rPr>
                <w:rFonts w:cs="Arial"/>
                <w:szCs w:val="20"/>
              </w:rPr>
              <w:t xml:space="preserve"> </w:t>
            </w:r>
            <w:r w:rsidRPr="00E07195">
              <w:rPr>
                <w:rFonts w:cs="Arial"/>
                <w:szCs w:val="20"/>
              </w:rPr>
              <w:t>in relation to an Aboriginal and Torres Strait Islander child to the CEO of an ATSICCO gives practical effect to the principle in the Act that recognises the right of Aboriginal and Torres Strait Islander peoples to self-determination.</w:t>
            </w:r>
          </w:p>
          <w:p w14:paraId="0288A37F" w14:textId="77777777" w:rsidR="007A6406" w:rsidRDefault="007A6406" w:rsidP="009252D5">
            <w:pPr>
              <w:pStyle w:val="TableTextLeft"/>
              <w:rPr>
                <w:rFonts w:cs="Arial"/>
                <w:szCs w:val="20"/>
              </w:rPr>
            </w:pPr>
          </w:p>
          <w:p w14:paraId="227A94DD" w14:textId="45B31710" w:rsidR="003B666F" w:rsidRPr="00E07195" w:rsidRDefault="003B666F" w:rsidP="009252D5">
            <w:pPr>
              <w:pStyle w:val="TableTextLeft"/>
              <w:rPr>
                <w:rFonts w:cs="Arial"/>
                <w:szCs w:val="20"/>
              </w:rPr>
            </w:pPr>
            <w:r w:rsidRPr="00E07195">
              <w:rPr>
                <w:rFonts w:cs="Arial"/>
                <w:szCs w:val="20"/>
              </w:rPr>
              <w:t xml:space="preserve">Early success has demonstrated what can be achieved through Delegated Authority and has generated strong interest in the </w:t>
            </w:r>
            <w:r w:rsidR="009C71C5" w:rsidRPr="00E07195">
              <w:rPr>
                <w:rFonts w:cs="Arial"/>
                <w:szCs w:val="20"/>
              </w:rPr>
              <w:t>ATISCCO</w:t>
            </w:r>
            <w:r w:rsidRPr="00E07195">
              <w:rPr>
                <w:rFonts w:cs="Arial"/>
                <w:szCs w:val="20"/>
              </w:rPr>
              <w:t xml:space="preserve"> sector to expand the initiative across the state. </w:t>
            </w:r>
          </w:p>
          <w:p w14:paraId="27511419" w14:textId="77777777" w:rsidR="007A6406" w:rsidRDefault="007A6406" w:rsidP="009252D5">
            <w:pPr>
              <w:pStyle w:val="TableTextLeft"/>
              <w:rPr>
                <w:rFonts w:cs="Arial"/>
                <w:szCs w:val="20"/>
              </w:rPr>
            </w:pPr>
          </w:p>
          <w:p w14:paraId="05B43855" w14:textId="402E4AD4" w:rsidR="003B666F" w:rsidRPr="00E07195" w:rsidRDefault="003B666F" w:rsidP="009252D5">
            <w:pPr>
              <w:pStyle w:val="TableTextLeft"/>
              <w:rPr>
                <w:rFonts w:cs="Arial"/>
                <w:szCs w:val="20"/>
              </w:rPr>
            </w:pPr>
            <w:r w:rsidRPr="00E07195">
              <w:rPr>
                <w:rFonts w:cs="Arial"/>
                <w:szCs w:val="20"/>
              </w:rPr>
              <w:t xml:space="preserve">This action aligns with </w:t>
            </w:r>
            <w:r w:rsidR="007A6406">
              <w:rPr>
                <w:rFonts w:cs="Arial"/>
                <w:szCs w:val="20"/>
              </w:rPr>
              <w:t>R</w:t>
            </w:r>
            <w:r w:rsidRPr="00E07195">
              <w:rPr>
                <w:rFonts w:cs="Arial"/>
                <w:szCs w:val="20"/>
              </w:rPr>
              <w:t>ecommendation 6 of the Family Matters Report 2022.</w:t>
            </w:r>
          </w:p>
        </w:tc>
        <w:tc>
          <w:tcPr>
            <w:tcW w:w="1627" w:type="dxa"/>
            <w:tcBorders>
              <w:top w:val="single" w:sz="12" w:space="0" w:color="auto"/>
              <w:bottom w:val="single" w:sz="12" w:space="0" w:color="auto"/>
            </w:tcBorders>
          </w:tcPr>
          <w:p w14:paraId="00E31C5E" w14:textId="5E6C71E7" w:rsidR="00364D30" w:rsidRPr="00E07195" w:rsidRDefault="006F21BA" w:rsidP="009252D5">
            <w:pPr>
              <w:pStyle w:val="TableTextLeft"/>
              <w:rPr>
                <w:rFonts w:cs="Arial"/>
                <w:szCs w:val="20"/>
              </w:rPr>
            </w:pPr>
            <w:r w:rsidRPr="00E07195">
              <w:rPr>
                <w:rFonts w:cs="Arial"/>
                <w:noProof/>
                <w:szCs w:val="20"/>
              </w:rPr>
              <w:drawing>
                <wp:inline distT="0" distB="0" distL="0" distR="0" wp14:anchorId="015A91E0" wp14:editId="431BB955">
                  <wp:extent cx="340408" cy="333375"/>
                  <wp:effectExtent l="0" t="0" r="2540" b="0"/>
                  <wp:docPr id="41" name="Picture 41" descr="Building block two - Aboriginal and Torres Strait Islander peoples and organisations participate in and have control over decisions that affect their children  &#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uilding block two - Aboriginal and Torres Strait Islander peoples and organisations participate in and have control over decisions that affect their children  &#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5371" cy="338235"/>
                          </a:xfrm>
                          <a:prstGeom prst="rect">
                            <a:avLst/>
                          </a:prstGeom>
                        </pic:spPr>
                      </pic:pic>
                    </a:graphicData>
                  </a:graphic>
                </wp:inline>
              </w:drawing>
            </w:r>
          </w:p>
          <w:p w14:paraId="59B63727" w14:textId="6FAFC653" w:rsidR="003A7427" w:rsidRPr="00E07195" w:rsidRDefault="006F21BA" w:rsidP="009252D5">
            <w:pPr>
              <w:pStyle w:val="TableTextLeft"/>
              <w:rPr>
                <w:rFonts w:cs="Arial"/>
                <w:szCs w:val="20"/>
              </w:rPr>
            </w:pPr>
            <w:r w:rsidRPr="00E07195">
              <w:rPr>
                <w:rFonts w:cs="Arial"/>
                <w:noProof/>
                <w:szCs w:val="20"/>
              </w:rPr>
              <w:drawing>
                <wp:inline distT="0" distB="0" distL="0" distR="0" wp14:anchorId="45585391" wp14:editId="4D5ECEA8">
                  <wp:extent cx="342429" cy="323215"/>
                  <wp:effectExtent l="0" t="0" r="635" b="635"/>
                  <wp:docPr id="42" name="Picture 42" descr="Building block three - Law, policy and practice in child and family welfare are culturally safe and responsive  &#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Building block three - Law, policy and practice in child and family welfare are culturally safe and responsive  &#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8823" cy="338689"/>
                          </a:xfrm>
                          <a:prstGeom prst="rect">
                            <a:avLst/>
                          </a:prstGeom>
                        </pic:spPr>
                      </pic:pic>
                    </a:graphicData>
                  </a:graphic>
                </wp:inline>
              </w:drawing>
            </w:r>
          </w:p>
          <w:p w14:paraId="072D0A94" w14:textId="4708E6C4" w:rsidR="003B666F" w:rsidRPr="00E07195" w:rsidRDefault="003B666F" w:rsidP="009252D5">
            <w:pPr>
              <w:pStyle w:val="TableTextLeft"/>
              <w:rPr>
                <w:rFonts w:cs="Arial"/>
                <w:szCs w:val="20"/>
              </w:rPr>
            </w:pPr>
          </w:p>
        </w:tc>
        <w:tc>
          <w:tcPr>
            <w:tcW w:w="1197" w:type="dxa"/>
            <w:tcBorders>
              <w:top w:val="single" w:sz="12" w:space="0" w:color="auto"/>
              <w:bottom w:val="single" w:sz="12" w:space="0" w:color="auto"/>
            </w:tcBorders>
          </w:tcPr>
          <w:p w14:paraId="0B7CA17F" w14:textId="329E4D45" w:rsidR="003B666F" w:rsidRPr="00453A57" w:rsidRDefault="00834955" w:rsidP="00453A57">
            <w:pPr>
              <w:pStyle w:val="TableTextLeft"/>
              <w:jc w:val="center"/>
              <w:rPr>
                <w:rFonts w:cs="Arial"/>
                <w:b/>
                <w:bCs/>
                <w:sz w:val="32"/>
                <w:szCs w:val="32"/>
              </w:rPr>
            </w:pPr>
            <w:r w:rsidRPr="00453A57">
              <w:rPr>
                <w:rFonts w:cs="Arial"/>
                <w:b/>
                <w:bCs/>
                <w:sz w:val="32"/>
                <w:szCs w:val="32"/>
                <w:shd w:val="clear" w:color="auto" w:fill="FFFFFF"/>
              </w:rPr>
              <w:t>1</w:t>
            </w:r>
            <w:r w:rsidR="003B666F" w:rsidRPr="00453A57">
              <w:rPr>
                <w:rFonts w:cs="Arial"/>
                <w:b/>
                <w:bCs/>
                <w:sz w:val="32"/>
                <w:szCs w:val="32"/>
              </w:rPr>
              <w:t>,</w:t>
            </w:r>
            <w:r w:rsidRPr="00453A57">
              <w:rPr>
                <w:rFonts w:cs="Arial"/>
                <w:b/>
                <w:bCs/>
                <w:sz w:val="32"/>
                <w:szCs w:val="32"/>
                <w:shd w:val="clear" w:color="auto" w:fill="FFFFFF"/>
              </w:rPr>
              <w:t>2</w:t>
            </w:r>
          </w:p>
        </w:tc>
        <w:tc>
          <w:tcPr>
            <w:tcW w:w="1260" w:type="dxa"/>
            <w:tcBorders>
              <w:top w:val="single" w:sz="12" w:space="0" w:color="auto"/>
              <w:bottom w:val="single" w:sz="12" w:space="0" w:color="auto"/>
            </w:tcBorders>
          </w:tcPr>
          <w:p w14:paraId="508AA8E3" w14:textId="0C857A66" w:rsidR="003B666F" w:rsidRPr="00453A57" w:rsidRDefault="00984024" w:rsidP="00453A57">
            <w:pPr>
              <w:pStyle w:val="TableTextLeft"/>
              <w:jc w:val="center"/>
              <w:rPr>
                <w:rFonts w:cs="Arial"/>
                <w:b/>
                <w:bCs/>
                <w:sz w:val="32"/>
                <w:szCs w:val="32"/>
              </w:rPr>
            </w:pPr>
            <w:r w:rsidRPr="00453A57">
              <w:rPr>
                <w:rFonts w:cs="Arial"/>
                <w:b/>
                <w:bCs/>
                <w:sz w:val="32"/>
                <w:szCs w:val="32"/>
              </w:rPr>
              <w:t>1</w:t>
            </w:r>
          </w:p>
        </w:tc>
      </w:tr>
      <w:tr w:rsidR="009252D5" w:rsidRPr="00E07195" w14:paraId="1B1D1E54" w14:textId="01AD8C92" w:rsidTr="25F521CE">
        <w:tc>
          <w:tcPr>
            <w:tcW w:w="1847" w:type="dxa"/>
            <w:vMerge w:val="restart"/>
            <w:tcBorders>
              <w:top w:val="single" w:sz="12" w:space="0" w:color="auto"/>
            </w:tcBorders>
            <w:shd w:val="clear" w:color="auto" w:fill="FEEFD3" w:themeFill="accent2" w:themeFillTint="33"/>
          </w:tcPr>
          <w:p w14:paraId="272969C0" w14:textId="6F96CF30" w:rsidR="003B666F" w:rsidRPr="00E07195" w:rsidRDefault="003B666F" w:rsidP="009252D5">
            <w:pPr>
              <w:pStyle w:val="TableHeadingLeft"/>
              <w:rPr>
                <w:rFonts w:cs="Arial"/>
                <w:szCs w:val="20"/>
              </w:rPr>
            </w:pPr>
            <w:r w:rsidRPr="00E07195">
              <w:rPr>
                <w:rFonts w:cs="Arial"/>
                <w:szCs w:val="20"/>
              </w:rPr>
              <w:lastRenderedPageBreak/>
              <w:t>4:</w:t>
            </w:r>
          </w:p>
          <w:p w14:paraId="05BDDEB7" w14:textId="3C60B4B4" w:rsidR="003B666F" w:rsidRPr="00E07195" w:rsidRDefault="003B666F" w:rsidP="009252D5">
            <w:pPr>
              <w:pStyle w:val="TableHeadingLeft"/>
              <w:rPr>
                <w:rFonts w:cs="Arial"/>
                <w:szCs w:val="20"/>
              </w:rPr>
            </w:pPr>
            <w:r w:rsidRPr="00E07195">
              <w:rPr>
                <w:rFonts w:cs="Arial"/>
                <w:szCs w:val="20"/>
              </w:rPr>
              <w:t>Prevention and early intervention</w:t>
            </w:r>
          </w:p>
        </w:tc>
        <w:tc>
          <w:tcPr>
            <w:tcW w:w="1928" w:type="dxa"/>
            <w:tcBorders>
              <w:top w:val="single" w:sz="12" w:space="0" w:color="auto"/>
            </w:tcBorders>
          </w:tcPr>
          <w:p w14:paraId="74183783" w14:textId="77777777" w:rsidR="00466465" w:rsidRPr="00E07195" w:rsidRDefault="00466465" w:rsidP="009252D5">
            <w:pPr>
              <w:pStyle w:val="TableTextLeft"/>
              <w:rPr>
                <w:rFonts w:cs="Arial"/>
                <w:szCs w:val="20"/>
              </w:rPr>
            </w:pPr>
            <w:r w:rsidRPr="00E07195">
              <w:rPr>
                <w:rFonts w:cs="Arial"/>
                <w:b/>
                <w:bCs/>
                <w:szCs w:val="20"/>
              </w:rPr>
              <w:t xml:space="preserve">DCSSDS </w:t>
            </w:r>
          </w:p>
          <w:p w14:paraId="5B03521A" w14:textId="77777777" w:rsidR="00466465" w:rsidRPr="00E07195" w:rsidRDefault="00466465" w:rsidP="009252D5">
            <w:pPr>
              <w:pStyle w:val="TableTextLeft"/>
              <w:rPr>
                <w:rFonts w:cs="Arial"/>
                <w:szCs w:val="20"/>
              </w:rPr>
            </w:pPr>
          </w:p>
          <w:p w14:paraId="6015D577" w14:textId="60168543" w:rsidR="003B666F" w:rsidRPr="00E07195" w:rsidRDefault="003B666F" w:rsidP="009252D5">
            <w:pPr>
              <w:pStyle w:val="TableTextLeft"/>
              <w:rPr>
                <w:rFonts w:cs="Arial"/>
                <w:szCs w:val="20"/>
              </w:rPr>
            </w:pPr>
            <w:r w:rsidRPr="00E07195">
              <w:rPr>
                <w:rFonts w:cs="Arial"/>
                <w:szCs w:val="20"/>
              </w:rPr>
              <w:t>QATSICPP</w:t>
            </w:r>
          </w:p>
        </w:tc>
        <w:tc>
          <w:tcPr>
            <w:tcW w:w="3061" w:type="dxa"/>
            <w:tcBorders>
              <w:top w:val="single" w:sz="12" w:space="0" w:color="auto"/>
            </w:tcBorders>
          </w:tcPr>
          <w:p w14:paraId="594E9F59" w14:textId="40FDA3BE" w:rsidR="00573CFD" w:rsidRDefault="006B211F" w:rsidP="009252D5">
            <w:pPr>
              <w:pStyle w:val="TableTextLeft"/>
              <w:rPr>
                <w:szCs w:val="20"/>
              </w:rPr>
            </w:pPr>
            <w:r w:rsidRPr="00954244">
              <w:rPr>
                <w:b/>
                <w:bCs/>
                <w:szCs w:val="20"/>
              </w:rPr>
              <w:t xml:space="preserve">4.1 </w:t>
            </w:r>
            <w:r w:rsidRPr="00954244">
              <w:rPr>
                <w:szCs w:val="20"/>
              </w:rPr>
              <w:t>Increase investment in Aboriginal and Torres Strait Islander Family Welling Services (FWS) to expand access to prevention and early intervention supports that strengthen families and communities and mitigate the risk of children and families experiencing vulnerability and disadvantage entering the child protection system.</w:t>
            </w:r>
          </w:p>
          <w:p w14:paraId="5D7F806C" w14:textId="77777777" w:rsidR="006B211F" w:rsidRDefault="006B211F" w:rsidP="009252D5">
            <w:pPr>
              <w:pStyle w:val="TableTextLeft"/>
              <w:rPr>
                <w:rFonts w:cs="Arial"/>
                <w:b/>
                <w:bCs/>
                <w:szCs w:val="20"/>
              </w:rPr>
            </w:pPr>
          </w:p>
          <w:p w14:paraId="40AB1EE8" w14:textId="136C0F26" w:rsidR="003B666F" w:rsidRPr="00E07195" w:rsidRDefault="003B666F" w:rsidP="009252D5">
            <w:pPr>
              <w:pStyle w:val="TableTextLeft"/>
              <w:rPr>
                <w:rFonts w:cs="Arial"/>
                <w:szCs w:val="20"/>
              </w:rPr>
            </w:pPr>
            <w:r w:rsidRPr="00E07195">
              <w:rPr>
                <w:rFonts w:cs="Arial"/>
                <w:b/>
                <w:bCs/>
                <w:szCs w:val="20"/>
              </w:rPr>
              <w:t>Timing:</w:t>
            </w:r>
            <w:r w:rsidRPr="00E07195">
              <w:rPr>
                <w:rFonts w:cs="Arial"/>
                <w:szCs w:val="20"/>
              </w:rPr>
              <w:t xml:space="preserve">  Years 1 to 3 (2023</w:t>
            </w:r>
            <w:r w:rsidR="00C96CC8">
              <w:rPr>
                <w:rFonts w:eastAsia="Calibri"/>
              </w:rPr>
              <w:t>–</w:t>
            </w:r>
            <w:r w:rsidRPr="00E07195">
              <w:rPr>
                <w:rFonts w:cs="Arial"/>
                <w:szCs w:val="20"/>
              </w:rPr>
              <w:t>2025)</w:t>
            </w:r>
          </w:p>
        </w:tc>
        <w:tc>
          <w:tcPr>
            <w:tcW w:w="3685" w:type="dxa"/>
            <w:tcBorders>
              <w:top w:val="single" w:sz="12" w:space="0" w:color="auto"/>
            </w:tcBorders>
          </w:tcPr>
          <w:p w14:paraId="6F034090" w14:textId="6E6FD37B" w:rsidR="00154BA1" w:rsidRPr="00E07195" w:rsidRDefault="00154BA1" w:rsidP="009252D5">
            <w:pPr>
              <w:pStyle w:val="TableTextLeft"/>
              <w:rPr>
                <w:rFonts w:cs="Arial"/>
                <w:szCs w:val="20"/>
              </w:rPr>
            </w:pPr>
            <w:r w:rsidRPr="00E07195">
              <w:rPr>
                <w:rFonts w:cs="Arial"/>
                <w:b/>
                <w:bCs/>
                <w:szCs w:val="20"/>
              </w:rPr>
              <w:t xml:space="preserve">D:  </w:t>
            </w:r>
            <w:r w:rsidRPr="00E07195">
              <w:rPr>
                <w:rFonts w:cs="Arial"/>
                <w:szCs w:val="20"/>
              </w:rPr>
              <w:t>Agreed definition of prevention and early intervention approach and activities within FWS</w:t>
            </w:r>
            <w:r w:rsidR="009C71C5" w:rsidRPr="00E07195">
              <w:rPr>
                <w:rFonts w:cs="Arial"/>
                <w:szCs w:val="20"/>
              </w:rPr>
              <w:t>.</w:t>
            </w:r>
          </w:p>
          <w:p w14:paraId="6AD0D916" w14:textId="1B8EDAA4" w:rsidR="00154BA1" w:rsidRPr="00E07195" w:rsidRDefault="00154BA1" w:rsidP="009252D5">
            <w:pPr>
              <w:pStyle w:val="TableTextLeft"/>
              <w:rPr>
                <w:rFonts w:cs="Arial"/>
                <w:b/>
                <w:bCs/>
                <w:szCs w:val="20"/>
              </w:rPr>
            </w:pPr>
            <w:r w:rsidRPr="00E07195">
              <w:rPr>
                <w:rFonts w:cs="Arial"/>
                <w:b/>
                <w:bCs/>
                <w:szCs w:val="20"/>
              </w:rPr>
              <w:t>D:</w:t>
            </w:r>
            <w:r w:rsidRPr="00E07195">
              <w:rPr>
                <w:rFonts w:cs="Arial"/>
                <w:szCs w:val="20"/>
              </w:rPr>
              <w:t xml:space="preserve">  Agreed target for proportion of FWS funding allocated towards prevention and early intervention</w:t>
            </w:r>
            <w:r w:rsidR="009C71C5" w:rsidRPr="00E07195">
              <w:rPr>
                <w:rFonts w:cs="Arial"/>
                <w:szCs w:val="20"/>
              </w:rPr>
              <w:t>.</w:t>
            </w:r>
          </w:p>
          <w:p w14:paraId="327F0E31" w14:textId="3F945748" w:rsidR="003B666F" w:rsidRPr="00E07195" w:rsidRDefault="003B666F" w:rsidP="009252D5">
            <w:pPr>
              <w:pStyle w:val="TableTextLeft"/>
              <w:rPr>
                <w:rFonts w:cs="Arial"/>
                <w:szCs w:val="20"/>
              </w:rPr>
            </w:pPr>
            <w:r w:rsidRPr="00E07195">
              <w:rPr>
                <w:rFonts w:cs="Arial"/>
                <w:b/>
                <w:bCs/>
                <w:szCs w:val="20"/>
              </w:rPr>
              <w:t>D:</w:t>
            </w:r>
            <w:r w:rsidRPr="00E07195">
              <w:rPr>
                <w:rFonts w:cs="Arial"/>
                <w:szCs w:val="20"/>
              </w:rPr>
              <w:t xml:space="preserve">  Implementation plan to expand access to prevention and early intervention supports through the existing network of F</w:t>
            </w:r>
            <w:r w:rsidR="009C71C5" w:rsidRPr="00E07195">
              <w:rPr>
                <w:rFonts w:cs="Arial"/>
                <w:szCs w:val="20"/>
              </w:rPr>
              <w:t>WS.</w:t>
            </w:r>
          </w:p>
          <w:p w14:paraId="54B6DD50" w14:textId="77777777" w:rsidR="003B666F" w:rsidRPr="00E07195" w:rsidRDefault="003B666F" w:rsidP="009252D5">
            <w:pPr>
              <w:pStyle w:val="TableTextLeft"/>
              <w:rPr>
                <w:rFonts w:cs="Arial"/>
                <w:szCs w:val="20"/>
              </w:rPr>
            </w:pPr>
          </w:p>
          <w:p w14:paraId="7FCD7A9A" w14:textId="549F4E30" w:rsidR="003B666F" w:rsidRPr="00E07195" w:rsidRDefault="003B666F" w:rsidP="009252D5">
            <w:pPr>
              <w:pStyle w:val="TableTextLeft"/>
              <w:rPr>
                <w:rFonts w:cs="Arial"/>
                <w:szCs w:val="20"/>
              </w:rPr>
            </w:pPr>
            <w:r w:rsidRPr="00E07195">
              <w:rPr>
                <w:rFonts w:cs="Arial"/>
                <w:b/>
                <w:bCs/>
                <w:szCs w:val="20"/>
              </w:rPr>
              <w:t>SI:</w:t>
            </w:r>
            <w:r w:rsidRPr="00E07195">
              <w:rPr>
                <w:rFonts w:cs="Arial"/>
                <w:szCs w:val="20"/>
              </w:rPr>
              <w:t xml:space="preserve">  FWS capacity to provide prevention and early intervention supports</w:t>
            </w:r>
            <w:r w:rsidR="009C71C5" w:rsidRPr="00E07195">
              <w:rPr>
                <w:rFonts w:cs="Arial"/>
                <w:szCs w:val="20"/>
              </w:rPr>
              <w:t>.</w:t>
            </w:r>
          </w:p>
        </w:tc>
        <w:tc>
          <w:tcPr>
            <w:tcW w:w="3118" w:type="dxa"/>
            <w:tcBorders>
              <w:top w:val="single" w:sz="12" w:space="0" w:color="auto"/>
            </w:tcBorders>
          </w:tcPr>
          <w:p w14:paraId="36A15BE9" w14:textId="23D2B462" w:rsidR="003B666F" w:rsidRPr="007C1C61" w:rsidRDefault="003B666F" w:rsidP="009252D5">
            <w:pPr>
              <w:pStyle w:val="TableTextLeft"/>
              <w:rPr>
                <w:rFonts w:cs="Arial"/>
                <w:szCs w:val="20"/>
              </w:rPr>
            </w:pPr>
            <w:r w:rsidRPr="00E45B62">
              <w:rPr>
                <w:rFonts w:cs="Arial"/>
                <w:b/>
                <w:bCs/>
                <w:szCs w:val="20"/>
              </w:rPr>
              <w:t>O:</w:t>
            </w:r>
            <w:r w:rsidRPr="007C1C61">
              <w:rPr>
                <w:rFonts w:cs="Arial"/>
                <w:szCs w:val="20"/>
              </w:rPr>
              <w:t xml:space="preserve">  Aboriginal and Torres Strait Islander children grow up in loving and supportive environments where they are free from all forms of harm and abuse</w:t>
            </w:r>
            <w:r w:rsidR="009C71C5" w:rsidRPr="007C1C61">
              <w:rPr>
                <w:rFonts w:cs="Arial"/>
                <w:szCs w:val="20"/>
              </w:rPr>
              <w:t>.</w:t>
            </w:r>
          </w:p>
          <w:p w14:paraId="08E55B5D" w14:textId="03C27101" w:rsidR="003B666F" w:rsidRPr="007C1C61" w:rsidRDefault="003B666F" w:rsidP="009252D5">
            <w:pPr>
              <w:pStyle w:val="TableTextLeft"/>
              <w:rPr>
                <w:rFonts w:cs="Arial"/>
                <w:szCs w:val="20"/>
              </w:rPr>
            </w:pPr>
            <w:r w:rsidRPr="00E45B62">
              <w:rPr>
                <w:rFonts w:cs="Arial"/>
                <w:b/>
                <w:bCs/>
                <w:szCs w:val="20"/>
              </w:rPr>
              <w:t>O:</w:t>
            </w:r>
            <w:r w:rsidRPr="007C1C61">
              <w:rPr>
                <w:rFonts w:cs="Arial"/>
                <w:szCs w:val="20"/>
              </w:rPr>
              <w:t xml:space="preserve">  The </w:t>
            </w:r>
            <w:r w:rsidR="009C71C5" w:rsidRPr="007C1C61">
              <w:rPr>
                <w:rFonts w:cs="Arial"/>
                <w:szCs w:val="20"/>
              </w:rPr>
              <w:t>ATSICCO</w:t>
            </w:r>
            <w:r w:rsidRPr="007C1C61">
              <w:rPr>
                <w:rFonts w:cs="Arial"/>
                <w:szCs w:val="20"/>
              </w:rPr>
              <w:t xml:space="preserve"> sector is supported to strengthen its capacity and capability to deliver high quality services to Aboriginal and Torres Strait Islander communities</w:t>
            </w:r>
            <w:r w:rsidR="009C71C5" w:rsidRPr="007C1C61">
              <w:rPr>
                <w:rFonts w:cs="Arial"/>
                <w:szCs w:val="20"/>
              </w:rPr>
              <w:t>.</w:t>
            </w:r>
          </w:p>
        </w:tc>
        <w:tc>
          <w:tcPr>
            <w:tcW w:w="3685" w:type="dxa"/>
            <w:tcBorders>
              <w:top w:val="single" w:sz="12" w:space="0" w:color="auto"/>
            </w:tcBorders>
          </w:tcPr>
          <w:p w14:paraId="0BA3CC3E" w14:textId="4E91A417" w:rsidR="003B666F" w:rsidRPr="00E07195" w:rsidRDefault="003B666F" w:rsidP="009252D5">
            <w:pPr>
              <w:pStyle w:val="TableTextLeft"/>
              <w:rPr>
                <w:rFonts w:cs="Arial"/>
                <w:szCs w:val="20"/>
              </w:rPr>
            </w:pPr>
            <w:r w:rsidRPr="00E07195">
              <w:rPr>
                <w:rFonts w:cs="Arial"/>
                <w:szCs w:val="20"/>
              </w:rPr>
              <w:t>An independent evaluation of FWS found they are not adequately resourced to meet demand. As a result, service delivery is diverted to crisis interventions with families experiencing extreme vulnerability, rather than the broad range of early supports originally intended when the program was designed. Additional investment would broaden the scope of services offered through FWS.</w:t>
            </w:r>
          </w:p>
          <w:p w14:paraId="62A5AE26" w14:textId="77777777" w:rsidR="007A6406" w:rsidRDefault="007A6406" w:rsidP="009252D5">
            <w:pPr>
              <w:pStyle w:val="TableTextLeft"/>
              <w:rPr>
                <w:rFonts w:cs="Arial"/>
                <w:szCs w:val="20"/>
              </w:rPr>
            </w:pPr>
          </w:p>
          <w:p w14:paraId="61EEA42C" w14:textId="4AF98D11" w:rsidR="003B666F" w:rsidRPr="00E07195" w:rsidRDefault="003B666F" w:rsidP="009252D5">
            <w:pPr>
              <w:pStyle w:val="TableTextLeft"/>
              <w:rPr>
                <w:rFonts w:cs="Arial"/>
                <w:szCs w:val="20"/>
              </w:rPr>
            </w:pPr>
            <w:r w:rsidRPr="00E07195">
              <w:rPr>
                <w:rFonts w:cs="Arial"/>
                <w:szCs w:val="20"/>
              </w:rPr>
              <w:t>This action aligns with Recommendation 1 of the Family Matters Report 2022.</w:t>
            </w:r>
          </w:p>
        </w:tc>
        <w:tc>
          <w:tcPr>
            <w:tcW w:w="1627" w:type="dxa"/>
            <w:tcBorders>
              <w:top w:val="single" w:sz="12" w:space="0" w:color="auto"/>
            </w:tcBorders>
          </w:tcPr>
          <w:p w14:paraId="66E4748C" w14:textId="768E5CF9" w:rsidR="003B666F" w:rsidRPr="00E07195" w:rsidRDefault="006F21BA" w:rsidP="009252D5">
            <w:pPr>
              <w:pStyle w:val="TableTextLeft"/>
              <w:rPr>
                <w:rFonts w:cs="Arial"/>
                <w:szCs w:val="20"/>
              </w:rPr>
            </w:pPr>
            <w:r w:rsidRPr="00E07195">
              <w:rPr>
                <w:rFonts w:cs="Arial"/>
                <w:noProof/>
                <w:szCs w:val="20"/>
              </w:rPr>
              <w:drawing>
                <wp:inline distT="0" distB="0" distL="0" distR="0" wp14:anchorId="4E91A67B" wp14:editId="48D80C16">
                  <wp:extent cx="339271" cy="323850"/>
                  <wp:effectExtent l="0" t="0" r="3810" b="0"/>
                  <wp:docPr id="44" name="Picture 44" descr="Building block one - All families enjoy access to quality, culturally safe universal and targeted services necessary for Aboriginal and Torres Strait Islander children to thrive  &#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Building block one - All families enjoy access to quality, culturally safe universal and targeted services necessary for Aboriginal and Torres Strait Islander children to thrive  &#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3940" cy="328307"/>
                          </a:xfrm>
                          <a:prstGeom prst="rect">
                            <a:avLst/>
                          </a:prstGeom>
                        </pic:spPr>
                      </pic:pic>
                    </a:graphicData>
                  </a:graphic>
                </wp:inline>
              </w:drawing>
            </w:r>
          </w:p>
        </w:tc>
        <w:tc>
          <w:tcPr>
            <w:tcW w:w="1197" w:type="dxa"/>
            <w:tcBorders>
              <w:top w:val="single" w:sz="12" w:space="0" w:color="auto"/>
            </w:tcBorders>
          </w:tcPr>
          <w:p w14:paraId="3BF9A651" w14:textId="3B8B34C8" w:rsidR="003B666F" w:rsidRPr="00453A57" w:rsidRDefault="00834955" w:rsidP="00453A57">
            <w:pPr>
              <w:pStyle w:val="TableTextLeft"/>
              <w:jc w:val="center"/>
              <w:rPr>
                <w:rFonts w:cs="Arial"/>
                <w:b/>
                <w:bCs/>
                <w:sz w:val="32"/>
                <w:szCs w:val="32"/>
              </w:rPr>
            </w:pPr>
            <w:r w:rsidRPr="00453A57">
              <w:rPr>
                <w:rFonts w:cs="Arial"/>
                <w:b/>
                <w:bCs/>
                <w:sz w:val="32"/>
                <w:szCs w:val="32"/>
                <w:shd w:val="clear" w:color="auto" w:fill="FFFFFF"/>
              </w:rPr>
              <w:t>2</w:t>
            </w:r>
          </w:p>
        </w:tc>
        <w:tc>
          <w:tcPr>
            <w:tcW w:w="1260" w:type="dxa"/>
            <w:tcBorders>
              <w:top w:val="single" w:sz="12" w:space="0" w:color="auto"/>
            </w:tcBorders>
          </w:tcPr>
          <w:p w14:paraId="79F67382" w14:textId="1882BBB5" w:rsidR="003B666F" w:rsidRPr="00453A57" w:rsidRDefault="00984024" w:rsidP="00453A57">
            <w:pPr>
              <w:pStyle w:val="TableTextLeft"/>
              <w:jc w:val="center"/>
              <w:rPr>
                <w:rFonts w:cs="Arial"/>
                <w:b/>
                <w:bCs/>
                <w:sz w:val="32"/>
                <w:szCs w:val="32"/>
              </w:rPr>
            </w:pPr>
            <w:r w:rsidRPr="00453A57">
              <w:rPr>
                <w:rFonts w:cs="Arial"/>
                <w:b/>
                <w:bCs/>
                <w:sz w:val="32"/>
                <w:szCs w:val="32"/>
              </w:rPr>
              <w:t>2, 5</w:t>
            </w:r>
          </w:p>
        </w:tc>
      </w:tr>
      <w:tr w:rsidR="009252D5" w:rsidRPr="00E07195" w14:paraId="6C5A2F69" w14:textId="34126E88" w:rsidTr="25F521CE">
        <w:trPr>
          <w:trHeight w:val="300"/>
        </w:trPr>
        <w:tc>
          <w:tcPr>
            <w:tcW w:w="1847" w:type="dxa"/>
            <w:vMerge/>
          </w:tcPr>
          <w:p w14:paraId="7A307A59" w14:textId="77777777" w:rsidR="003B666F" w:rsidRPr="00E07195" w:rsidRDefault="003B666F" w:rsidP="009252D5">
            <w:pPr>
              <w:pStyle w:val="TableHeadingLeft"/>
              <w:rPr>
                <w:rFonts w:cs="Arial"/>
                <w:szCs w:val="20"/>
              </w:rPr>
            </w:pPr>
          </w:p>
        </w:tc>
        <w:tc>
          <w:tcPr>
            <w:tcW w:w="1928" w:type="dxa"/>
            <w:tcBorders>
              <w:bottom w:val="single" w:sz="2" w:space="0" w:color="auto"/>
            </w:tcBorders>
          </w:tcPr>
          <w:p w14:paraId="72D4F9CF" w14:textId="14C423C5" w:rsidR="003B666F" w:rsidRPr="00E07195" w:rsidRDefault="00466465" w:rsidP="009252D5">
            <w:pPr>
              <w:pStyle w:val="TableTextLeft"/>
              <w:rPr>
                <w:rFonts w:cs="Arial"/>
                <w:b/>
                <w:bCs/>
                <w:szCs w:val="20"/>
              </w:rPr>
            </w:pPr>
            <w:r w:rsidRPr="00E07195">
              <w:rPr>
                <w:rFonts w:cs="Arial"/>
                <w:b/>
                <w:bCs/>
                <w:szCs w:val="20"/>
              </w:rPr>
              <w:t>DCSSDS</w:t>
            </w:r>
          </w:p>
          <w:p w14:paraId="439CF7B0" w14:textId="77777777" w:rsidR="00466465" w:rsidRPr="00E07195" w:rsidRDefault="00466465" w:rsidP="009252D5">
            <w:pPr>
              <w:pStyle w:val="TableTextLeft"/>
              <w:rPr>
                <w:rFonts w:cs="Arial"/>
                <w:szCs w:val="20"/>
              </w:rPr>
            </w:pPr>
          </w:p>
          <w:p w14:paraId="30D29E6C" w14:textId="4452EEDD" w:rsidR="003B666F" w:rsidRPr="00E07195" w:rsidRDefault="003B666F" w:rsidP="009252D5">
            <w:pPr>
              <w:pStyle w:val="TableTextLeft"/>
              <w:rPr>
                <w:rFonts w:cs="Arial"/>
                <w:szCs w:val="20"/>
              </w:rPr>
            </w:pPr>
            <w:r w:rsidRPr="00E07195">
              <w:rPr>
                <w:rFonts w:cs="Arial"/>
                <w:szCs w:val="20"/>
              </w:rPr>
              <w:t>QATSICPP ATSICCOs</w:t>
            </w:r>
          </w:p>
        </w:tc>
        <w:tc>
          <w:tcPr>
            <w:tcW w:w="3061" w:type="dxa"/>
            <w:tcBorders>
              <w:bottom w:val="single" w:sz="2" w:space="0" w:color="auto"/>
            </w:tcBorders>
          </w:tcPr>
          <w:p w14:paraId="25B80BB3" w14:textId="7CC16AB9" w:rsidR="003B666F" w:rsidRPr="00E07195" w:rsidRDefault="006B211F" w:rsidP="24877814">
            <w:pPr>
              <w:pStyle w:val="TableTextLeft"/>
              <w:rPr>
                <w:rFonts w:cs="Arial"/>
              </w:rPr>
            </w:pPr>
            <w:r w:rsidRPr="00553436">
              <w:rPr>
                <w:b/>
                <w:bCs/>
              </w:rPr>
              <w:t>4.2</w:t>
            </w:r>
            <w:r w:rsidRPr="00553436">
              <w:t xml:space="preserve"> As part of the investment and commissioning reform and transition of investment processes (Actions 1.4 and 2.3), ATSICCOs are empowered to re-design programs and services to ensure responses are tailored to meet the needs of their community and adopt a culturally safe, holistic prevention and early intervention approach.</w:t>
            </w:r>
          </w:p>
          <w:p w14:paraId="2247AB7C" w14:textId="77777777" w:rsidR="00573CFD" w:rsidRDefault="00573CFD" w:rsidP="009252D5">
            <w:pPr>
              <w:pStyle w:val="TableTextLeft"/>
              <w:rPr>
                <w:rFonts w:cs="Arial"/>
                <w:b/>
                <w:bCs/>
                <w:szCs w:val="20"/>
              </w:rPr>
            </w:pPr>
          </w:p>
          <w:p w14:paraId="4A6A8CD5" w14:textId="632DB9A5" w:rsidR="003B666F" w:rsidRPr="00E07195" w:rsidRDefault="003B666F" w:rsidP="009252D5">
            <w:pPr>
              <w:pStyle w:val="TableTextLeft"/>
              <w:rPr>
                <w:rFonts w:cs="Arial"/>
                <w:szCs w:val="20"/>
              </w:rPr>
            </w:pPr>
            <w:r w:rsidRPr="00E07195">
              <w:rPr>
                <w:rFonts w:cs="Arial"/>
                <w:b/>
                <w:bCs/>
                <w:szCs w:val="20"/>
              </w:rPr>
              <w:t>Timing:</w:t>
            </w:r>
            <w:r w:rsidRPr="00E07195">
              <w:rPr>
                <w:rFonts w:cs="Arial"/>
                <w:szCs w:val="20"/>
              </w:rPr>
              <w:t xml:space="preserve">  Years 1 to 3 (2023</w:t>
            </w:r>
            <w:r w:rsidR="00C96CC8">
              <w:rPr>
                <w:rFonts w:eastAsia="Calibri"/>
              </w:rPr>
              <w:t>–</w:t>
            </w:r>
            <w:r w:rsidRPr="00E07195">
              <w:rPr>
                <w:rFonts w:cs="Arial"/>
                <w:szCs w:val="20"/>
              </w:rPr>
              <w:t>2025)</w:t>
            </w:r>
          </w:p>
          <w:p w14:paraId="1B1452E7" w14:textId="74A9B239" w:rsidR="003B666F" w:rsidRPr="00E07195" w:rsidRDefault="003B666F" w:rsidP="009252D5">
            <w:pPr>
              <w:pStyle w:val="TableTextLeft"/>
              <w:rPr>
                <w:rFonts w:cs="Arial"/>
                <w:szCs w:val="20"/>
              </w:rPr>
            </w:pPr>
            <w:r w:rsidRPr="00E07195">
              <w:rPr>
                <w:rFonts w:cs="Arial"/>
                <w:szCs w:val="20"/>
              </w:rPr>
              <w:t>*Ongoing implementation in Breaking Cycles Action Plans 2 and 3 (2026-2031)</w:t>
            </w:r>
          </w:p>
        </w:tc>
        <w:tc>
          <w:tcPr>
            <w:tcW w:w="3685" w:type="dxa"/>
            <w:tcBorders>
              <w:bottom w:val="single" w:sz="2" w:space="0" w:color="auto"/>
            </w:tcBorders>
          </w:tcPr>
          <w:p w14:paraId="6E60A52B" w14:textId="77777777" w:rsidR="00B943BA" w:rsidRPr="00E07195" w:rsidRDefault="003B666F" w:rsidP="009252D5">
            <w:pPr>
              <w:pStyle w:val="TableTextLeft"/>
              <w:rPr>
                <w:rFonts w:cs="Arial"/>
                <w:szCs w:val="20"/>
              </w:rPr>
            </w:pPr>
            <w:r w:rsidRPr="00E07195">
              <w:rPr>
                <w:rFonts w:cs="Arial"/>
                <w:b/>
                <w:bCs/>
                <w:szCs w:val="20"/>
              </w:rPr>
              <w:t xml:space="preserve">D:  </w:t>
            </w:r>
            <w:r w:rsidRPr="00E07195">
              <w:rPr>
                <w:rFonts w:cs="Arial"/>
                <w:szCs w:val="20"/>
              </w:rPr>
              <w:t xml:space="preserve">Commissioning and procurement strategy to support the </w:t>
            </w:r>
            <w:r w:rsidR="00F240DF" w:rsidRPr="00E07195">
              <w:rPr>
                <w:rFonts w:cs="Arial"/>
                <w:szCs w:val="20"/>
              </w:rPr>
              <w:t>design/</w:t>
            </w:r>
            <w:r w:rsidRPr="00E07195">
              <w:rPr>
                <w:rFonts w:cs="Arial"/>
                <w:szCs w:val="20"/>
              </w:rPr>
              <w:t>re-design and delivery of programs and services</w:t>
            </w:r>
            <w:r w:rsidR="00B943BA" w:rsidRPr="00E07195">
              <w:rPr>
                <w:rFonts w:cs="Arial"/>
                <w:szCs w:val="20"/>
              </w:rPr>
              <w:t>, taking into consideration the need to:</w:t>
            </w:r>
          </w:p>
          <w:p w14:paraId="02EB6724" w14:textId="70986E99" w:rsidR="00B943BA" w:rsidRPr="00E07195" w:rsidRDefault="00B943BA" w:rsidP="000A7F4D">
            <w:pPr>
              <w:pStyle w:val="TableTextLeft"/>
              <w:numPr>
                <w:ilvl w:val="0"/>
                <w:numId w:val="9"/>
              </w:numPr>
              <w:rPr>
                <w:rFonts w:cs="Arial"/>
                <w:szCs w:val="20"/>
              </w:rPr>
            </w:pPr>
            <w:r w:rsidRPr="00E07195">
              <w:rPr>
                <w:rFonts w:cs="Arial"/>
                <w:szCs w:val="20"/>
              </w:rPr>
              <w:t xml:space="preserve">develop an agreed definition of </w:t>
            </w:r>
            <w:r w:rsidR="009C71C5" w:rsidRPr="00E07195">
              <w:rPr>
                <w:rFonts w:cs="Arial"/>
                <w:szCs w:val="20"/>
              </w:rPr>
              <w:t>holistic</w:t>
            </w:r>
            <w:r w:rsidRPr="00E07195">
              <w:rPr>
                <w:rFonts w:cs="Arial"/>
                <w:szCs w:val="20"/>
              </w:rPr>
              <w:t xml:space="preserve"> prevention and early intervention approach and </w:t>
            </w:r>
            <w:proofErr w:type="gramStart"/>
            <w:r w:rsidRPr="00E07195">
              <w:rPr>
                <w:rFonts w:cs="Arial"/>
                <w:szCs w:val="20"/>
              </w:rPr>
              <w:t>activities</w:t>
            </w:r>
            <w:proofErr w:type="gramEnd"/>
          </w:p>
          <w:p w14:paraId="1BE08CD9" w14:textId="77777777" w:rsidR="00B943BA" w:rsidRPr="00E07195" w:rsidRDefault="00B943BA" w:rsidP="000A7F4D">
            <w:pPr>
              <w:pStyle w:val="TableTextLeft"/>
              <w:numPr>
                <w:ilvl w:val="0"/>
                <w:numId w:val="9"/>
              </w:numPr>
              <w:rPr>
                <w:rFonts w:cs="Arial"/>
                <w:szCs w:val="20"/>
              </w:rPr>
            </w:pPr>
            <w:r w:rsidRPr="00E07195">
              <w:rPr>
                <w:rFonts w:cs="Arial"/>
                <w:szCs w:val="20"/>
              </w:rPr>
              <w:t xml:space="preserve">shift investment towards strengthening and supporting families and communities to care for their </w:t>
            </w:r>
            <w:proofErr w:type="gramStart"/>
            <w:r w:rsidRPr="00E07195">
              <w:rPr>
                <w:rFonts w:cs="Arial"/>
                <w:szCs w:val="20"/>
              </w:rPr>
              <w:t>children</w:t>
            </w:r>
            <w:proofErr w:type="gramEnd"/>
          </w:p>
          <w:p w14:paraId="67033ABC" w14:textId="54ECD30D" w:rsidR="003B666F" w:rsidRPr="00E07195" w:rsidRDefault="6F76CB31" w:rsidP="000A7F4D">
            <w:pPr>
              <w:pStyle w:val="TableTextLeft"/>
              <w:numPr>
                <w:ilvl w:val="0"/>
                <w:numId w:val="9"/>
              </w:numPr>
              <w:rPr>
                <w:rFonts w:cs="Arial"/>
                <w:szCs w:val="20"/>
              </w:rPr>
            </w:pPr>
            <w:r w:rsidRPr="00E07195">
              <w:rPr>
                <w:rFonts w:cs="Arial"/>
                <w:szCs w:val="20"/>
              </w:rPr>
              <w:t>develop a funding model for regional and remote service delivery that recognises the increased costs of delivering programs and services in these areas</w:t>
            </w:r>
            <w:r w:rsidR="009C71C5" w:rsidRPr="00E07195">
              <w:rPr>
                <w:rFonts w:cs="Arial"/>
                <w:szCs w:val="20"/>
              </w:rPr>
              <w:t>.</w:t>
            </w:r>
          </w:p>
          <w:p w14:paraId="6C11DA76" w14:textId="307280E9" w:rsidR="003B666F" w:rsidRPr="00E07195" w:rsidRDefault="003B666F" w:rsidP="009252D5">
            <w:pPr>
              <w:pStyle w:val="TableTextLeft"/>
              <w:rPr>
                <w:rFonts w:cs="Arial"/>
                <w:szCs w:val="20"/>
              </w:rPr>
            </w:pPr>
          </w:p>
          <w:p w14:paraId="7A40FEAD" w14:textId="0CA279A8" w:rsidR="003B666F" w:rsidRPr="00E07195" w:rsidRDefault="003B666F" w:rsidP="009252D5">
            <w:pPr>
              <w:pStyle w:val="TableTextLeft"/>
              <w:rPr>
                <w:rFonts w:cs="Arial"/>
                <w:szCs w:val="20"/>
              </w:rPr>
            </w:pPr>
            <w:r w:rsidRPr="00E07195">
              <w:rPr>
                <w:rFonts w:cs="Arial"/>
                <w:b/>
                <w:bCs/>
                <w:szCs w:val="20"/>
              </w:rPr>
              <w:t>SI:</w:t>
            </w:r>
            <w:r w:rsidRPr="00E07195">
              <w:rPr>
                <w:rFonts w:cs="Arial"/>
                <w:szCs w:val="20"/>
              </w:rPr>
              <w:t xml:space="preserve">  Examples of community-led, place-based prevention and early intervention responses</w:t>
            </w:r>
            <w:r w:rsidR="009C71C5" w:rsidRPr="00E07195">
              <w:rPr>
                <w:rFonts w:cs="Arial"/>
                <w:szCs w:val="20"/>
              </w:rPr>
              <w:t>.</w:t>
            </w:r>
          </w:p>
          <w:p w14:paraId="5658F856" w14:textId="52AD9F61" w:rsidR="003B666F" w:rsidRPr="00E07195" w:rsidRDefault="003B666F" w:rsidP="009252D5">
            <w:pPr>
              <w:pStyle w:val="TableTextLeft"/>
              <w:rPr>
                <w:rFonts w:cs="Arial"/>
                <w:szCs w:val="20"/>
              </w:rPr>
            </w:pPr>
            <w:r w:rsidRPr="00C22CDE">
              <w:rPr>
                <w:rFonts w:cs="Arial"/>
                <w:b/>
                <w:szCs w:val="20"/>
              </w:rPr>
              <w:t>SI:</w:t>
            </w:r>
            <w:r w:rsidRPr="00C22CDE">
              <w:rPr>
                <w:rFonts w:cs="Arial"/>
                <w:szCs w:val="20"/>
              </w:rPr>
              <w:t xml:space="preserve">  </w:t>
            </w:r>
            <w:r w:rsidR="00512D2B">
              <w:rPr>
                <w:rFonts w:cs="Arial"/>
                <w:szCs w:val="20"/>
              </w:rPr>
              <w:t>Increase investment</w:t>
            </w:r>
            <w:r w:rsidRPr="00C22CDE">
              <w:rPr>
                <w:rFonts w:cs="Arial"/>
                <w:szCs w:val="20"/>
              </w:rPr>
              <w:t xml:space="preserve"> </w:t>
            </w:r>
            <w:r w:rsidR="00267F6A" w:rsidRPr="00C22CDE">
              <w:rPr>
                <w:rFonts w:cs="Arial"/>
                <w:szCs w:val="20"/>
              </w:rPr>
              <w:t xml:space="preserve">within the child protection system </w:t>
            </w:r>
            <w:r w:rsidRPr="00C22CDE">
              <w:rPr>
                <w:rFonts w:cs="Arial"/>
                <w:szCs w:val="20"/>
              </w:rPr>
              <w:t>allocated towards prevention and early intervention</w:t>
            </w:r>
            <w:r w:rsidR="009C71C5" w:rsidRPr="00C22CDE">
              <w:rPr>
                <w:rFonts w:cs="Arial"/>
                <w:szCs w:val="20"/>
              </w:rPr>
              <w:t>.</w:t>
            </w:r>
          </w:p>
          <w:p w14:paraId="75BD2E33" w14:textId="0BBA938C" w:rsidR="003B666F" w:rsidRPr="00E07195" w:rsidRDefault="00267F6A" w:rsidP="00F73909">
            <w:pPr>
              <w:pStyle w:val="TableTextLeft"/>
              <w:rPr>
                <w:rFonts w:cs="Arial"/>
                <w:szCs w:val="20"/>
              </w:rPr>
            </w:pPr>
            <w:r w:rsidRPr="00E07195">
              <w:rPr>
                <w:rFonts w:cs="Arial"/>
                <w:b/>
                <w:bCs/>
                <w:szCs w:val="20"/>
              </w:rPr>
              <w:t xml:space="preserve">SI: </w:t>
            </w:r>
            <w:r w:rsidRPr="00E07195">
              <w:rPr>
                <w:rFonts w:cs="Arial"/>
                <w:szCs w:val="20"/>
              </w:rPr>
              <w:t xml:space="preserve"> Review of early intervention investment indicates all programs being delivered by ATSICCOs have been genuinely co-designed with the </w:t>
            </w:r>
            <w:r w:rsidR="009C71C5" w:rsidRPr="00E07195">
              <w:rPr>
                <w:rFonts w:cs="Arial"/>
                <w:szCs w:val="20"/>
              </w:rPr>
              <w:t>ATSICCO</w:t>
            </w:r>
            <w:r w:rsidRPr="00E07195">
              <w:rPr>
                <w:rFonts w:cs="Arial"/>
                <w:szCs w:val="20"/>
              </w:rPr>
              <w:t xml:space="preserve"> sector</w:t>
            </w:r>
            <w:r w:rsidR="009C71C5" w:rsidRPr="00E07195">
              <w:rPr>
                <w:rFonts w:cs="Arial"/>
                <w:szCs w:val="20"/>
              </w:rPr>
              <w:t>.</w:t>
            </w:r>
          </w:p>
        </w:tc>
        <w:tc>
          <w:tcPr>
            <w:tcW w:w="3118" w:type="dxa"/>
            <w:tcBorders>
              <w:bottom w:val="single" w:sz="2" w:space="0" w:color="auto"/>
            </w:tcBorders>
          </w:tcPr>
          <w:p w14:paraId="0B5F12A6" w14:textId="5575F347" w:rsidR="003B666F" w:rsidRPr="007C1C61" w:rsidRDefault="003B666F" w:rsidP="009252D5">
            <w:pPr>
              <w:pStyle w:val="TableTextLeft"/>
              <w:rPr>
                <w:rFonts w:cs="Arial"/>
                <w:szCs w:val="20"/>
              </w:rPr>
            </w:pPr>
            <w:r w:rsidRPr="00E45B62">
              <w:rPr>
                <w:rFonts w:cs="Arial"/>
                <w:b/>
                <w:bCs/>
                <w:szCs w:val="20"/>
              </w:rPr>
              <w:t>O:</w:t>
            </w:r>
            <w:r w:rsidRPr="007C1C61">
              <w:rPr>
                <w:rFonts w:cs="Arial"/>
                <w:szCs w:val="20"/>
              </w:rPr>
              <w:t xml:space="preserve">  Aboriginal and Torres Strait Islander children enjoy high levels of social and emotional wellbeing</w:t>
            </w:r>
          </w:p>
          <w:p w14:paraId="22AE08E0" w14:textId="69E53088" w:rsidR="003B666F" w:rsidRPr="007C1C61" w:rsidRDefault="003B666F" w:rsidP="009252D5">
            <w:pPr>
              <w:pStyle w:val="TableTextLeft"/>
              <w:rPr>
                <w:rFonts w:cs="Arial"/>
                <w:szCs w:val="20"/>
              </w:rPr>
            </w:pPr>
            <w:r w:rsidRPr="00E45B62">
              <w:rPr>
                <w:rFonts w:cs="Arial"/>
                <w:b/>
                <w:bCs/>
                <w:szCs w:val="20"/>
              </w:rPr>
              <w:t>O:</w:t>
            </w:r>
            <w:r w:rsidRPr="007C1C61">
              <w:rPr>
                <w:rFonts w:cs="Arial"/>
                <w:szCs w:val="20"/>
              </w:rPr>
              <w:t xml:space="preserve">  Aboriginal and Torres Strait Islander children have a strong sense of identity and pride in Aboriginal and Torres Strait Islander cultures and languages</w:t>
            </w:r>
          </w:p>
          <w:p w14:paraId="3278144B" w14:textId="1021EC7B" w:rsidR="003B666F" w:rsidRPr="007C1C61" w:rsidRDefault="003B666F" w:rsidP="009252D5">
            <w:pPr>
              <w:pStyle w:val="TableTextLeft"/>
              <w:rPr>
                <w:rFonts w:cs="Arial"/>
                <w:szCs w:val="20"/>
              </w:rPr>
            </w:pPr>
            <w:r w:rsidRPr="00E45B62">
              <w:rPr>
                <w:rFonts w:cs="Arial"/>
                <w:b/>
                <w:bCs/>
                <w:szCs w:val="20"/>
              </w:rPr>
              <w:t>O:</w:t>
            </w:r>
            <w:r w:rsidRPr="007C1C61">
              <w:rPr>
                <w:rFonts w:cs="Arial"/>
                <w:szCs w:val="20"/>
              </w:rPr>
              <w:t xml:space="preserve">  Aboriginal and Torres Strait Islander children grow up in loving and supportive environments where they are free from all forms of harm and abuse</w:t>
            </w:r>
            <w:r w:rsidR="009C71C5" w:rsidRPr="007C1C61">
              <w:rPr>
                <w:rFonts w:cs="Arial"/>
                <w:szCs w:val="20"/>
              </w:rPr>
              <w:t>.</w:t>
            </w:r>
          </w:p>
          <w:p w14:paraId="4E01E081" w14:textId="610CDCE1" w:rsidR="003B666F" w:rsidRPr="007C1C61" w:rsidRDefault="003B666F" w:rsidP="009252D5">
            <w:pPr>
              <w:pStyle w:val="TableTextLeft"/>
              <w:rPr>
                <w:rFonts w:cs="Arial"/>
                <w:szCs w:val="20"/>
              </w:rPr>
            </w:pPr>
            <w:r w:rsidRPr="00E45B62">
              <w:rPr>
                <w:rFonts w:cs="Arial"/>
                <w:b/>
                <w:bCs/>
                <w:szCs w:val="20"/>
              </w:rPr>
              <w:t>O:</w:t>
            </w:r>
            <w:r w:rsidRPr="007C1C61">
              <w:rPr>
                <w:rFonts w:cs="Arial"/>
                <w:szCs w:val="20"/>
              </w:rPr>
              <w:t xml:space="preserve">  The </w:t>
            </w:r>
            <w:r w:rsidR="009C71C5" w:rsidRPr="007C1C61">
              <w:rPr>
                <w:rFonts w:cs="Arial"/>
                <w:szCs w:val="20"/>
              </w:rPr>
              <w:t>ATSICCO</w:t>
            </w:r>
            <w:r w:rsidRPr="007C1C61">
              <w:rPr>
                <w:rFonts w:cs="Arial"/>
                <w:szCs w:val="20"/>
              </w:rPr>
              <w:t xml:space="preserve"> sector is supported to strengthen its capacity and capability to deliver high quality services to Aboriginal and Torres Strait Islander communities</w:t>
            </w:r>
            <w:r w:rsidR="009C71C5" w:rsidRPr="007C1C61">
              <w:rPr>
                <w:rFonts w:cs="Arial"/>
                <w:szCs w:val="20"/>
              </w:rPr>
              <w:t>.</w:t>
            </w:r>
          </w:p>
          <w:p w14:paraId="6DE91C18" w14:textId="3DF2678B" w:rsidR="003B666F" w:rsidRPr="007C1C61" w:rsidRDefault="003B666F" w:rsidP="009252D5">
            <w:pPr>
              <w:pStyle w:val="TableTextLeft"/>
              <w:rPr>
                <w:rFonts w:cs="Arial"/>
                <w:szCs w:val="20"/>
              </w:rPr>
            </w:pPr>
            <w:r w:rsidRPr="00E45B62">
              <w:rPr>
                <w:rFonts w:cs="Arial"/>
                <w:b/>
                <w:bCs/>
                <w:szCs w:val="20"/>
              </w:rPr>
              <w:t>O:</w:t>
            </w:r>
            <w:r w:rsidRPr="007C1C61">
              <w:rPr>
                <w:rFonts w:cs="Arial"/>
                <w:szCs w:val="20"/>
              </w:rPr>
              <w:t xml:space="preserve">  Aboriginal and Torres Strait Islander children and families </w:t>
            </w:r>
            <w:proofErr w:type="gramStart"/>
            <w:r w:rsidRPr="007C1C61">
              <w:rPr>
                <w:rFonts w:cs="Arial"/>
                <w:szCs w:val="20"/>
              </w:rPr>
              <w:t>are able to</w:t>
            </w:r>
            <w:proofErr w:type="gramEnd"/>
            <w:r w:rsidRPr="007C1C61">
              <w:rPr>
                <w:rFonts w:cs="Arial"/>
                <w:szCs w:val="20"/>
              </w:rPr>
              <w:t xml:space="preserve"> access the services of their choice</w:t>
            </w:r>
            <w:r w:rsidR="009C71C5" w:rsidRPr="007C1C61">
              <w:rPr>
                <w:rFonts w:cs="Arial"/>
                <w:szCs w:val="20"/>
              </w:rPr>
              <w:t>.</w:t>
            </w:r>
          </w:p>
          <w:p w14:paraId="75A242E6" w14:textId="68260E4F" w:rsidR="003B666F" w:rsidRPr="007C1C61" w:rsidRDefault="003B666F" w:rsidP="009252D5">
            <w:pPr>
              <w:pStyle w:val="TableTextLeft"/>
              <w:rPr>
                <w:rFonts w:cs="Arial"/>
                <w:szCs w:val="20"/>
              </w:rPr>
            </w:pPr>
            <w:r w:rsidRPr="00E45B62">
              <w:rPr>
                <w:rFonts w:cs="Arial"/>
                <w:b/>
                <w:bCs/>
                <w:szCs w:val="20"/>
              </w:rPr>
              <w:t>O:</w:t>
            </w:r>
            <w:r w:rsidRPr="007C1C61">
              <w:rPr>
                <w:rFonts w:cs="Arial"/>
                <w:szCs w:val="20"/>
              </w:rPr>
              <w:t xml:space="preserve">  Government agencies and service providers commit to genuine co-design processes and work in true partnerships with the community and ATSICCOs</w:t>
            </w:r>
            <w:r w:rsidR="009C71C5" w:rsidRPr="007C1C61">
              <w:rPr>
                <w:rFonts w:cs="Arial"/>
                <w:szCs w:val="20"/>
              </w:rPr>
              <w:t>.</w:t>
            </w:r>
          </w:p>
        </w:tc>
        <w:tc>
          <w:tcPr>
            <w:tcW w:w="3685" w:type="dxa"/>
            <w:tcBorders>
              <w:bottom w:val="single" w:sz="2" w:space="0" w:color="auto"/>
            </w:tcBorders>
          </w:tcPr>
          <w:p w14:paraId="39A97C49" w14:textId="5AFF1EC0" w:rsidR="003B666F" w:rsidRDefault="003B666F" w:rsidP="009252D5">
            <w:pPr>
              <w:pStyle w:val="TableTextLeft"/>
              <w:rPr>
                <w:rFonts w:cs="Arial"/>
                <w:szCs w:val="20"/>
              </w:rPr>
            </w:pPr>
            <w:r w:rsidRPr="00E07195">
              <w:rPr>
                <w:rFonts w:cs="Arial"/>
                <w:szCs w:val="20"/>
              </w:rPr>
              <w:t>In 2020-21, only 14</w:t>
            </w:r>
            <w:r w:rsidR="008410E8">
              <w:rPr>
                <w:rFonts w:cs="Arial"/>
                <w:szCs w:val="20"/>
              </w:rPr>
              <w:t xml:space="preserve"> percent </w:t>
            </w:r>
            <w:r w:rsidRPr="00E07195">
              <w:rPr>
                <w:rFonts w:cs="Arial"/>
                <w:szCs w:val="20"/>
              </w:rPr>
              <w:t xml:space="preserve">of Queensland’s total expenditure on the child protection system was directed towards family preservation services, with the remainder allocated towards protective care interventions and out-of-home care. </w:t>
            </w:r>
          </w:p>
          <w:p w14:paraId="29B6B2BC" w14:textId="77777777" w:rsidR="007A6406" w:rsidRPr="00E07195" w:rsidRDefault="007A6406" w:rsidP="009252D5">
            <w:pPr>
              <w:pStyle w:val="TableTextLeft"/>
              <w:rPr>
                <w:rFonts w:cs="Arial"/>
                <w:szCs w:val="20"/>
              </w:rPr>
            </w:pPr>
          </w:p>
          <w:p w14:paraId="39507180" w14:textId="60F394EF" w:rsidR="003B666F" w:rsidRDefault="003B666F" w:rsidP="009252D5">
            <w:pPr>
              <w:pStyle w:val="TableTextLeft"/>
              <w:rPr>
                <w:rFonts w:cs="Arial"/>
                <w:szCs w:val="20"/>
              </w:rPr>
            </w:pPr>
            <w:r w:rsidRPr="00E07195">
              <w:rPr>
                <w:rFonts w:cs="Arial"/>
                <w:szCs w:val="20"/>
              </w:rPr>
              <w:t xml:space="preserve">Bolstering efforts designed to strengthen and support families, prevent the removal of children from their families, and support healing from trauma is vital to the success of </w:t>
            </w:r>
            <w:r w:rsidRPr="00E07195">
              <w:rPr>
                <w:rFonts w:cs="Arial"/>
                <w:i/>
                <w:iCs/>
                <w:szCs w:val="20"/>
              </w:rPr>
              <w:t>Our Way</w:t>
            </w:r>
            <w:r w:rsidRPr="00E07195">
              <w:rPr>
                <w:rFonts w:cs="Arial"/>
                <w:szCs w:val="20"/>
              </w:rPr>
              <w:t xml:space="preserve"> and Breaking Cycles.</w:t>
            </w:r>
          </w:p>
          <w:p w14:paraId="7BA58F54" w14:textId="77777777" w:rsidR="007A6406" w:rsidRPr="00E07195" w:rsidRDefault="007A6406" w:rsidP="009252D5">
            <w:pPr>
              <w:pStyle w:val="TableTextLeft"/>
              <w:rPr>
                <w:rFonts w:cs="Arial"/>
                <w:szCs w:val="20"/>
              </w:rPr>
            </w:pPr>
          </w:p>
          <w:p w14:paraId="6CED72CE" w14:textId="31D58A41" w:rsidR="003B666F" w:rsidRPr="00E07195" w:rsidRDefault="003B666F" w:rsidP="009252D5">
            <w:pPr>
              <w:pStyle w:val="TableTextLeft"/>
              <w:rPr>
                <w:rFonts w:cs="Arial"/>
                <w:szCs w:val="20"/>
              </w:rPr>
            </w:pPr>
            <w:r w:rsidRPr="00E07195">
              <w:rPr>
                <w:rFonts w:cs="Arial"/>
                <w:szCs w:val="20"/>
              </w:rPr>
              <w:t>This action aligns with Recommendation 1 of the Family Matters Report 2022.</w:t>
            </w:r>
          </w:p>
        </w:tc>
        <w:tc>
          <w:tcPr>
            <w:tcW w:w="1627" w:type="dxa"/>
            <w:tcBorders>
              <w:bottom w:val="single" w:sz="2" w:space="0" w:color="auto"/>
            </w:tcBorders>
          </w:tcPr>
          <w:p w14:paraId="08C84A97" w14:textId="28B9140F" w:rsidR="007153E4" w:rsidRPr="00E07195" w:rsidRDefault="006F21BA" w:rsidP="009252D5">
            <w:pPr>
              <w:pStyle w:val="TableTextLeft"/>
              <w:rPr>
                <w:rFonts w:cs="Arial"/>
                <w:szCs w:val="20"/>
              </w:rPr>
            </w:pPr>
            <w:r w:rsidRPr="00E07195">
              <w:rPr>
                <w:rFonts w:cs="Arial"/>
                <w:noProof/>
                <w:szCs w:val="20"/>
              </w:rPr>
              <w:drawing>
                <wp:inline distT="0" distB="0" distL="0" distR="0" wp14:anchorId="5F43598A" wp14:editId="7A594D51">
                  <wp:extent cx="339271" cy="323850"/>
                  <wp:effectExtent l="0" t="0" r="3810" b="0"/>
                  <wp:docPr id="45" name="Picture 45" descr="Building block one - All families enjoy access to quality, culturally safe universal and targeted services necessary for Aboriginal and Torres Strait Islander children to thrive  &#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Building block one - All families enjoy access to quality, culturally safe universal and targeted services necessary for Aboriginal and Torres Strait Islander children to thrive  &#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3940" cy="328307"/>
                          </a:xfrm>
                          <a:prstGeom prst="rect">
                            <a:avLst/>
                          </a:prstGeom>
                        </pic:spPr>
                      </pic:pic>
                    </a:graphicData>
                  </a:graphic>
                </wp:inline>
              </w:drawing>
            </w:r>
          </w:p>
          <w:p w14:paraId="7E81B371" w14:textId="386E0BDA" w:rsidR="003B666F" w:rsidRPr="00E07195" w:rsidRDefault="009A623A" w:rsidP="009252D5">
            <w:pPr>
              <w:pStyle w:val="TableTextLeft"/>
              <w:rPr>
                <w:rFonts w:cs="Arial"/>
                <w:szCs w:val="20"/>
              </w:rPr>
            </w:pPr>
            <w:r w:rsidRPr="00E07195">
              <w:rPr>
                <w:rFonts w:cs="Arial"/>
                <w:noProof/>
                <w:szCs w:val="20"/>
              </w:rPr>
              <w:drawing>
                <wp:inline distT="0" distB="0" distL="0" distR="0" wp14:anchorId="70C978F1" wp14:editId="5231A223">
                  <wp:extent cx="340408" cy="333375"/>
                  <wp:effectExtent l="0" t="0" r="2540" b="0"/>
                  <wp:docPr id="60" name="Picture 60" descr="Building block two - Aboriginal and Torres Strait Islander peoples and organisations participate in and have control over decisions that affect their children  &#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Building block two - Aboriginal and Torres Strait Islander peoples and organisations participate in and have control over decisions that affect their children  &#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5371" cy="338235"/>
                          </a:xfrm>
                          <a:prstGeom prst="rect">
                            <a:avLst/>
                          </a:prstGeom>
                        </pic:spPr>
                      </pic:pic>
                    </a:graphicData>
                  </a:graphic>
                </wp:inline>
              </w:drawing>
            </w:r>
          </w:p>
        </w:tc>
        <w:tc>
          <w:tcPr>
            <w:tcW w:w="1197" w:type="dxa"/>
            <w:tcBorders>
              <w:bottom w:val="single" w:sz="2" w:space="0" w:color="auto"/>
            </w:tcBorders>
          </w:tcPr>
          <w:p w14:paraId="68B7A7F8" w14:textId="095609F7" w:rsidR="003B666F" w:rsidRPr="00453A57" w:rsidRDefault="00834955" w:rsidP="00453A57">
            <w:pPr>
              <w:pStyle w:val="TableTextLeft"/>
              <w:jc w:val="center"/>
              <w:rPr>
                <w:rFonts w:cs="Arial"/>
                <w:b/>
                <w:bCs/>
                <w:sz w:val="32"/>
                <w:szCs w:val="32"/>
              </w:rPr>
            </w:pPr>
            <w:r w:rsidRPr="00453A57">
              <w:rPr>
                <w:rFonts w:cs="Arial"/>
                <w:b/>
                <w:bCs/>
                <w:sz w:val="32"/>
                <w:szCs w:val="32"/>
                <w:shd w:val="clear" w:color="auto" w:fill="FFFFFF"/>
              </w:rPr>
              <w:t>2</w:t>
            </w:r>
          </w:p>
        </w:tc>
        <w:tc>
          <w:tcPr>
            <w:tcW w:w="1260" w:type="dxa"/>
            <w:tcBorders>
              <w:bottom w:val="single" w:sz="2" w:space="0" w:color="auto"/>
            </w:tcBorders>
          </w:tcPr>
          <w:p w14:paraId="4227336B" w14:textId="4352532B" w:rsidR="003B666F" w:rsidRPr="00453A57" w:rsidRDefault="00984024" w:rsidP="00453A57">
            <w:pPr>
              <w:pStyle w:val="TableTextLeft"/>
              <w:jc w:val="center"/>
              <w:rPr>
                <w:rFonts w:cs="Arial"/>
                <w:b/>
                <w:bCs/>
                <w:sz w:val="32"/>
                <w:szCs w:val="32"/>
              </w:rPr>
            </w:pPr>
            <w:r w:rsidRPr="00453A57">
              <w:rPr>
                <w:rFonts w:cs="Arial"/>
                <w:b/>
                <w:bCs/>
                <w:sz w:val="32"/>
                <w:szCs w:val="32"/>
              </w:rPr>
              <w:t>2, 5</w:t>
            </w:r>
          </w:p>
        </w:tc>
      </w:tr>
      <w:tr w:rsidR="7E0DE04E" w:rsidRPr="00E07195" w14:paraId="46A6D5AD" w14:textId="77777777" w:rsidTr="25F521CE">
        <w:trPr>
          <w:trHeight w:val="300"/>
        </w:trPr>
        <w:tc>
          <w:tcPr>
            <w:tcW w:w="1847" w:type="dxa"/>
            <w:tcBorders>
              <w:top w:val="single" w:sz="12" w:space="0" w:color="auto"/>
            </w:tcBorders>
            <w:shd w:val="clear" w:color="auto" w:fill="FEEFD3" w:themeFill="accent2" w:themeFillTint="33"/>
          </w:tcPr>
          <w:p w14:paraId="4C89D6D6" w14:textId="536F93B2" w:rsidR="7E0DE04E" w:rsidRPr="00E07195" w:rsidRDefault="7E0DE04E" w:rsidP="55177181">
            <w:pPr>
              <w:pStyle w:val="TableHeadingLeft"/>
              <w:rPr>
                <w:rFonts w:cs="Arial"/>
                <w:szCs w:val="20"/>
                <w:highlight w:val="yellow"/>
              </w:rPr>
            </w:pPr>
          </w:p>
        </w:tc>
        <w:tc>
          <w:tcPr>
            <w:tcW w:w="1928" w:type="dxa"/>
            <w:tcBorders>
              <w:bottom w:val="single" w:sz="2" w:space="0" w:color="auto"/>
            </w:tcBorders>
          </w:tcPr>
          <w:p w14:paraId="217D3880" w14:textId="495C4906" w:rsidR="7E0DE04E" w:rsidRPr="00E07195" w:rsidRDefault="42D1B500" w:rsidP="55177181">
            <w:pPr>
              <w:pStyle w:val="TableTextLeft"/>
              <w:rPr>
                <w:rFonts w:cs="Arial"/>
                <w:b/>
                <w:bCs/>
                <w:szCs w:val="20"/>
                <w:highlight w:val="yellow"/>
              </w:rPr>
            </w:pPr>
            <w:r w:rsidRPr="00C47FF4">
              <w:rPr>
                <w:rFonts w:cs="Arial"/>
                <w:b/>
                <w:bCs/>
                <w:szCs w:val="20"/>
              </w:rPr>
              <w:t>QH</w:t>
            </w:r>
          </w:p>
        </w:tc>
        <w:tc>
          <w:tcPr>
            <w:tcW w:w="3061" w:type="dxa"/>
            <w:tcBorders>
              <w:bottom w:val="single" w:sz="2" w:space="0" w:color="auto"/>
            </w:tcBorders>
          </w:tcPr>
          <w:p w14:paraId="11A4E9ED" w14:textId="2044D00A" w:rsidR="006B211F" w:rsidRDefault="00DA18C6" w:rsidP="006B211F">
            <w:pPr>
              <w:pStyle w:val="TableTextLeft"/>
              <w:rPr>
                <w:rFonts w:eastAsia="Arial"/>
                <w:color w:val="000000" w:themeColor="text1"/>
              </w:rPr>
            </w:pPr>
            <w:r w:rsidRPr="53789238">
              <w:rPr>
                <w:rFonts w:eastAsia="Arial"/>
                <w:b/>
                <w:bCs/>
                <w:color w:val="000000" w:themeColor="text1"/>
              </w:rPr>
              <w:t xml:space="preserve">4.3 </w:t>
            </w:r>
            <w:r w:rsidRPr="00DA18C6">
              <w:rPr>
                <w:rFonts w:eastAsia="Arial" w:cs="Arial"/>
                <w:szCs w:val="20"/>
              </w:rPr>
              <w:t>Implementation</w:t>
            </w:r>
            <w:r w:rsidR="006B211F" w:rsidRPr="00F866BC">
              <w:rPr>
                <w:rFonts w:eastAsia="Arial" w:cs="Arial"/>
                <w:szCs w:val="20"/>
              </w:rPr>
              <w:t xml:space="preserve"> of the Growing Deadly Families</w:t>
            </w:r>
            <w:r w:rsidR="006B211F">
              <w:rPr>
                <w:rFonts w:eastAsia="Arial" w:cs="Arial"/>
                <w:szCs w:val="20"/>
              </w:rPr>
              <w:t xml:space="preserve"> (GDF)</w:t>
            </w:r>
            <w:r w:rsidR="006B211F" w:rsidRPr="00F866BC">
              <w:rPr>
                <w:rFonts w:eastAsia="Arial" w:cs="Arial"/>
                <w:szCs w:val="20"/>
              </w:rPr>
              <w:t xml:space="preserve"> Aboriginal and Torres Strait </w:t>
            </w:r>
            <w:r w:rsidR="006B211F" w:rsidRPr="00F866BC">
              <w:rPr>
                <w:rFonts w:eastAsia="Arial" w:cs="Arial"/>
                <w:szCs w:val="20"/>
              </w:rPr>
              <w:lastRenderedPageBreak/>
              <w:t xml:space="preserve">Islander Maternity Services Strategy 2019-2025 (GDF Strategy) in partnership with Frist Nations Health Office. The GDF Strategy is Queensland’s </w:t>
            </w:r>
            <w:r w:rsidR="006B211F">
              <w:rPr>
                <w:rFonts w:eastAsia="Arial" w:cs="Arial"/>
                <w:szCs w:val="20"/>
              </w:rPr>
              <w:t>Aboriginal and Torres Strait Islander</w:t>
            </w:r>
            <w:r w:rsidR="006B211F" w:rsidRPr="00F866BC">
              <w:rPr>
                <w:rFonts w:eastAsia="Arial" w:cs="Arial"/>
                <w:szCs w:val="20"/>
              </w:rPr>
              <w:t xml:space="preserve"> maternal and child health strategy aimed at providing culturally safe and secure maternity services across Queensland to realise the Strategy’s vision that </w:t>
            </w:r>
            <w:r w:rsidR="006B211F">
              <w:rPr>
                <w:rFonts w:eastAsia="Arial" w:cs="Arial"/>
                <w:szCs w:val="20"/>
              </w:rPr>
              <w:t>‘</w:t>
            </w:r>
            <w:r w:rsidR="006B211F" w:rsidRPr="00F866BC">
              <w:rPr>
                <w:rFonts w:eastAsia="Arial" w:cs="Arial"/>
                <w:szCs w:val="20"/>
              </w:rPr>
              <w:t xml:space="preserve">All Aboriginal and Torres Strait Islander babies in Queensland are born healthy, into strong resilient </w:t>
            </w:r>
            <w:proofErr w:type="gramStart"/>
            <w:r w:rsidR="006B211F" w:rsidRPr="00F866BC">
              <w:rPr>
                <w:rFonts w:eastAsia="Arial" w:cs="Arial"/>
                <w:szCs w:val="20"/>
              </w:rPr>
              <w:t>families</w:t>
            </w:r>
            <w:r w:rsidR="006B211F">
              <w:rPr>
                <w:rFonts w:eastAsia="Arial" w:cs="Arial"/>
                <w:szCs w:val="20"/>
              </w:rPr>
              <w:t>’</w:t>
            </w:r>
            <w:proofErr w:type="gramEnd"/>
            <w:r w:rsidR="006B211F">
              <w:rPr>
                <w:rFonts w:eastAsia="Arial"/>
                <w:color w:val="000000" w:themeColor="text1"/>
                <w:szCs w:val="20"/>
              </w:rPr>
              <w:t>.</w:t>
            </w:r>
          </w:p>
          <w:p w14:paraId="4BF6BEC4" w14:textId="77777777" w:rsidR="00655B68" w:rsidRDefault="00655B68" w:rsidP="00CC64C4">
            <w:pPr>
              <w:pStyle w:val="TableTextLeft"/>
              <w:rPr>
                <w:rFonts w:cs="Arial"/>
                <w:szCs w:val="20"/>
              </w:rPr>
            </w:pPr>
          </w:p>
          <w:p w14:paraId="7191F7DE" w14:textId="37D89BE2" w:rsidR="00CC64C4" w:rsidRPr="00E07195" w:rsidRDefault="00CC64C4" w:rsidP="00CC64C4">
            <w:pPr>
              <w:pStyle w:val="TableTextLeft"/>
              <w:rPr>
                <w:rFonts w:cs="Arial"/>
                <w:szCs w:val="20"/>
              </w:rPr>
            </w:pPr>
            <w:r w:rsidRPr="00E07195">
              <w:rPr>
                <w:rFonts w:cs="Arial"/>
                <w:b/>
                <w:bCs/>
                <w:szCs w:val="20"/>
              </w:rPr>
              <w:t>Timing:</w:t>
            </w:r>
            <w:r w:rsidRPr="00E07195">
              <w:rPr>
                <w:rFonts w:cs="Arial"/>
                <w:szCs w:val="20"/>
              </w:rPr>
              <w:t xml:space="preserve">  </w:t>
            </w:r>
            <w:r w:rsidR="000B3D7A" w:rsidRPr="00E07195">
              <w:rPr>
                <w:rFonts w:cs="Arial"/>
                <w:b/>
                <w:bCs/>
                <w:szCs w:val="20"/>
              </w:rPr>
              <w:t xml:space="preserve"> </w:t>
            </w:r>
            <w:r w:rsidR="000B3D7A" w:rsidRPr="00E07195">
              <w:rPr>
                <w:rFonts w:cs="Arial"/>
                <w:szCs w:val="20"/>
              </w:rPr>
              <w:t>Years 1 to 3 (2023</w:t>
            </w:r>
            <w:r w:rsidR="00C96CC8">
              <w:rPr>
                <w:rFonts w:eastAsia="Calibri"/>
              </w:rPr>
              <w:t>–</w:t>
            </w:r>
            <w:r w:rsidR="000B3D7A" w:rsidRPr="00E07195">
              <w:rPr>
                <w:rFonts w:cs="Arial"/>
                <w:szCs w:val="20"/>
              </w:rPr>
              <w:t>2025)</w:t>
            </w:r>
          </w:p>
          <w:p w14:paraId="275DBEE5" w14:textId="5E316BF2" w:rsidR="7E0DE04E" w:rsidRPr="00E07195" w:rsidRDefault="7E0DE04E" w:rsidP="16657E59">
            <w:pPr>
              <w:pStyle w:val="TableTextLeft"/>
              <w:rPr>
                <w:rFonts w:cs="Arial"/>
                <w:b/>
                <w:bCs/>
                <w:szCs w:val="20"/>
              </w:rPr>
            </w:pPr>
          </w:p>
        </w:tc>
        <w:tc>
          <w:tcPr>
            <w:tcW w:w="3685" w:type="dxa"/>
            <w:tcBorders>
              <w:bottom w:val="single" w:sz="2" w:space="0" w:color="auto"/>
            </w:tcBorders>
          </w:tcPr>
          <w:p w14:paraId="496C246D" w14:textId="7FFF65FE" w:rsidR="7E0DE04E" w:rsidRPr="00E07195" w:rsidRDefault="6E1B3F84" w:rsidP="0F628AAE">
            <w:pPr>
              <w:pStyle w:val="TableTextLeft"/>
            </w:pPr>
            <w:r w:rsidRPr="0F628AAE">
              <w:rPr>
                <w:rFonts w:cs="Arial"/>
                <w:b/>
                <w:bCs/>
              </w:rPr>
              <w:lastRenderedPageBreak/>
              <w:t>D:</w:t>
            </w:r>
            <w:r w:rsidR="1B6F0E61" w:rsidRPr="0F628AAE">
              <w:rPr>
                <w:rFonts w:cs="Arial"/>
              </w:rPr>
              <w:t xml:space="preserve"> </w:t>
            </w:r>
            <w:r w:rsidR="0E5FAD6A" w:rsidRPr="0F628AAE">
              <w:rPr>
                <w:rFonts w:eastAsia="Arial" w:cs="Arial"/>
                <w:i/>
                <w:iCs/>
                <w:sz w:val="24"/>
              </w:rPr>
              <w:t xml:space="preserve"> </w:t>
            </w:r>
            <w:r w:rsidR="0E5FAD6A" w:rsidRPr="00F55CDD">
              <w:rPr>
                <w:rFonts w:eastAsia="Arial" w:cs="Arial"/>
                <w:szCs w:val="20"/>
              </w:rPr>
              <w:t xml:space="preserve">Maternity services for Aboriginal and Torres Strait Islander families are co-designed and delivered with the </w:t>
            </w:r>
            <w:r w:rsidR="0E5FAD6A" w:rsidRPr="00F55CDD">
              <w:rPr>
                <w:rFonts w:eastAsia="Arial" w:cs="Arial"/>
                <w:szCs w:val="20"/>
              </w:rPr>
              <w:lastRenderedPageBreak/>
              <w:t>community in partnership with providers including Hospital and Health Services and Aboriginal and Torres Strait Islander Community Controlled Health Organisations</w:t>
            </w:r>
          </w:p>
          <w:p w14:paraId="1004C1AB" w14:textId="223D99F4" w:rsidR="0E5FAD6A" w:rsidRDefault="0E5FAD6A" w:rsidP="0F628AAE">
            <w:pPr>
              <w:pStyle w:val="TableTextLeft"/>
            </w:pPr>
            <w:r w:rsidRPr="00F55CDD">
              <w:rPr>
                <w:rFonts w:eastAsia="Arial" w:cs="Arial"/>
                <w:b/>
                <w:bCs/>
                <w:szCs w:val="20"/>
              </w:rPr>
              <w:t>D</w:t>
            </w:r>
            <w:r w:rsidRPr="0F628AAE">
              <w:rPr>
                <w:rFonts w:eastAsia="Arial" w:cs="Arial"/>
                <w:szCs w:val="20"/>
              </w:rPr>
              <w:t>:</w:t>
            </w:r>
            <w:r w:rsidRPr="0F628AAE">
              <w:rPr>
                <w:rFonts w:eastAsia="Arial" w:cs="Arial"/>
                <w:sz w:val="24"/>
              </w:rPr>
              <w:t xml:space="preserve"> </w:t>
            </w:r>
            <w:r w:rsidRPr="00F55CDD">
              <w:rPr>
                <w:rFonts w:eastAsia="Arial" w:cs="Arial"/>
                <w:szCs w:val="20"/>
              </w:rPr>
              <w:t xml:space="preserve">All women in Queensland pregnant with Aboriginal and/or Torres Strait Islander babies have access to woman-centred, </w:t>
            </w:r>
            <w:proofErr w:type="gramStart"/>
            <w:r w:rsidRPr="00F55CDD">
              <w:rPr>
                <w:rFonts w:eastAsia="Arial" w:cs="Arial"/>
                <w:szCs w:val="20"/>
              </w:rPr>
              <w:t>comprehensive</w:t>
            </w:r>
            <w:proofErr w:type="gramEnd"/>
            <w:r w:rsidRPr="00F55CDD">
              <w:rPr>
                <w:rFonts w:eastAsia="Arial" w:cs="Arial"/>
                <w:szCs w:val="20"/>
              </w:rPr>
              <w:t xml:space="preserve"> and culturally capable maternity care</w:t>
            </w:r>
          </w:p>
          <w:p w14:paraId="4D393AF1" w14:textId="1D08A0E8" w:rsidR="7E0DE04E" w:rsidRPr="00E07195" w:rsidRDefault="540C0981" w:rsidP="0F628AAE">
            <w:pPr>
              <w:pStyle w:val="TableTextLeft"/>
              <w:rPr>
                <w:rFonts w:cs="Arial"/>
              </w:rPr>
            </w:pPr>
            <w:r w:rsidRPr="0F628AAE">
              <w:rPr>
                <w:rFonts w:cs="Arial"/>
                <w:b/>
                <w:bCs/>
              </w:rPr>
              <w:t>D:</w:t>
            </w:r>
            <w:r w:rsidR="6F6852D8" w:rsidRPr="0F628AAE">
              <w:rPr>
                <w:rFonts w:cs="Arial"/>
                <w:b/>
                <w:bCs/>
              </w:rPr>
              <w:t xml:space="preserve"> </w:t>
            </w:r>
            <w:r w:rsidR="6F6852D8" w:rsidRPr="0F628AAE">
              <w:rPr>
                <w:rFonts w:cs="Arial"/>
              </w:rPr>
              <w:t xml:space="preserve">Develop a </w:t>
            </w:r>
            <w:proofErr w:type="spellStart"/>
            <w:r w:rsidR="00573CFD" w:rsidRPr="0F628AAE">
              <w:rPr>
                <w:rFonts w:cs="Arial"/>
              </w:rPr>
              <w:t>s</w:t>
            </w:r>
            <w:r w:rsidR="6F6852D8" w:rsidRPr="0F628AAE">
              <w:rPr>
                <w:rFonts w:cs="Arial"/>
              </w:rPr>
              <w:t>tatewide</w:t>
            </w:r>
            <w:proofErr w:type="spellEnd"/>
            <w:r w:rsidR="6F6852D8" w:rsidRPr="0F628AAE">
              <w:rPr>
                <w:rFonts w:cs="Arial"/>
              </w:rPr>
              <w:t xml:space="preserve"> Aboriginal and Torres Strait Islander maternity workforce plan to increase the number </w:t>
            </w:r>
            <w:r w:rsidR="49857BCC" w:rsidRPr="0F628AAE">
              <w:rPr>
                <w:rFonts w:cs="Arial"/>
              </w:rPr>
              <w:t>of Aboriginal</w:t>
            </w:r>
            <w:r w:rsidR="00DF446A" w:rsidRPr="0F628AAE">
              <w:rPr>
                <w:rFonts w:cs="Arial"/>
              </w:rPr>
              <w:t xml:space="preserve"> and Torres Strait Islander </w:t>
            </w:r>
            <w:r w:rsidR="6F6852D8" w:rsidRPr="0F628AAE">
              <w:rPr>
                <w:rFonts w:cs="Arial"/>
              </w:rPr>
              <w:t>staff working within maternity models.</w:t>
            </w:r>
          </w:p>
          <w:p w14:paraId="46539442" w14:textId="7A0EEC76" w:rsidR="7E0DE04E" w:rsidRPr="00E07195" w:rsidRDefault="6F6852D8" w:rsidP="0F628AAE">
            <w:pPr>
              <w:pStyle w:val="TableTextLeft"/>
            </w:pPr>
            <w:r w:rsidRPr="0F628AAE">
              <w:rPr>
                <w:rFonts w:cs="Arial"/>
                <w:b/>
                <w:bCs/>
              </w:rPr>
              <w:t xml:space="preserve">D: </w:t>
            </w:r>
            <w:r w:rsidR="1DB7E6C8" w:rsidRPr="0F628AAE">
              <w:rPr>
                <w:rFonts w:eastAsia="Arial" w:cs="Arial"/>
                <w:i/>
                <w:iCs/>
                <w:sz w:val="24"/>
              </w:rPr>
              <w:t xml:space="preserve"> </w:t>
            </w:r>
            <w:r w:rsidR="1DB7E6C8" w:rsidRPr="00F55CDD">
              <w:rPr>
                <w:rFonts w:eastAsia="Arial" w:cs="Arial"/>
                <w:szCs w:val="20"/>
              </w:rPr>
              <w:t>Develop Aboriginal and Torres Strait Islander maternal and child health guidelines to support cultural capability of staff</w:t>
            </w:r>
          </w:p>
          <w:p w14:paraId="149B9BAD" w14:textId="46C44DF2" w:rsidR="1DB7E6C8" w:rsidRDefault="1DB7E6C8" w:rsidP="0F628AAE">
            <w:pPr>
              <w:pStyle w:val="TableTextLeft"/>
            </w:pPr>
            <w:r w:rsidRPr="0F628AAE">
              <w:rPr>
                <w:rFonts w:eastAsia="Arial" w:cs="Arial"/>
                <w:szCs w:val="20"/>
              </w:rPr>
              <w:t>D:</w:t>
            </w:r>
            <w:r w:rsidRPr="0F628AAE">
              <w:rPr>
                <w:rFonts w:eastAsia="Arial" w:cs="Arial"/>
                <w:i/>
                <w:iCs/>
                <w:sz w:val="24"/>
              </w:rPr>
              <w:t xml:space="preserve"> </w:t>
            </w:r>
            <w:r w:rsidRPr="00F55CDD">
              <w:rPr>
                <w:rFonts w:eastAsia="Arial" w:cs="Arial"/>
                <w:szCs w:val="20"/>
              </w:rPr>
              <w:t xml:space="preserve">Ensure Queensland Health child protection liaison services are culturally capable, adhere to the Aboriginal and Torres Strait Islander child placement principles (prevention, partnership, placement, </w:t>
            </w:r>
            <w:proofErr w:type="gramStart"/>
            <w:r w:rsidRPr="00F55CDD">
              <w:rPr>
                <w:rFonts w:eastAsia="Arial" w:cs="Arial"/>
                <w:szCs w:val="20"/>
              </w:rPr>
              <w:t>participation</w:t>
            </w:r>
            <w:proofErr w:type="gramEnd"/>
            <w:r w:rsidRPr="00F55CDD">
              <w:rPr>
                <w:rFonts w:eastAsia="Arial" w:cs="Arial"/>
                <w:szCs w:val="20"/>
              </w:rPr>
              <w:t xml:space="preserve"> and connection) and can work in collaboration with Cultural Practice Advisors and services providers in ensuring safety for the mother and child</w:t>
            </w:r>
          </w:p>
          <w:p w14:paraId="308B99DE" w14:textId="447AAC0A" w:rsidR="7E0DE04E" w:rsidRPr="00E07195" w:rsidRDefault="7E0DE04E" w:rsidP="16657E59">
            <w:pPr>
              <w:pStyle w:val="TableTextLeft"/>
              <w:rPr>
                <w:rFonts w:cs="Arial"/>
                <w:szCs w:val="20"/>
              </w:rPr>
            </w:pPr>
          </w:p>
          <w:p w14:paraId="37626829" w14:textId="6D766D7F" w:rsidR="7E0DE04E" w:rsidRPr="00E07195" w:rsidRDefault="19303750" w:rsidP="0F628AAE">
            <w:pPr>
              <w:pStyle w:val="TableTextLeft"/>
            </w:pPr>
            <w:r w:rsidRPr="0F628AAE">
              <w:rPr>
                <w:rFonts w:cs="Arial"/>
                <w:b/>
                <w:bCs/>
              </w:rPr>
              <w:t>SI:</w:t>
            </w:r>
            <w:r w:rsidRPr="0F628AAE">
              <w:rPr>
                <w:rFonts w:cs="Arial"/>
              </w:rPr>
              <w:t xml:space="preserve"> </w:t>
            </w:r>
            <w:r w:rsidR="741F2D6E" w:rsidRPr="0F628AAE">
              <w:rPr>
                <w:rFonts w:eastAsia="Arial" w:cs="Arial"/>
                <w:sz w:val="24"/>
              </w:rPr>
              <w:t xml:space="preserve"> </w:t>
            </w:r>
            <w:r w:rsidR="741F2D6E" w:rsidRPr="00F55CDD">
              <w:rPr>
                <w:rFonts w:eastAsia="Arial" w:cs="Arial"/>
                <w:szCs w:val="20"/>
              </w:rPr>
              <w:t xml:space="preserve">Maternity services provided in partnership with community, primary, </w:t>
            </w:r>
            <w:proofErr w:type="gramStart"/>
            <w:r w:rsidR="741F2D6E" w:rsidRPr="00F55CDD">
              <w:rPr>
                <w:rFonts w:eastAsia="Arial" w:cs="Arial"/>
                <w:szCs w:val="20"/>
              </w:rPr>
              <w:t>secondary</w:t>
            </w:r>
            <w:proofErr w:type="gramEnd"/>
            <w:r w:rsidR="741F2D6E" w:rsidRPr="00F55CDD">
              <w:rPr>
                <w:rFonts w:eastAsia="Arial" w:cs="Arial"/>
                <w:szCs w:val="20"/>
              </w:rPr>
              <w:t xml:space="preserve"> and tertiary services</w:t>
            </w:r>
          </w:p>
          <w:p w14:paraId="5ECC4F1D" w14:textId="6B0AF0CB" w:rsidR="7E0DE04E" w:rsidRPr="00E07195" w:rsidRDefault="6F6852D8" w:rsidP="0F628AAE">
            <w:pPr>
              <w:pStyle w:val="TableTextLeft"/>
            </w:pPr>
            <w:r w:rsidRPr="0F628AAE">
              <w:rPr>
                <w:rFonts w:cs="Arial"/>
                <w:b/>
                <w:bCs/>
              </w:rPr>
              <w:t>SI:</w:t>
            </w:r>
            <w:r w:rsidRPr="0F628AAE">
              <w:rPr>
                <w:rFonts w:cs="Arial"/>
              </w:rPr>
              <w:t xml:space="preserve"> </w:t>
            </w:r>
            <w:r w:rsidR="66D3D4FB" w:rsidRPr="0F628AAE">
              <w:rPr>
                <w:rFonts w:eastAsia="Arial" w:cs="Arial"/>
                <w:sz w:val="24"/>
              </w:rPr>
              <w:t xml:space="preserve"> </w:t>
            </w:r>
            <w:r w:rsidR="66D3D4FB" w:rsidRPr="00F55CDD">
              <w:rPr>
                <w:rFonts w:eastAsia="Arial" w:cs="Arial"/>
                <w:szCs w:val="20"/>
              </w:rPr>
              <w:t>Maternity services are integrated or co-located with wrap-around social support services</w:t>
            </w:r>
          </w:p>
          <w:p w14:paraId="2D439C45" w14:textId="0D864ABA" w:rsidR="66D3D4FB" w:rsidRDefault="66D3D4FB" w:rsidP="0F628AAE">
            <w:pPr>
              <w:pStyle w:val="TableTextLeft"/>
              <w:rPr>
                <w:rFonts w:eastAsia="Arial" w:cs="Arial"/>
                <w:szCs w:val="20"/>
              </w:rPr>
            </w:pPr>
            <w:r w:rsidRPr="00F55CDD">
              <w:rPr>
                <w:rFonts w:eastAsia="Arial" w:cs="Arial"/>
                <w:b/>
                <w:bCs/>
                <w:szCs w:val="20"/>
              </w:rPr>
              <w:t>SI:</w:t>
            </w:r>
            <w:r w:rsidRPr="0F628AAE">
              <w:rPr>
                <w:rFonts w:eastAsia="Arial" w:cs="Arial"/>
                <w:szCs w:val="20"/>
              </w:rPr>
              <w:t xml:space="preserve"> </w:t>
            </w:r>
            <w:r w:rsidRPr="00F55CDD">
              <w:rPr>
                <w:rFonts w:eastAsia="Arial" w:cs="Arial"/>
                <w:szCs w:val="20"/>
              </w:rPr>
              <w:t>More pregnant women reporting continuity of midwifery carer</w:t>
            </w:r>
          </w:p>
          <w:p w14:paraId="71AF33C4" w14:textId="753C46A0" w:rsidR="66D3D4FB" w:rsidRDefault="66D3D4FB" w:rsidP="0F628AAE">
            <w:pPr>
              <w:pStyle w:val="TableTextLeft"/>
              <w:rPr>
                <w:szCs w:val="20"/>
              </w:rPr>
            </w:pPr>
            <w:r w:rsidRPr="00F55CDD">
              <w:rPr>
                <w:rFonts w:eastAsia="Arial" w:cs="Arial"/>
                <w:b/>
                <w:bCs/>
                <w:szCs w:val="20"/>
              </w:rPr>
              <w:t>SI:</w:t>
            </w:r>
            <w:r w:rsidRPr="00F55CDD">
              <w:rPr>
                <w:rFonts w:eastAsia="Arial" w:cs="Arial"/>
                <w:szCs w:val="20"/>
              </w:rPr>
              <w:t xml:space="preserve"> Increased social and emotional wellbeing, </w:t>
            </w:r>
            <w:proofErr w:type="gramStart"/>
            <w:r w:rsidRPr="00F55CDD">
              <w:rPr>
                <w:rFonts w:eastAsia="Arial" w:cs="Arial"/>
                <w:szCs w:val="20"/>
              </w:rPr>
              <w:t>support</w:t>
            </w:r>
            <w:proofErr w:type="gramEnd"/>
            <w:r w:rsidRPr="00F55CDD">
              <w:rPr>
                <w:rFonts w:eastAsia="Arial" w:cs="Arial"/>
                <w:szCs w:val="20"/>
              </w:rPr>
              <w:t xml:space="preserve"> and referral</w:t>
            </w:r>
          </w:p>
          <w:p w14:paraId="5A69036B" w14:textId="4D924E38" w:rsidR="7E0DE04E" w:rsidRPr="00E07195" w:rsidRDefault="04522729" w:rsidP="16657E59">
            <w:pPr>
              <w:pStyle w:val="TableTextLeft"/>
              <w:rPr>
                <w:rFonts w:cs="Arial"/>
                <w:szCs w:val="20"/>
              </w:rPr>
            </w:pPr>
            <w:r w:rsidRPr="00E07195">
              <w:rPr>
                <w:rFonts w:cs="Arial"/>
                <w:b/>
                <w:bCs/>
                <w:szCs w:val="20"/>
              </w:rPr>
              <w:t>SI:</w:t>
            </w:r>
            <w:r w:rsidR="1B6F0E61" w:rsidRPr="00E07195">
              <w:rPr>
                <w:rFonts w:cs="Arial"/>
                <w:szCs w:val="20"/>
              </w:rPr>
              <w:t xml:space="preserve"> Midwifery continuity of carer models throughout QLD with partnerships with </w:t>
            </w:r>
            <w:r w:rsidR="00885EFA">
              <w:rPr>
                <w:rFonts w:cs="Arial"/>
                <w:szCs w:val="20"/>
              </w:rPr>
              <w:t xml:space="preserve">Aboriginal and Torres Strait Islander Community Health </w:t>
            </w:r>
            <w:r w:rsidR="1B6F0E61" w:rsidRPr="00E07195">
              <w:rPr>
                <w:rFonts w:cs="Arial"/>
                <w:szCs w:val="20"/>
              </w:rPr>
              <w:t>to deliver co-designed, holistic care throughout pregnancy, postnatal and First 1000 days.</w:t>
            </w:r>
          </w:p>
          <w:p w14:paraId="1398BF97" w14:textId="72817588" w:rsidR="7E0DE04E" w:rsidRPr="00E07195" w:rsidRDefault="7338187D" w:rsidP="16657E59">
            <w:pPr>
              <w:pStyle w:val="TableTextLeft"/>
              <w:rPr>
                <w:rFonts w:cs="Arial"/>
                <w:szCs w:val="20"/>
              </w:rPr>
            </w:pPr>
            <w:r w:rsidRPr="00E07195">
              <w:rPr>
                <w:rFonts w:cs="Arial"/>
                <w:b/>
                <w:bCs/>
                <w:szCs w:val="20"/>
              </w:rPr>
              <w:t>SI:</w:t>
            </w:r>
            <w:r w:rsidR="1B6F0E61" w:rsidRPr="00E07195">
              <w:rPr>
                <w:rFonts w:cs="Arial"/>
                <w:szCs w:val="20"/>
              </w:rPr>
              <w:t xml:space="preserve"> Aboriginal and Torres Strait Islander community consultation, </w:t>
            </w:r>
            <w:proofErr w:type="gramStart"/>
            <w:r w:rsidR="1B6F0E61" w:rsidRPr="00E07195">
              <w:rPr>
                <w:rFonts w:cs="Arial"/>
                <w:szCs w:val="20"/>
              </w:rPr>
              <w:t>leadership</w:t>
            </w:r>
            <w:proofErr w:type="gramEnd"/>
            <w:r w:rsidR="1B6F0E61" w:rsidRPr="00E07195">
              <w:rPr>
                <w:rFonts w:cs="Arial"/>
                <w:szCs w:val="20"/>
              </w:rPr>
              <w:t xml:space="preserve"> and co-design in relation to </w:t>
            </w:r>
            <w:r w:rsidR="1B6F0E61" w:rsidRPr="00E07195">
              <w:rPr>
                <w:rFonts w:cs="Arial"/>
                <w:szCs w:val="20"/>
              </w:rPr>
              <w:lastRenderedPageBreak/>
              <w:t>maternity services occur using a collaborative governance approach</w:t>
            </w:r>
            <w:r w:rsidR="002749EF">
              <w:rPr>
                <w:rFonts w:cs="Arial"/>
                <w:szCs w:val="20"/>
              </w:rPr>
              <w:t>.</w:t>
            </w:r>
          </w:p>
        </w:tc>
        <w:tc>
          <w:tcPr>
            <w:tcW w:w="3118" w:type="dxa"/>
            <w:tcBorders>
              <w:bottom w:val="single" w:sz="2" w:space="0" w:color="auto"/>
            </w:tcBorders>
          </w:tcPr>
          <w:p w14:paraId="2B22292E" w14:textId="69DB1C7A" w:rsidR="7E0DE04E" w:rsidRPr="007C1C61" w:rsidRDefault="6E1B3F84" w:rsidP="16657E59">
            <w:pPr>
              <w:pStyle w:val="TableTextLeft"/>
              <w:rPr>
                <w:rFonts w:cs="Arial"/>
                <w:szCs w:val="20"/>
              </w:rPr>
            </w:pPr>
            <w:r w:rsidRPr="00E45B62">
              <w:rPr>
                <w:rFonts w:cs="Arial"/>
                <w:b/>
                <w:bCs/>
                <w:szCs w:val="20"/>
              </w:rPr>
              <w:lastRenderedPageBreak/>
              <w:t>O</w:t>
            </w:r>
            <w:r w:rsidR="3E39EF21" w:rsidRPr="00E45B62">
              <w:rPr>
                <w:rFonts w:cs="Arial"/>
                <w:b/>
                <w:bCs/>
                <w:szCs w:val="20"/>
              </w:rPr>
              <w:t>:</w:t>
            </w:r>
            <w:r w:rsidRPr="007C1C61">
              <w:rPr>
                <w:rFonts w:cs="Arial"/>
                <w:szCs w:val="20"/>
              </w:rPr>
              <w:t xml:space="preserve"> Strengthened accountability mechanisms at all levels to ensure the service needs of </w:t>
            </w:r>
            <w:r w:rsidRPr="007C1C61">
              <w:rPr>
                <w:rFonts w:cs="Arial"/>
                <w:szCs w:val="20"/>
              </w:rPr>
              <w:lastRenderedPageBreak/>
              <w:t>Aboriginal and Torres Strait Islander people</w:t>
            </w:r>
            <w:r w:rsidR="000B7470">
              <w:rPr>
                <w:rFonts w:cs="Arial"/>
                <w:szCs w:val="20"/>
              </w:rPr>
              <w:t>s</w:t>
            </w:r>
            <w:r w:rsidRPr="007C1C61">
              <w:rPr>
                <w:rFonts w:cs="Arial"/>
                <w:szCs w:val="20"/>
              </w:rPr>
              <w:t xml:space="preserve"> are met.</w:t>
            </w:r>
          </w:p>
          <w:p w14:paraId="642834AA" w14:textId="46800F14" w:rsidR="7E0DE04E" w:rsidRPr="007C1C61" w:rsidRDefault="4D225068" w:rsidP="16657E59">
            <w:pPr>
              <w:pStyle w:val="TableTextLeft"/>
              <w:rPr>
                <w:rFonts w:cs="Arial"/>
                <w:szCs w:val="20"/>
              </w:rPr>
            </w:pPr>
            <w:r w:rsidRPr="00E45B62">
              <w:rPr>
                <w:rFonts w:cs="Arial"/>
                <w:b/>
                <w:bCs/>
                <w:szCs w:val="20"/>
              </w:rPr>
              <w:t>O:</w:t>
            </w:r>
            <w:r w:rsidRPr="007C1C61">
              <w:rPr>
                <w:rFonts w:cs="Arial"/>
                <w:szCs w:val="20"/>
              </w:rPr>
              <w:t xml:space="preserve"> All government agencies and service providers </w:t>
            </w:r>
            <w:r w:rsidR="00DA18C6" w:rsidRPr="007C1C61">
              <w:rPr>
                <w:rFonts w:cs="Arial"/>
                <w:szCs w:val="20"/>
              </w:rPr>
              <w:t>elevate Aboriginal</w:t>
            </w:r>
            <w:r w:rsidR="005D77BF" w:rsidRPr="007C1C61">
              <w:rPr>
                <w:rFonts w:cs="Arial"/>
                <w:szCs w:val="20"/>
              </w:rPr>
              <w:t xml:space="preserve"> and Torres Strait Islander </w:t>
            </w:r>
            <w:r w:rsidRPr="007C1C61">
              <w:rPr>
                <w:rFonts w:cs="Arial"/>
                <w:szCs w:val="20"/>
              </w:rPr>
              <w:t>voice, leadership and governance in its strategic planning, policy development and practice.</w:t>
            </w:r>
          </w:p>
        </w:tc>
        <w:tc>
          <w:tcPr>
            <w:tcW w:w="3685" w:type="dxa"/>
            <w:tcBorders>
              <w:bottom w:val="single" w:sz="2" w:space="0" w:color="auto"/>
            </w:tcBorders>
          </w:tcPr>
          <w:p w14:paraId="0F7588E8" w14:textId="1AB689FE" w:rsidR="7E0DE04E" w:rsidRPr="00E07195" w:rsidRDefault="67BC1B0B" w:rsidP="0F628AAE">
            <w:pPr>
              <w:pStyle w:val="TableTextLeft"/>
              <w:rPr>
                <w:szCs w:val="20"/>
              </w:rPr>
            </w:pPr>
            <w:r w:rsidRPr="00F55CDD">
              <w:rPr>
                <w:rFonts w:eastAsia="Arial" w:cs="Arial"/>
                <w:szCs w:val="20"/>
              </w:rPr>
              <w:lastRenderedPageBreak/>
              <w:t xml:space="preserve"> Investing in the health of mothers and babies is key to gaining long term sustainable improvements in the health </w:t>
            </w:r>
            <w:r w:rsidRPr="00F55CDD">
              <w:rPr>
                <w:rFonts w:eastAsia="Arial" w:cs="Arial"/>
                <w:szCs w:val="20"/>
              </w:rPr>
              <w:lastRenderedPageBreak/>
              <w:t>and wellbeing of Aboriginal and Torres Strait Islander peoples. Newborns have a better chance to a healthy start to life when their mothers are healthy and supported, before and during pregnancy and after birth. Aboriginal and/or Torres Strait Islander women have lacked options in relation to maternity care therefore minimising choice. Choice and control in maternity care are intertwined, are integral to the provision of woman centred culturally appropriate maternity care and are vital to encourage self-determination.  The GDF program has invested in establishing and growing First Nations maternity models across the state which have improved access to timely, culturally safe, secure maternity and birthing services that are making strides in closing the gap in maternal and birth outcomes and experiences.</w:t>
            </w:r>
          </w:p>
        </w:tc>
        <w:tc>
          <w:tcPr>
            <w:tcW w:w="1627" w:type="dxa"/>
            <w:tcBorders>
              <w:bottom w:val="single" w:sz="2" w:space="0" w:color="auto"/>
            </w:tcBorders>
          </w:tcPr>
          <w:p w14:paraId="30DECEA9" w14:textId="0341F2BB" w:rsidR="7E0DE04E" w:rsidRPr="00E07195" w:rsidRDefault="006F21BA" w:rsidP="16657E59">
            <w:pPr>
              <w:pStyle w:val="TableTextLeft"/>
              <w:rPr>
                <w:rFonts w:cs="Arial"/>
                <w:szCs w:val="20"/>
              </w:rPr>
            </w:pPr>
            <w:r w:rsidRPr="00E07195">
              <w:rPr>
                <w:rFonts w:cs="Arial"/>
                <w:noProof/>
                <w:szCs w:val="20"/>
              </w:rPr>
              <w:lastRenderedPageBreak/>
              <w:drawing>
                <wp:inline distT="0" distB="0" distL="0" distR="0" wp14:anchorId="1409A9A2" wp14:editId="1D712ED9">
                  <wp:extent cx="355600" cy="351929"/>
                  <wp:effectExtent l="0" t="0" r="6350" b="0"/>
                  <wp:docPr id="53" name="Picture 53" descr="Building block four - Governments and services are accountable to Aboriginal and Torres Strait Islander peoples &#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Building block four - Governments and services are accountable to Aboriginal and Torres Strait Islander peoples &#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7636" cy="363841"/>
                          </a:xfrm>
                          <a:prstGeom prst="rect">
                            <a:avLst/>
                          </a:prstGeom>
                        </pic:spPr>
                      </pic:pic>
                    </a:graphicData>
                  </a:graphic>
                </wp:inline>
              </w:drawing>
            </w:r>
          </w:p>
        </w:tc>
        <w:tc>
          <w:tcPr>
            <w:tcW w:w="1197" w:type="dxa"/>
            <w:tcBorders>
              <w:bottom w:val="single" w:sz="2" w:space="0" w:color="auto"/>
            </w:tcBorders>
          </w:tcPr>
          <w:p w14:paraId="285B3DE8" w14:textId="582891FA" w:rsidR="7E0DE04E" w:rsidRPr="00453A57" w:rsidRDefault="00834955" w:rsidP="00453A57">
            <w:pPr>
              <w:pStyle w:val="TableTextLeft"/>
              <w:jc w:val="center"/>
              <w:rPr>
                <w:rFonts w:cs="Arial"/>
                <w:b/>
                <w:bCs/>
                <w:sz w:val="32"/>
                <w:szCs w:val="32"/>
              </w:rPr>
            </w:pPr>
            <w:r w:rsidRPr="00453A57">
              <w:rPr>
                <w:rFonts w:cs="Arial"/>
                <w:b/>
                <w:bCs/>
                <w:sz w:val="32"/>
                <w:szCs w:val="32"/>
                <w:shd w:val="clear" w:color="auto" w:fill="FFFFFF"/>
              </w:rPr>
              <w:t>3</w:t>
            </w:r>
          </w:p>
        </w:tc>
        <w:tc>
          <w:tcPr>
            <w:tcW w:w="1260" w:type="dxa"/>
            <w:tcBorders>
              <w:bottom w:val="single" w:sz="2" w:space="0" w:color="auto"/>
            </w:tcBorders>
          </w:tcPr>
          <w:p w14:paraId="02F98333" w14:textId="1454112A" w:rsidR="7E0DE04E" w:rsidRPr="00453A57" w:rsidRDefault="00C22CDE" w:rsidP="00453A57">
            <w:pPr>
              <w:pStyle w:val="TableTextLeft"/>
              <w:jc w:val="center"/>
              <w:rPr>
                <w:rFonts w:cs="Arial"/>
                <w:b/>
                <w:bCs/>
                <w:sz w:val="32"/>
                <w:szCs w:val="32"/>
              </w:rPr>
            </w:pPr>
            <w:r>
              <w:rPr>
                <w:rFonts w:cs="Arial"/>
                <w:b/>
                <w:bCs/>
                <w:sz w:val="32"/>
                <w:szCs w:val="32"/>
              </w:rPr>
              <w:t>7</w:t>
            </w:r>
          </w:p>
        </w:tc>
      </w:tr>
      <w:tr w:rsidR="009252D5" w:rsidRPr="00E07195" w14:paraId="2FA416D9" w14:textId="23E1EE15" w:rsidTr="25F521CE">
        <w:tc>
          <w:tcPr>
            <w:tcW w:w="1847" w:type="dxa"/>
            <w:vMerge w:val="restart"/>
            <w:tcBorders>
              <w:top w:val="single" w:sz="2" w:space="0" w:color="auto"/>
            </w:tcBorders>
            <w:shd w:val="clear" w:color="auto" w:fill="FEEFD3" w:themeFill="accent2" w:themeFillTint="33"/>
          </w:tcPr>
          <w:p w14:paraId="50615CB3" w14:textId="079745FF" w:rsidR="003B666F" w:rsidRPr="00E07195" w:rsidRDefault="003B666F" w:rsidP="009252D5">
            <w:pPr>
              <w:pStyle w:val="TableHeadingLeft"/>
              <w:rPr>
                <w:rFonts w:cs="Arial"/>
                <w:szCs w:val="20"/>
              </w:rPr>
            </w:pPr>
            <w:r w:rsidRPr="00E07195">
              <w:rPr>
                <w:rFonts w:cs="Arial"/>
                <w:szCs w:val="20"/>
              </w:rPr>
              <w:lastRenderedPageBreak/>
              <w:t>5:</w:t>
            </w:r>
          </w:p>
          <w:p w14:paraId="356C40A9" w14:textId="735CB4B6" w:rsidR="003B666F" w:rsidRPr="00E07195" w:rsidRDefault="003B666F" w:rsidP="009252D5">
            <w:pPr>
              <w:pStyle w:val="TableHeadingLeft"/>
              <w:rPr>
                <w:rFonts w:cs="Arial"/>
                <w:szCs w:val="20"/>
              </w:rPr>
            </w:pPr>
            <w:r w:rsidRPr="00E07195">
              <w:rPr>
                <w:rFonts w:cs="Arial"/>
                <w:szCs w:val="20"/>
              </w:rPr>
              <w:t>Family participation and control of decision</w:t>
            </w:r>
            <w:r w:rsidR="00E453E1">
              <w:rPr>
                <w:rFonts w:cs="Arial"/>
                <w:szCs w:val="20"/>
              </w:rPr>
              <w:t>-</w:t>
            </w:r>
            <w:r w:rsidRPr="00E07195">
              <w:rPr>
                <w:rFonts w:cs="Arial"/>
                <w:szCs w:val="20"/>
              </w:rPr>
              <w:t>making</w:t>
            </w:r>
          </w:p>
        </w:tc>
        <w:tc>
          <w:tcPr>
            <w:tcW w:w="1928" w:type="dxa"/>
            <w:tcBorders>
              <w:top w:val="single" w:sz="2" w:space="0" w:color="auto"/>
            </w:tcBorders>
          </w:tcPr>
          <w:p w14:paraId="2F7C9A51" w14:textId="2FB07515" w:rsidR="003B666F" w:rsidRPr="00E07195" w:rsidRDefault="00466465" w:rsidP="009252D5">
            <w:pPr>
              <w:pStyle w:val="TableTextLeft"/>
              <w:rPr>
                <w:rFonts w:cs="Arial"/>
                <w:b/>
                <w:bCs/>
                <w:szCs w:val="20"/>
              </w:rPr>
            </w:pPr>
            <w:r w:rsidRPr="00E07195">
              <w:rPr>
                <w:rFonts w:cs="Arial"/>
                <w:b/>
                <w:bCs/>
                <w:szCs w:val="20"/>
              </w:rPr>
              <w:t xml:space="preserve">DCSSDS </w:t>
            </w:r>
            <w:r w:rsidR="003B666F" w:rsidRPr="00E07195">
              <w:rPr>
                <w:rFonts w:cs="Arial"/>
                <w:b/>
                <w:bCs/>
                <w:szCs w:val="20"/>
              </w:rPr>
              <w:t xml:space="preserve"> </w:t>
            </w:r>
          </w:p>
          <w:p w14:paraId="509605B5" w14:textId="77777777" w:rsidR="00466465" w:rsidRPr="00E07195" w:rsidRDefault="00466465" w:rsidP="009252D5">
            <w:pPr>
              <w:pStyle w:val="TableTextLeft"/>
              <w:rPr>
                <w:rFonts w:cs="Arial"/>
                <w:szCs w:val="20"/>
              </w:rPr>
            </w:pPr>
          </w:p>
          <w:p w14:paraId="14F971CF" w14:textId="1F88724F" w:rsidR="003B666F" w:rsidRPr="00E07195" w:rsidRDefault="003B666F" w:rsidP="009252D5">
            <w:pPr>
              <w:pStyle w:val="TableTextLeft"/>
              <w:rPr>
                <w:rFonts w:cs="Arial"/>
                <w:szCs w:val="20"/>
              </w:rPr>
            </w:pPr>
            <w:r w:rsidRPr="00E07195">
              <w:rPr>
                <w:rFonts w:cs="Arial"/>
                <w:szCs w:val="20"/>
              </w:rPr>
              <w:t>QATSICPP</w:t>
            </w:r>
          </w:p>
        </w:tc>
        <w:tc>
          <w:tcPr>
            <w:tcW w:w="3061" w:type="dxa"/>
            <w:tcBorders>
              <w:top w:val="single" w:sz="2" w:space="0" w:color="auto"/>
            </w:tcBorders>
          </w:tcPr>
          <w:p w14:paraId="1EBAD900" w14:textId="7572B4E6" w:rsidR="00573CFD" w:rsidRDefault="003A188F" w:rsidP="009252D5">
            <w:pPr>
              <w:pStyle w:val="TableTextLeft"/>
            </w:pPr>
            <w:r w:rsidRPr="00C57D2E">
              <w:rPr>
                <w:rFonts w:cs="Arial"/>
                <w:b/>
                <w:bCs/>
              </w:rPr>
              <w:t xml:space="preserve">5.1 </w:t>
            </w:r>
            <w:r w:rsidRPr="00C57D2E">
              <w:t>Increase investment in the F</w:t>
            </w:r>
            <w:r>
              <w:t>PP</w:t>
            </w:r>
            <w:r w:rsidRPr="00C57D2E">
              <w:t xml:space="preserve"> to embed family-led decision</w:t>
            </w:r>
            <w:r>
              <w:t>-</w:t>
            </w:r>
            <w:r w:rsidRPr="00C57D2E">
              <w:t>making across the child protection systems.</w:t>
            </w:r>
          </w:p>
          <w:p w14:paraId="4C92BF35" w14:textId="77777777" w:rsidR="003A188F" w:rsidRDefault="003A188F" w:rsidP="009252D5">
            <w:pPr>
              <w:pStyle w:val="TableTextLeft"/>
              <w:rPr>
                <w:rFonts w:cs="Arial"/>
                <w:b/>
                <w:bCs/>
                <w:szCs w:val="20"/>
              </w:rPr>
            </w:pPr>
          </w:p>
          <w:p w14:paraId="64965C77" w14:textId="7230F74D" w:rsidR="003B666F" w:rsidRPr="00E07195" w:rsidRDefault="003B666F" w:rsidP="009252D5">
            <w:pPr>
              <w:pStyle w:val="TableTextLeft"/>
              <w:rPr>
                <w:rFonts w:cs="Arial"/>
                <w:szCs w:val="20"/>
              </w:rPr>
            </w:pPr>
            <w:r w:rsidRPr="00E07195">
              <w:rPr>
                <w:rFonts w:cs="Arial"/>
                <w:b/>
                <w:bCs/>
                <w:szCs w:val="20"/>
              </w:rPr>
              <w:t>Timing:</w:t>
            </w:r>
            <w:r w:rsidRPr="00E07195">
              <w:rPr>
                <w:rFonts w:cs="Arial"/>
                <w:szCs w:val="20"/>
              </w:rPr>
              <w:t xml:space="preserve">  Years </w:t>
            </w:r>
            <w:r w:rsidR="00BA2B68" w:rsidRPr="00E07195">
              <w:rPr>
                <w:rFonts w:cs="Arial"/>
                <w:szCs w:val="20"/>
              </w:rPr>
              <w:t>2</w:t>
            </w:r>
            <w:r w:rsidRPr="00E07195">
              <w:rPr>
                <w:rFonts w:cs="Arial"/>
                <w:szCs w:val="20"/>
              </w:rPr>
              <w:t xml:space="preserve"> to 3 (202</w:t>
            </w:r>
            <w:r w:rsidR="00BA2B68" w:rsidRPr="00E07195">
              <w:rPr>
                <w:rFonts w:cs="Arial"/>
                <w:szCs w:val="20"/>
              </w:rPr>
              <w:t>4</w:t>
            </w:r>
            <w:r w:rsidR="00C96CC8">
              <w:rPr>
                <w:rFonts w:eastAsia="Calibri"/>
              </w:rPr>
              <w:t>–</w:t>
            </w:r>
            <w:r w:rsidRPr="00E07195">
              <w:rPr>
                <w:rFonts w:cs="Arial"/>
                <w:szCs w:val="20"/>
              </w:rPr>
              <w:t>202</w:t>
            </w:r>
            <w:r w:rsidR="00E54FFD" w:rsidRPr="00E07195">
              <w:rPr>
                <w:rFonts w:cs="Arial"/>
                <w:szCs w:val="20"/>
              </w:rPr>
              <w:t>5</w:t>
            </w:r>
            <w:r w:rsidRPr="00E07195">
              <w:rPr>
                <w:rFonts w:cs="Arial"/>
                <w:szCs w:val="20"/>
              </w:rPr>
              <w:t>)</w:t>
            </w:r>
          </w:p>
          <w:p w14:paraId="408FC095" w14:textId="2BD148EE" w:rsidR="00E54FFD" w:rsidRPr="00E07195" w:rsidRDefault="00E54FFD" w:rsidP="009252D5">
            <w:pPr>
              <w:pStyle w:val="TableTextLeft"/>
              <w:rPr>
                <w:rFonts w:cs="Arial"/>
                <w:szCs w:val="20"/>
              </w:rPr>
            </w:pPr>
            <w:r w:rsidRPr="00E07195">
              <w:rPr>
                <w:rFonts w:cs="Arial"/>
                <w:szCs w:val="20"/>
              </w:rPr>
              <w:t>*Ongoing implementation in Breaking Cycles Action Plans 2 and 3 (2026</w:t>
            </w:r>
            <w:r w:rsidR="00C96CC8">
              <w:rPr>
                <w:rFonts w:eastAsia="Calibri"/>
              </w:rPr>
              <w:t>–</w:t>
            </w:r>
            <w:r w:rsidRPr="00E07195">
              <w:rPr>
                <w:rFonts w:cs="Arial"/>
                <w:szCs w:val="20"/>
              </w:rPr>
              <w:t>2031)</w:t>
            </w:r>
          </w:p>
        </w:tc>
        <w:tc>
          <w:tcPr>
            <w:tcW w:w="3685" w:type="dxa"/>
            <w:tcBorders>
              <w:top w:val="single" w:sz="2" w:space="0" w:color="auto"/>
            </w:tcBorders>
          </w:tcPr>
          <w:p w14:paraId="2EB083EA" w14:textId="7649153A" w:rsidR="003B666F" w:rsidRPr="00E07195" w:rsidRDefault="003B666F" w:rsidP="009252D5">
            <w:pPr>
              <w:pStyle w:val="TableTextLeft"/>
              <w:rPr>
                <w:rFonts w:cs="Arial"/>
                <w:szCs w:val="20"/>
              </w:rPr>
            </w:pPr>
            <w:r w:rsidRPr="00E07195">
              <w:rPr>
                <w:rFonts w:cs="Arial"/>
                <w:b/>
                <w:bCs/>
                <w:szCs w:val="20"/>
              </w:rPr>
              <w:t>D:</w:t>
            </w:r>
            <w:r w:rsidRPr="00E07195">
              <w:rPr>
                <w:rFonts w:cs="Arial"/>
                <w:szCs w:val="20"/>
              </w:rPr>
              <w:t xml:space="preserve">  Evaluation report on the </w:t>
            </w:r>
            <w:r w:rsidR="009C71C5" w:rsidRPr="00E07195">
              <w:rPr>
                <w:rFonts w:cs="Arial"/>
                <w:szCs w:val="20"/>
              </w:rPr>
              <w:t>FPP.</w:t>
            </w:r>
            <w:r w:rsidRPr="00E07195">
              <w:rPr>
                <w:rFonts w:cs="Arial"/>
                <w:szCs w:val="20"/>
              </w:rPr>
              <w:t xml:space="preserve"> </w:t>
            </w:r>
          </w:p>
          <w:p w14:paraId="3C909A14" w14:textId="59EC7EFC" w:rsidR="003B666F" w:rsidRPr="00E07195" w:rsidRDefault="003B666F" w:rsidP="009252D5">
            <w:pPr>
              <w:pStyle w:val="TableTextLeft"/>
              <w:rPr>
                <w:rFonts w:cs="Arial"/>
                <w:szCs w:val="20"/>
              </w:rPr>
            </w:pPr>
            <w:r w:rsidRPr="00E07195">
              <w:rPr>
                <w:rFonts w:cs="Arial"/>
                <w:b/>
                <w:bCs/>
                <w:szCs w:val="20"/>
              </w:rPr>
              <w:t>D:</w:t>
            </w:r>
            <w:r w:rsidRPr="00E07195">
              <w:rPr>
                <w:rFonts w:cs="Arial"/>
                <w:szCs w:val="20"/>
              </w:rPr>
              <w:t xml:space="preserve">  Implementation plan to expand access to family-led decision</w:t>
            </w:r>
            <w:r w:rsidR="00AC3263">
              <w:rPr>
                <w:rFonts w:cs="Arial"/>
                <w:szCs w:val="20"/>
              </w:rPr>
              <w:t>-</w:t>
            </w:r>
            <w:r w:rsidRPr="00E07195">
              <w:rPr>
                <w:rFonts w:cs="Arial"/>
                <w:szCs w:val="20"/>
              </w:rPr>
              <w:t>making through the FPP</w:t>
            </w:r>
            <w:r w:rsidR="00CA7964">
              <w:rPr>
                <w:rFonts w:cs="Arial"/>
                <w:szCs w:val="20"/>
              </w:rPr>
              <w:t>.</w:t>
            </w:r>
          </w:p>
          <w:p w14:paraId="7BDCA3AA" w14:textId="77777777" w:rsidR="003B666F" w:rsidRPr="00E07195" w:rsidRDefault="003B666F" w:rsidP="009252D5">
            <w:pPr>
              <w:pStyle w:val="TableTextLeft"/>
              <w:rPr>
                <w:rFonts w:cs="Arial"/>
                <w:szCs w:val="20"/>
              </w:rPr>
            </w:pPr>
          </w:p>
          <w:p w14:paraId="2F077B90" w14:textId="47921E12" w:rsidR="003B666F" w:rsidRPr="00E07195" w:rsidRDefault="003B666F" w:rsidP="009252D5">
            <w:pPr>
              <w:pStyle w:val="TableTextLeft"/>
              <w:rPr>
                <w:rFonts w:cs="Arial"/>
                <w:szCs w:val="20"/>
              </w:rPr>
            </w:pPr>
            <w:r w:rsidRPr="00E07195">
              <w:rPr>
                <w:rFonts w:cs="Arial"/>
                <w:b/>
                <w:bCs/>
                <w:szCs w:val="20"/>
              </w:rPr>
              <w:t>SI</w:t>
            </w:r>
            <w:r w:rsidRPr="00360692">
              <w:rPr>
                <w:rFonts w:cs="Arial"/>
                <w:szCs w:val="20"/>
              </w:rPr>
              <w:t xml:space="preserve">:  </w:t>
            </w:r>
            <w:r w:rsidR="00360692">
              <w:rPr>
                <w:rFonts w:cs="Arial"/>
                <w:szCs w:val="20"/>
              </w:rPr>
              <w:t>$</w:t>
            </w:r>
            <w:r w:rsidR="00360692" w:rsidRPr="00360692">
              <w:rPr>
                <w:rFonts w:cs="Arial"/>
                <w:szCs w:val="20"/>
              </w:rPr>
              <w:t>20 Million</w:t>
            </w:r>
            <w:r w:rsidRPr="00360692">
              <w:rPr>
                <w:rFonts w:cs="Arial"/>
                <w:szCs w:val="20"/>
              </w:rPr>
              <w:t xml:space="preserve"> </w:t>
            </w:r>
            <w:r w:rsidRPr="00E07195">
              <w:rPr>
                <w:rFonts w:cs="Arial"/>
                <w:szCs w:val="20"/>
              </w:rPr>
              <w:t>new funding invested in FPP for family-led decision</w:t>
            </w:r>
            <w:r w:rsidR="00E453E1">
              <w:rPr>
                <w:rFonts w:cs="Arial"/>
                <w:szCs w:val="20"/>
              </w:rPr>
              <w:t>-</w:t>
            </w:r>
            <w:r w:rsidRPr="00E07195">
              <w:rPr>
                <w:rFonts w:cs="Arial"/>
                <w:szCs w:val="20"/>
              </w:rPr>
              <w:t>making</w:t>
            </w:r>
            <w:r w:rsidR="00360692">
              <w:rPr>
                <w:rFonts w:cs="Arial"/>
                <w:szCs w:val="20"/>
              </w:rPr>
              <w:t xml:space="preserve"> over four years</w:t>
            </w:r>
            <w:r w:rsidR="009C71C5" w:rsidRPr="00E07195">
              <w:rPr>
                <w:rFonts w:cs="Arial"/>
                <w:szCs w:val="20"/>
              </w:rPr>
              <w:t>.</w:t>
            </w:r>
          </w:p>
          <w:p w14:paraId="65DBD850" w14:textId="3026FEE8" w:rsidR="003B666F" w:rsidRPr="00E07195" w:rsidRDefault="003B666F" w:rsidP="009252D5">
            <w:pPr>
              <w:pStyle w:val="TableTextLeft"/>
              <w:rPr>
                <w:rFonts w:cs="Arial"/>
                <w:szCs w:val="20"/>
              </w:rPr>
            </w:pPr>
            <w:r w:rsidRPr="00E07195">
              <w:rPr>
                <w:rFonts w:cs="Arial"/>
                <w:b/>
                <w:bCs/>
                <w:szCs w:val="20"/>
              </w:rPr>
              <w:t>SI:</w:t>
            </w:r>
            <w:r w:rsidRPr="00E07195">
              <w:rPr>
                <w:rFonts w:cs="Arial"/>
                <w:szCs w:val="20"/>
              </w:rPr>
              <w:t xml:space="preserve">  FPP capacity to provide family-led decision</w:t>
            </w:r>
            <w:r w:rsidR="00E453E1">
              <w:rPr>
                <w:rFonts w:cs="Arial"/>
                <w:szCs w:val="20"/>
              </w:rPr>
              <w:t>-</w:t>
            </w:r>
            <w:r w:rsidRPr="00E07195">
              <w:rPr>
                <w:rFonts w:cs="Arial"/>
                <w:szCs w:val="20"/>
              </w:rPr>
              <w:t>making at all points along the child protection continuum</w:t>
            </w:r>
            <w:r w:rsidR="009C71C5" w:rsidRPr="00E07195">
              <w:rPr>
                <w:rFonts w:cs="Arial"/>
                <w:szCs w:val="20"/>
              </w:rPr>
              <w:t>.</w:t>
            </w:r>
          </w:p>
        </w:tc>
        <w:tc>
          <w:tcPr>
            <w:tcW w:w="3118" w:type="dxa"/>
            <w:tcBorders>
              <w:top w:val="single" w:sz="2" w:space="0" w:color="auto"/>
            </w:tcBorders>
          </w:tcPr>
          <w:p w14:paraId="2C6355B4" w14:textId="2B0C3DF8" w:rsidR="003B666F" w:rsidRPr="007C1C61" w:rsidRDefault="003B666F" w:rsidP="009252D5">
            <w:pPr>
              <w:pStyle w:val="TableTextLeft"/>
              <w:rPr>
                <w:rFonts w:cs="Arial"/>
                <w:szCs w:val="20"/>
              </w:rPr>
            </w:pPr>
            <w:r w:rsidRPr="00996933">
              <w:rPr>
                <w:rFonts w:cs="Arial"/>
                <w:b/>
                <w:bCs/>
                <w:szCs w:val="20"/>
              </w:rPr>
              <w:t>O:</w:t>
            </w:r>
            <w:r w:rsidRPr="007C1C61">
              <w:rPr>
                <w:rFonts w:cs="Arial"/>
                <w:szCs w:val="20"/>
              </w:rPr>
              <w:t xml:space="preserve">  The </w:t>
            </w:r>
            <w:r w:rsidR="009C71C5" w:rsidRPr="007C1C61">
              <w:rPr>
                <w:rFonts w:cs="Arial"/>
                <w:szCs w:val="20"/>
              </w:rPr>
              <w:t>ATSICCO</w:t>
            </w:r>
            <w:r w:rsidRPr="007C1C61">
              <w:rPr>
                <w:rFonts w:cs="Arial"/>
                <w:szCs w:val="20"/>
              </w:rPr>
              <w:t xml:space="preserve"> sector is supported to strengthen its capacity and capability to deliver high quality services to Aboriginal and Torres Strait Islander communities</w:t>
            </w:r>
            <w:r w:rsidR="009C71C5" w:rsidRPr="007C1C61">
              <w:rPr>
                <w:rFonts w:cs="Arial"/>
                <w:szCs w:val="20"/>
              </w:rPr>
              <w:t>.</w:t>
            </w:r>
          </w:p>
          <w:p w14:paraId="3E065A24" w14:textId="248B46BE" w:rsidR="003B666F" w:rsidRPr="007C1C61" w:rsidRDefault="003B666F" w:rsidP="009252D5">
            <w:pPr>
              <w:pStyle w:val="TableTextLeft"/>
              <w:rPr>
                <w:rFonts w:cs="Arial"/>
                <w:szCs w:val="20"/>
              </w:rPr>
            </w:pPr>
            <w:r w:rsidRPr="00996933">
              <w:rPr>
                <w:rFonts w:cs="Arial"/>
                <w:b/>
                <w:bCs/>
                <w:szCs w:val="20"/>
              </w:rPr>
              <w:t>O:</w:t>
            </w:r>
            <w:r w:rsidRPr="007C1C61">
              <w:rPr>
                <w:rFonts w:cs="Arial"/>
                <w:szCs w:val="20"/>
              </w:rPr>
              <w:t xml:space="preserve">  Government agencies and service providers change services and systems to prioritise community and family-led decision</w:t>
            </w:r>
            <w:r w:rsidR="00E453E1">
              <w:rPr>
                <w:rFonts w:cs="Arial"/>
                <w:szCs w:val="20"/>
              </w:rPr>
              <w:t>-</w:t>
            </w:r>
            <w:r w:rsidRPr="007C1C61">
              <w:rPr>
                <w:rFonts w:cs="Arial"/>
                <w:szCs w:val="20"/>
              </w:rPr>
              <w:t>making</w:t>
            </w:r>
            <w:r w:rsidR="009C71C5" w:rsidRPr="007C1C61">
              <w:rPr>
                <w:rFonts w:cs="Arial"/>
                <w:szCs w:val="20"/>
              </w:rPr>
              <w:t>.</w:t>
            </w:r>
          </w:p>
        </w:tc>
        <w:tc>
          <w:tcPr>
            <w:tcW w:w="3685" w:type="dxa"/>
            <w:tcBorders>
              <w:top w:val="single" w:sz="2" w:space="0" w:color="auto"/>
            </w:tcBorders>
          </w:tcPr>
          <w:p w14:paraId="54BD1E2A" w14:textId="62EEB8D1" w:rsidR="003B666F" w:rsidRPr="00E07195" w:rsidRDefault="003B666F" w:rsidP="009252D5">
            <w:pPr>
              <w:pStyle w:val="TableTextLeft"/>
              <w:rPr>
                <w:rFonts w:cs="Arial"/>
                <w:szCs w:val="20"/>
              </w:rPr>
            </w:pPr>
            <w:r w:rsidRPr="00E07195">
              <w:rPr>
                <w:rFonts w:cs="Arial"/>
                <w:szCs w:val="20"/>
              </w:rPr>
              <w:t>FPP is highly valued as a mechanism for families to have voice and genuine participation in child protection decision</w:t>
            </w:r>
            <w:r w:rsidR="00E453E1">
              <w:rPr>
                <w:rFonts w:cs="Arial"/>
                <w:szCs w:val="20"/>
              </w:rPr>
              <w:t>-</w:t>
            </w:r>
            <w:r w:rsidRPr="00E07195">
              <w:rPr>
                <w:rFonts w:cs="Arial"/>
                <w:szCs w:val="20"/>
              </w:rPr>
              <w:t xml:space="preserve">making. Self-determination could be further enabled by scaling up the program to ensure Aboriginal and Torres Strait Islander family-led decision making is enabled at all points along the child protection continuum. </w:t>
            </w:r>
          </w:p>
          <w:p w14:paraId="29F53F37" w14:textId="77777777" w:rsidR="00CA7964" w:rsidRDefault="00CA7964" w:rsidP="009252D5">
            <w:pPr>
              <w:pStyle w:val="TableTextLeft"/>
              <w:rPr>
                <w:rFonts w:cs="Arial"/>
                <w:szCs w:val="20"/>
              </w:rPr>
            </w:pPr>
          </w:p>
          <w:p w14:paraId="14BCF232" w14:textId="78B09947" w:rsidR="003B666F" w:rsidRPr="00E07195" w:rsidRDefault="003B666F" w:rsidP="009252D5">
            <w:pPr>
              <w:pStyle w:val="TableTextLeft"/>
              <w:rPr>
                <w:rFonts w:cs="Arial"/>
                <w:szCs w:val="20"/>
              </w:rPr>
            </w:pPr>
            <w:r w:rsidRPr="00E07195">
              <w:rPr>
                <w:rFonts w:cs="Arial"/>
                <w:szCs w:val="20"/>
              </w:rPr>
              <w:t>This action aligns with Recommendation 5 of the Family Matters Report 2022.</w:t>
            </w:r>
          </w:p>
        </w:tc>
        <w:tc>
          <w:tcPr>
            <w:tcW w:w="1627" w:type="dxa"/>
            <w:tcBorders>
              <w:top w:val="single" w:sz="2" w:space="0" w:color="auto"/>
            </w:tcBorders>
          </w:tcPr>
          <w:p w14:paraId="7E8805DF" w14:textId="6E4C56F3" w:rsidR="003B666F" w:rsidRPr="00E07195" w:rsidRDefault="009A623A" w:rsidP="009252D5">
            <w:pPr>
              <w:pStyle w:val="TableTextLeft"/>
              <w:rPr>
                <w:rFonts w:cs="Arial"/>
                <w:szCs w:val="20"/>
              </w:rPr>
            </w:pPr>
            <w:r w:rsidRPr="00E07195">
              <w:rPr>
                <w:rFonts w:cs="Arial"/>
                <w:noProof/>
                <w:szCs w:val="20"/>
              </w:rPr>
              <w:drawing>
                <wp:inline distT="0" distB="0" distL="0" distR="0" wp14:anchorId="01B09A9F" wp14:editId="490625AB">
                  <wp:extent cx="340408" cy="333375"/>
                  <wp:effectExtent l="0" t="0" r="2540" b="0"/>
                  <wp:docPr id="61" name="Picture 61" descr="Building block two - Aboriginal and Torres Strait Islander peoples and organisations participate in and have control over decisions that affect their children  &#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Building block two - Aboriginal and Torres Strait Islander peoples and organisations participate in and have control over decisions that affect their children  &#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5371" cy="338235"/>
                          </a:xfrm>
                          <a:prstGeom prst="rect">
                            <a:avLst/>
                          </a:prstGeom>
                        </pic:spPr>
                      </pic:pic>
                    </a:graphicData>
                  </a:graphic>
                </wp:inline>
              </w:drawing>
            </w:r>
          </w:p>
        </w:tc>
        <w:tc>
          <w:tcPr>
            <w:tcW w:w="1197" w:type="dxa"/>
            <w:tcBorders>
              <w:top w:val="single" w:sz="2" w:space="0" w:color="auto"/>
            </w:tcBorders>
          </w:tcPr>
          <w:p w14:paraId="3CE28EEF" w14:textId="1B6FD630" w:rsidR="003B666F" w:rsidRPr="00453A57" w:rsidRDefault="00834955" w:rsidP="00453A57">
            <w:pPr>
              <w:pStyle w:val="TableTextLeft"/>
              <w:jc w:val="center"/>
              <w:rPr>
                <w:rFonts w:cs="Arial"/>
                <w:b/>
                <w:bCs/>
                <w:sz w:val="32"/>
                <w:szCs w:val="32"/>
              </w:rPr>
            </w:pPr>
            <w:r w:rsidRPr="00453A57">
              <w:rPr>
                <w:rFonts w:cs="Arial"/>
                <w:b/>
                <w:bCs/>
                <w:sz w:val="32"/>
                <w:szCs w:val="32"/>
                <w:shd w:val="clear" w:color="auto" w:fill="FFFFFF"/>
              </w:rPr>
              <w:t>1</w:t>
            </w:r>
            <w:r w:rsidRPr="00453A57">
              <w:rPr>
                <w:rFonts w:cs="Arial"/>
                <w:b/>
                <w:bCs/>
                <w:sz w:val="32"/>
                <w:szCs w:val="32"/>
              </w:rPr>
              <w:t>,</w:t>
            </w:r>
            <w:r w:rsidRPr="00453A57">
              <w:rPr>
                <w:rFonts w:cs="Arial"/>
                <w:b/>
                <w:bCs/>
                <w:sz w:val="32"/>
                <w:szCs w:val="32"/>
                <w:shd w:val="clear" w:color="auto" w:fill="FFFFFF"/>
              </w:rPr>
              <w:t>2</w:t>
            </w:r>
          </w:p>
        </w:tc>
        <w:tc>
          <w:tcPr>
            <w:tcW w:w="1260" w:type="dxa"/>
            <w:tcBorders>
              <w:top w:val="single" w:sz="2" w:space="0" w:color="auto"/>
            </w:tcBorders>
          </w:tcPr>
          <w:p w14:paraId="2D7772FF" w14:textId="611F04F9" w:rsidR="003B666F" w:rsidRPr="00453A57" w:rsidRDefault="00984024" w:rsidP="00453A57">
            <w:pPr>
              <w:pStyle w:val="TableTextLeft"/>
              <w:jc w:val="center"/>
              <w:rPr>
                <w:rFonts w:cs="Arial"/>
                <w:b/>
                <w:bCs/>
                <w:sz w:val="32"/>
                <w:szCs w:val="32"/>
              </w:rPr>
            </w:pPr>
            <w:r w:rsidRPr="00453A57">
              <w:rPr>
                <w:rFonts w:cs="Arial"/>
                <w:b/>
                <w:bCs/>
                <w:sz w:val="32"/>
                <w:szCs w:val="32"/>
              </w:rPr>
              <w:t>2, 5</w:t>
            </w:r>
          </w:p>
        </w:tc>
      </w:tr>
      <w:tr w:rsidR="009252D5" w:rsidRPr="00E07195" w14:paraId="687D0778" w14:textId="1259F041" w:rsidTr="25F521CE">
        <w:trPr>
          <w:trHeight w:val="300"/>
        </w:trPr>
        <w:tc>
          <w:tcPr>
            <w:tcW w:w="1847" w:type="dxa"/>
            <w:vMerge/>
          </w:tcPr>
          <w:p w14:paraId="6D0EA21C" w14:textId="77777777" w:rsidR="003B666F" w:rsidRPr="00E07195" w:rsidRDefault="003B666F" w:rsidP="009252D5">
            <w:pPr>
              <w:pStyle w:val="TableHeadingLeft"/>
              <w:rPr>
                <w:rFonts w:cs="Arial"/>
                <w:szCs w:val="20"/>
              </w:rPr>
            </w:pPr>
          </w:p>
        </w:tc>
        <w:tc>
          <w:tcPr>
            <w:tcW w:w="1928" w:type="dxa"/>
            <w:tcBorders>
              <w:bottom w:val="single" w:sz="12" w:space="0" w:color="auto"/>
            </w:tcBorders>
          </w:tcPr>
          <w:p w14:paraId="5D55590E" w14:textId="23239EC8" w:rsidR="003B666F" w:rsidRPr="00E07195" w:rsidRDefault="00466465" w:rsidP="009252D5">
            <w:pPr>
              <w:pStyle w:val="TableTextLeft"/>
              <w:rPr>
                <w:rFonts w:cs="Arial"/>
                <w:b/>
                <w:bCs/>
                <w:szCs w:val="20"/>
              </w:rPr>
            </w:pPr>
            <w:r w:rsidRPr="00E07195">
              <w:rPr>
                <w:rFonts w:cs="Arial"/>
                <w:b/>
                <w:bCs/>
                <w:szCs w:val="20"/>
              </w:rPr>
              <w:t xml:space="preserve">DCSSDS </w:t>
            </w:r>
            <w:r w:rsidR="003B666F" w:rsidRPr="00E07195">
              <w:rPr>
                <w:rFonts w:cs="Arial"/>
                <w:b/>
                <w:bCs/>
                <w:szCs w:val="20"/>
              </w:rPr>
              <w:t>/ QATSICPP</w:t>
            </w:r>
          </w:p>
          <w:p w14:paraId="288F36D9" w14:textId="77777777" w:rsidR="00466465" w:rsidRPr="00E07195" w:rsidRDefault="00466465" w:rsidP="009252D5">
            <w:pPr>
              <w:pStyle w:val="TableTextLeft"/>
              <w:rPr>
                <w:rFonts w:cs="Arial"/>
                <w:szCs w:val="20"/>
              </w:rPr>
            </w:pPr>
          </w:p>
          <w:p w14:paraId="656E00FC" w14:textId="787D9F3D" w:rsidR="003B666F" w:rsidRPr="00E07195" w:rsidRDefault="003B666F" w:rsidP="009252D5">
            <w:pPr>
              <w:pStyle w:val="TableTextLeft"/>
              <w:rPr>
                <w:rFonts w:cs="Arial"/>
                <w:szCs w:val="20"/>
              </w:rPr>
            </w:pPr>
            <w:r w:rsidRPr="00E07195">
              <w:rPr>
                <w:rFonts w:cs="Arial"/>
                <w:szCs w:val="20"/>
              </w:rPr>
              <w:t>ATSICCOs</w:t>
            </w:r>
          </w:p>
        </w:tc>
        <w:tc>
          <w:tcPr>
            <w:tcW w:w="3061" w:type="dxa"/>
            <w:tcBorders>
              <w:bottom w:val="single" w:sz="12" w:space="0" w:color="auto"/>
            </w:tcBorders>
          </w:tcPr>
          <w:p w14:paraId="07A011FF" w14:textId="77777777" w:rsidR="003A188F" w:rsidRPr="00C57D2E" w:rsidRDefault="003A188F" w:rsidP="003A188F">
            <w:pPr>
              <w:pStyle w:val="TableTextLeft"/>
              <w:rPr>
                <w:rFonts w:cs="Arial"/>
              </w:rPr>
            </w:pPr>
            <w:r w:rsidRPr="00C57D2E">
              <w:rPr>
                <w:rFonts w:cs="Arial"/>
                <w:b/>
                <w:bCs/>
              </w:rPr>
              <w:t xml:space="preserve">5.2 </w:t>
            </w:r>
            <w:r w:rsidRPr="00C57D2E">
              <w:rPr>
                <w:rFonts w:cs="Arial"/>
              </w:rPr>
              <w:t xml:space="preserve">Develop, resource, implement and evaluate the </w:t>
            </w:r>
            <w:r w:rsidRPr="00F866BC">
              <w:rPr>
                <w:rFonts w:cs="Arial"/>
                <w:i/>
                <w:iCs/>
              </w:rPr>
              <w:t>Family Caring for Family</w:t>
            </w:r>
            <w:r w:rsidRPr="00C57D2E">
              <w:rPr>
                <w:rFonts w:cs="Arial"/>
              </w:rPr>
              <w:t xml:space="preserve"> model of care to identify and support family to care for their children in community and maintain connections to family, </w:t>
            </w:r>
            <w:proofErr w:type="gramStart"/>
            <w:r w:rsidRPr="00C57D2E">
              <w:rPr>
                <w:rFonts w:cs="Arial"/>
              </w:rPr>
              <w:t>culture</w:t>
            </w:r>
            <w:proofErr w:type="gramEnd"/>
            <w:r w:rsidRPr="00C57D2E">
              <w:rPr>
                <w:rFonts w:cs="Arial"/>
              </w:rPr>
              <w:t xml:space="preserve"> and country.</w:t>
            </w:r>
          </w:p>
          <w:p w14:paraId="4C00B8F0" w14:textId="77777777" w:rsidR="00573CFD" w:rsidRDefault="00573CFD" w:rsidP="009252D5">
            <w:pPr>
              <w:pStyle w:val="TableTextLeft"/>
              <w:rPr>
                <w:rFonts w:cs="Arial"/>
                <w:b/>
                <w:bCs/>
                <w:szCs w:val="20"/>
              </w:rPr>
            </w:pPr>
          </w:p>
          <w:p w14:paraId="020AA34F" w14:textId="4C82A8EB" w:rsidR="003B666F" w:rsidRPr="00E07195" w:rsidRDefault="003B666F" w:rsidP="009252D5">
            <w:pPr>
              <w:pStyle w:val="TableTextLeft"/>
              <w:rPr>
                <w:rFonts w:cs="Arial"/>
                <w:szCs w:val="20"/>
              </w:rPr>
            </w:pPr>
            <w:r w:rsidRPr="00E07195">
              <w:rPr>
                <w:rFonts w:cs="Arial"/>
                <w:b/>
                <w:bCs/>
                <w:szCs w:val="20"/>
              </w:rPr>
              <w:t>Timing:</w:t>
            </w:r>
            <w:r w:rsidRPr="00E07195">
              <w:rPr>
                <w:rFonts w:cs="Arial"/>
                <w:szCs w:val="20"/>
              </w:rPr>
              <w:t xml:space="preserve">  Years 1 to 3 (2023</w:t>
            </w:r>
            <w:r w:rsidR="00C96CC8">
              <w:rPr>
                <w:rFonts w:eastAsia="Calibri"/>
              </w:rPr>
              <w:t>–</w:t>
            </w:r>
            <w:r w:rsidRPr="00E07195">
              <w:rPr>
                <w:rFonts w:cs="Arial"/>
                <w:szCs w:val="20"/>
              </w:rPr>
              <w:t>2025)</w:t>
            </w:r>
          </w:p>
          <w:p w14:paraId="4828A447" w14:textId="7E3363D9" w:rsidR="003B666F" w:rsidRPr="00E07195" w:rsidRDefault="003B666F" w:rsidP="009252D5">
            <w:pPr>
              <w:pStyle w:val="TableTextLeft"/>
              <w:rPr>
                <w:rFonts w:cs="Arial"/>
                <w:szCs w:val="20"/>
              </w:rPr>
            </w:pPr>
            <w:r w:rsidRPr="00E07195">
              <w:rPr>
                <w:rFonts w:cs="Arial"/>
                <w:szCs w:val="20"/>
              </w:rPr>
              <w:t>*Ongoing implementation in Breaking Cycles Action Plans 2 and 3 (2026</w:t>
            </w:r>
            <w:r w:rsidR="00C96CC8">
              <w:rPr>
                <w:rFonts w:eastAsia="Calibri"/>
              </w:rPr>
              <w:t>–</w:t>
            </w:r>
            <w:r w:rsidRPr="00E07195">
              <w:rPr>
                <w:rFonts w:cs="Arial"/>
                <w:szCs w:val="20"/>
              </w:rPr>
              <w:t>2031)</w:t>
            </w:r>
          </w:p>
        </w:tc>
        <w:tc>
          <w:tcPr>
            <w:tcW w:w="3685" w:type="dxa"/>
            <w:tcBorders>
              <w:bottom w:val="single" w:sz="12" w:space="0" w:color="auto"/>
            </w:tcBorders>
          </w:tcPr>
          <w:p w14:paraId="789F2D2B" w14:textId="5BD93E84" w:rsidR="00C92D6D" w:rsidRPr="00E07195" w:rsidRDefault="00C92D6D" w:rsidP="009252D5">
            <w:pPr>
              <w:pStyle w:val="TableTextLeft"/>
              <w:rPr>
                <w:rFonts w:cs="Arial"/>
                <w:szCs w:val="20"/>
              </w:rPr>
            </w:pPr>
            <w:r w:rsidRPr="00E07195">
              <w:rPr>
                <w:rFonts w:cs="Arial"/>
                <w:b/>
                <w:bCs/>
                <w:szCs w:val="20"/>
              </w:rPr>
              <w:t>D:</w:t>
            </w:r>
            <w:r w:rsidRPr="00E07195">
              <w:rPr>
                <w:rFonts w:cs="Arial"/>
                <w:szCs w:val="20"/>
              </w:rPr>
              <w:t xml:space="preserve">  Action research report on Family Caring for Family to document learnings and inform the future scale up of the model across Queensland</w:t>
            </w:r>
            <w:r w:rsidR="009C71C5" w:rsidRPr="00E07195">
              <w:rPr>
                <w:rFonts w:cs="Arial"/>
                <w:szCs w:val="20"/>
              </w:rPr>
              <w:t>.</w:t>
            </w:r>
          </w:p>
          <w:p w14:paraId="232A31FD" w14:textId="17469BF8" w:rsidR="00C92D6D" w:rsidRPr="00E07195" w:rsidRDefault="00C92D6D" w:rsidP="009252D5">
            <w:pPr>
              <w:pStyle w:val="TableTextLeft"/>
              <w:rPr>
                <w:rFonts w:cs="Arial"/>
                <w:szCs w:val="20"/>
              </w:rPr>
            </w:pPr>
            <w:r w:rsidRPr="00E07195">
              <w:rPr>
                <w:rFonts w:cs="Arial"/>
                <w:b/>
                <w:bCs/>
                <w:szCs w:val="20"/>
              </w:rPr>
              <w:t xml:space="preserve">D: </w:t>
            </w:r>
            <w:r w:rsidRPr="00E07195">
              <w:rPr>
                <w:rFonts w:cs="Arial"/>
                <w:szCs w:val="20"/>
              </w:rPr>
              <w:t>Implementation and evaluation plans to support the rollout of the Family Caring for Family model</w:t>
            </w:r>
            <w:r w:rsidR="009C71C5" w:rsidRPr="00E07195">
              <w:rPr>
                <w:rFonts w:cs="Arial"/>
                <w:szCs w:val="20"/>
              </w:rPr>
              <w:t>.</w:t>
            </w:r>
          </w:p>
          <w:p w14:paraId="45ABE4FD" w14:textId="7921AE6D" w:rsidR="003B666F" w:rsidRPr="00E07195" w:rsidRDefault="003B666F" w:rsidP="009252D5">
            <w:pPr>
              <w:pStyle w:val="TableTextLeft"/>
              <w:rPr>
                <w:rFonts w:cs="Arial"/>
                <w:szCs w:val="20"/>
              </w:rPr>
            </w:pPr>
            <w:r w:rsidRPr="00E07195">
              <w:rPr>
                <w:rFonts w:cs="Arial"/>
                <w:b/>
                <w:bCs/>
                <w:szCs w:val="20"/>
              </w:rPr>
              <w:t>D:</w:t>
            </w:r>
            <w:r w:rsidRPr="00E07195">
              <w:rPr>
                <w:rFonts w:cs="Arial"/>
                <w:szCs w:val="20"/>
              </w:rPr>
              <w:t xml:space="preserve">  </w:t>
            </w:r>
            <w:r w:rsidR="00360692" w:rsidRPr="00360692">
              <w:rPr>
                <w:rFonts w:cs="Arial"/>
                <w:bCs/>
                <w:szCs w:val="20"/>
              </w:rPr>
              <w:t xml:space="preserve">Two </w:t>
            </w:r>
            <w:r w:rsidRPr="00E07195">
              <w:rPr>
                <w:rFonts w:cs="Arial"/>
                <w:szCs w:val="20"/>
              </w:rPr>
              <w:t>trials of the Family Caring for Family model of care, designed and delivered in partnership with QATSICPP and ATSICCOs</w:t>
            </w:r>
            <w:r w:rsidR="00360692">
              <w:rPr>
                <w:rFonts w:cs="Arial"/>
                <w:szCs w:val="20"/>
              </w:rPr>
              <w:t>.</w:t>
            </w:r>
          </w:p>
          <w:p w14:paraId="3F2085A7" w14:textId="5DB436D3" w:rsidR="003B666F" w:rsidRPr="00E07195" w:rsidRDefault="003B666F" w:rsidP="009252D5">
            <w:pPr>
              <w:pStyle w:val="TableTextLeft"/>
              <w:rPr>
                <w:rFonts w:cs="Arial"/>
                <w:szCs w:val="20"/>
              </w:rPr>
            </w:pPr>
          </w:p>
          <w:p w14:paraId="5A3324BD" w14:textId="2DE42720" w:rsidR="003B666F" w:rsidRPr="00E07195" w:rsidRDefault="003B666F" w:rsidP="009252D5">
            <w:pPr>
              <w:pStyle w:val="TableTextLeft"/>
              <w:rPr>
                <w:rFonts w:cs="Arial"/>
                <w:szCs w:val="20"/>
              </w:rPr>
            </w:pPr>
            <w:r w:rsidRPr="00E07195">
              <w:rPr>
                <w:rFonts w:cs="Arial"/>
                <w:b/>
                <w:bCs/>
                <w:szCs w:val="20"/>
              </w:rPr>
              <w:t>SI:</w:t>
            </w:r>
            <w:r w:rsidRPr="00E07195">
              <w:rPr>
                <w:rFonts w:cs="Arial"/>
                <w:szCs w:val="20"/>
              </w:rPr>
              <w:t xml:space="preserve">  Proportion of Aboriginal and Torres Strait Islander children cared for by </w:t>
            </w:r>
            <w:r w:rsidR="00CD6583" w:rsidRPr="00E07195">
              <w:rPr>
                <w:rFonts w:cs="Arial"/>
                <w:szCs w:val="20"/>
              </w:rPr>
              <w:t>kin.</w:t>
            </w:r>
            <w:r w:rsidR="00505E9D" w:rsidRPr="00E07195">
              <w:rPr>
                <w:rFonts w:cs="Arial"/>
                <w:szCs w:val="20"/>
              </w:rPr>
              <w:t xml:space="preserve"> </w:t>
            </w:r>
          </w:p>
        </w:tc>
        <w:tc>
          <w:tcPr>
            <w:tcW w:w="3118" w:type="dxa"/>
            <w:tcBorders>
              <w:bottom w:val="single" w:sz="12" w:space="0" w:color="auto"/>
            </w:tcBorders>
          </w:tcPr>
          <w:p w14:paraId="69ECEE40" w14:textId="5D04F225" w:rsidR="003B666F" w:rsidRPr="007C1C61" w:rsidRDefault="003B666F" w:rsidP="009252D5">
            <w:pPr>
              <w:pStyle w:val="TableTextLeft"/>
              <w:rPr>
                <w:rFonts w:cs="Arial"/>
                <w:szCs w:val="20"/>
              </w:rPr>
            </w:pPr>
            <w:r w:rsidRPr="00996933">
              <w:rPr>
                <w:rFonts w:cs="Arial"/>
                <w:b/>
                <w:bCs/>
                <w:szCs w:val="20"/>
              </w:rPr>
              <w:t>O:</w:t>
            </w:r>
            <w:r w:rsidRPr="007C1C61">
              <w:rPr>
                <w:rFonts w:cs="Arial"/>
                <w:szCs w:val="20"/>
              </w:rPr>
              <w:t xml:space="preserve">  The </w:t>
            </w:r>
            <w:r w:rsidR="009C71C5" w:rsidRPr="007C1C61">
              <w:rPr>
                <w:rFonts w:cs="Arial"/>
                <w:szCs w:val="20"/>
              </w:rPr>
              <w:t>ATSICCO</w:t>
            </w:r>
            <w:r w:rsidRPr="007C1C61">
              <w:rPr>
                <w:rFonts w:cs="Arial"/>
                <w:szCs w:val="20"/>
              </w:rPr>
              <w:t xml:space="preserve"> sector is supported to strengthen its capacity and capability to deliver high quality services to Aboriginal and Torres Strait Islander communities</w:t>
            </w:r>
            <w:r w:rsidR="009C71C5" w:rsidRPr="007C1C61">
              <w:rPr>
                <w:rFonts w:cs="Arial"/>
                <w:szCs w:val="20"/>
              </w:rPr>
              <w:t>.</w:t>
            </w:r>
          </w:p>
          <w:p w14:paraId="7715448B" w14:textId="54208C9C" w:rsidR="003B666F" w:rsidRPr="007C1C61" w:rsidRDefault="003B666F" w:rsidP="009252D5">
            <w:pPr>
              <w:pStyle w:val="TableTextLeft"/>
              <w:rPr>
                <w:rFonts w:cs="Arial"/>
                <w:szCs w:val="20"/>
              </w:rPr>
            </w:pPr>
            <w:r w:rsidRPr="00996933">
              <w:rPr>
                <w:rFonts w:cs="Arial"/>
                <w:b/>
                <w:bCs/>
                <w:szCs w:val="20"/>
              </w:rPr>
              <w:t>O:</w:t>
            </w:r>
            <w:r w:rsidRPr="007C1C61">
              <w:rPr>
                <w:rFonts w:cs="Arial"/>
                <w:szCs w:val="20"/>
              </w:rPr>
              <w:t xml:space="preserve">  Government agencies and service </w:t>
            </w:r>
            <w:r w:rsidR="00CA7964" w:rsidRPr="007C1C61">
              <w:rPr>
                <w:rFonts w:cs="Arial"/>
                <w:szCs w:val="20"/>
              </w:rPr>
              <w:t>provider’s</w:t>
            </w:r>
            <w:r w:rsidRPr="007C1C61">
              <w:rPr>
                <w:rFonts w:cs="Arial"/>
                <w:szCs w:val="20"/>
              </w:rPr>
              <w:t xml:space="preserve"> change</w:t>
            </w:r>
            <w:r w:rsidR="009C71C5" w:rsidRPr="007C1C61">
              <w:rPr>
                <w:rFonts w:cs="Arial"/>
                <w:szCs w:val="20"/>
              </w:rPr>
              <w:t>.</w:t>
            </w:r>
            <w:r w:rsidRPr="007C1C61">
              <w:rPr>
                <w:rFonts w:cs="Arial"/>
                <w:szCs w:val="20"/>
              </w:rPr>
              <w:t xml:space="preserve"> services and systems to prioritise community and family-led decision</w:t>
            </w:r>
            <w:r w:rsidR="00E453E1">
              <w:rPr>
                <w:rFonts w:cs="Arial"/>
                <w:szCs w:val="20"/>
              </w:rPr>
              <w:t>-</w:t>
            </w:r>
            <w:r w:rsidRPr="007C1C61">
              <w:rPr>
                <w:rFonts w:cs="Arial"/>
                <w:szCs w:val="20"/>
              </w:rPr>
              <w:t>making</w:t>
            </w:r>
            <w:r w:rsidR="00161A62" w:rsidRPr="007C1C61">
              <w:rPr>
                <w:rFonts w:cs="Arial"/>
                <w:szCs w:val="20"/>
              </w:rPr>
              <w:t>.</w:t>
            </w:r>
          </w:p>
        </w:tc>
        <w:tc>
          <w:tcPr>
            <w:tcW w:w="3685" w:type="dxa"/>
            <w:tcBorders>
              <w:bottom w:val="single" w:sz="12" w:space="0" w:color="auto"/>
            </w:tcBorders>
          </w:tcPr>
          <w:p w14:paraId="28E6F0F3" w14:textId="6E342386" w:rsidR="003B666F" w:rsidRPr="00E07195" w:rsidRDefault="003B666F" w:rsidP="009252D5">
            <w:pPr>
              <w:pStyle w:val="TableTextLeft"/>
              <w:rPr>
                <w:rFonts w:cs="Arial"/>
                <w:szCs w:val="20"/>
              </w:rPr>
            </w:pPr>
            <w:r w:rsidRPr="00E07195">
              <w:rPr>
                <w:rFonts w:cs="Arial"/>
                <w:szCs w:val="20"/>
              </w:rPr>
              <w:t>In 2020-21, Queensland had the second lowest rate of children placed with Aboriginal and Torres Strait Islander family or kin of all states and territories. This suggests serious and systemic problems with implementing the ATSICPP and represents an unacceptable risk for Aboriginal and Torres Strait Islander children in</w:t>
            </w:r>
            <w:r w:rsidR="009C71C5" w:rsidRPr="00E07195">
              <w:rPr>
                <w:rFonts w:cs="Arial"/>
                <w:szCs w:val="20"/>
              </w:rPr>
              <w:t xml:space="preserve"> care</w:t>
            </w:r>
            <w:r w:rsidRPr="00E07195">
              <w:rPr>
                <w:rFonts w:cs="Arial"/>
                <w:szCs w:val="20"/>
              </w:rPr>
              <w:t xml:space="preserve"> maintaining connections with their family, </w:t>
            </w:r>
            <w:proofErr w:type="gramStart"/>
            <w:r w:rsidRPr="00E07195">
              <w:rPr>
                <w:rFonts w:cs="Arial"/>
                <w:szCs w:val="20"/>
              </w:rPr>
              <w:t>community</w:t>
            </w:r>
            <w:proofErr w:type="gramEnd"/>
            <w:r w:rsidRPr="00E07195">
              <w:rPr>
                <w:rFonts w:cs="Arial"/>
                <w:szCs w:val="20"/>
              </w:rPr>
              <w:t xml:space="preserve"> and culture.</w:t>
            </w:r>
          </w:p>
          <w:p w14:paraId="0EE4A83F" w14:textId="77777777" w:rsidR="00161A62" w:rsidRDefault="00161A62" w:rsidP="009252D5">
            <w:pPr>
              <w:pStyle w:val="TableTextLeft"/>
              <w:rPr>
                <w:rFonts w:cs="Arial"/>
                <w:szCs w:val="20"/>
              </w:rPr>
            </w:pPr>
          </w:p>
          <w:p w14:paraId="05F37931" w14:textId="50A00C50" w:rsidR="003B666F" w:rsidRPr="00E07195" w:rsidRDefault="003B666F" w:rsidP="009252D5">
            <w:pPr>
              <w:pStyle w:val="TableTextLeft"/>
              <w:rPr>
                <w:rFonts w:cs="Arial"/>
                <w:szCs w:val="20"/>
              </w:rPr>
            </w:pPr>
            <w:r w:rsidRPr="00E07195">
              <w:rPr>
                <w:rFonts w:cs="Arial"/>
                <w:szCs w:val="20"/>
              </w:rPr>
              <w:t xml:space="preserve">The Family Caring for Family model of care is a new approach to kinship care. </w:t>
            </w:r>
          </w:p>
        </w:tc>
        <w:tc>
          <w:tcPr>
            <w:tcW w:w="1627" w:type="dxa"/>
            <w:tcBorders>
              <w:bottom w:val="single" w:sz="12" w:space="0" w:color="auto"/>
            </w:tcBorders>
          </w:tcPr>
          <w:p w14:paraId="37623AEF" w14:textId="204DCC13" w:rsidR="007153E4" w:rsidRPr="00E07195" w:rsidRDefault="009A623A" w:rsidP="009252D5">
            <w:pPr>
              <w:pStyle w:val="TableTextLeft"/>
              <w:rPr>
                <w:rFonts w:cs="Arial"/>
                <w:szCs w:val="20"/>
              </w:rPr>
            </w:pPr>
            <w:r w:rsidRPr="00E07195">
              <w:rPr>
                <w:rFonts w:cs="Arial"/>
                <w:noProof/>
                <w:szCs w:val="20"/>
              </w:rPr>
              <w:drawing>
                <wp:inline distT="0" distB="0" distL="0" distR="0" wp14:anchorId="639AAEBF" wp14:editId="28E989AB">
                  <wp:extent cx="340408" cy="333375"/>
                  <wp:effectExtent l="0" t="0" r="2540" b="0"/>
                  <wp:docPr id="62" name="Picture 62" descr="Building block two - Aboriginal and Torres Strait Islander peoples and organisations participate in and have control over decisions that affect their children  &#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Building block two - Aboriginal and Torres Strait Islander peoples and organisations participate in and have control over decisions that affect their children  &#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5371" cy="338235"/>
                          </a:xfrm>
                          <a:prstGeom prst="rect">
                            <a:avLst/>
                          </a:prstGeom>
                        </pic:spPr>
                      </pic:pic>
                    </a:graphicData>
                  </a:graphic>
                </wp:inline>
              </w:drawing>
            </w:r>
          </w:p>
          <w:p w14:paraId="1FE9EC0A" w14:textId="01BC54BA" w:rsidR="003A7427" w:rsidRPr="00E07195" w:rsidRDefault="006F21BA" w:rsidP="009252D5">
            <w:pPr>
              <w:pStyle w:val="TableTextLeft"/>
              <w:rPr>
                <w:rFonts w:cs="Arial"/>
                <w:szCs w:val="20"/>
              </w:rPr>
            </w:pPr>
            <w:r w:rsidRPr="00E07195">
              <w:rPr>
                <w:rFonts w:cs="Arial"/>
                <w:noProof/>
                <w:szCs w:val="20"/>
              </w:rPr>
              <w:drawing>
                <wp:inline distT="0" distB="0" distL="0" distR="0" wp14:anchorId="310B2788" wp14:editId="142E086B">
                  <wp:extent cx="342429" cy="323215"/>
                  <wp:effectExtent l="0" t="0" r="635" b="635"/>
                  <wp:docPr id="43" name="Picture 43" descr="Building block three - Law, policy and practice in child and family welfare are culturally safe and responsi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Building block three - Law, policy and practice in child and family welfare are culturally safe and responsiv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8823" cy="338689"/>
                          </a:xfrm>
                          <a:prstGeom prst="rect">
                            <a:avLst/>
                          </a:prstGeom>
                        </pic:spPr>
                      </pic:pic>
                    </a:graphicData>
                  </a:graphic>
                </wp:inline>
              </w:drawing>
            </w:r>
          </w:p>
          <w:p w14:paraId="5CEF4B8F" w14:textId="58BB2791" w:rsidR="003B666F" w:rsidRPr="00E07195" w:rsidRDefault="003B666F" w:rsidP="009252D5">
            <w:pPr>
              <w:pStyle w:val="TableTextLeft"/>
              <w:rPr>
                <w:rFonts w:cs="Arial"/>
                <w:szCs w:val="20"/>
              </w:rPr>
            </w:pPr>
          </w:p>
        </w:tc>
        <w:tc>
          <w:tcPr>
            <w:tcW w:w="1197" w:type="dxa"/>
            <w:tcBorders>
              <w:bottom w:val="single" w:sz="12" w:space="0" w:color="auto"/>
            </w:tcBorders>
          </w:tcPr>
          <w:p w14:paraId="357D25D0" w14:textId="2C78BF16" w:rsidR="003B666F" w:rsidRPr="00453A57" w:rsidRDefault="00834955" w:rsidP="00453A57">
            <w:pPr>
              <w:pStyle w:val="TableTextLeft"/>
              <w:jc w:val="center"/>
              <w:rPr>
                <w:rFonts w:cs="Arial"/>
                <w:b/>
                <w:bCs/>
                <w:sz w:val="32"/>
                <w:szCs w:val="32"/>
              </w:rPr>
            </w:pPr>
            <w:r w:rsidRPr="00453A57">
              <w:rPr>
                <w:rFonts w:cs="Arial"/>
                <w:b/>
                <w:bCs/>
                <w:sz w:val="32"/>
                <w:szCs w:val="32"/>
                <w:shd w:val="clear" w:color="auto" w:fill="FFFFFF"/>
              </w:rPr>
              <w:t>1</w:t>
            </w:r>
            <w:r w:rsidRPr="00453A57">
              <w:rPr>
                <w:rFonts w:cs="Arial"/>
                <w:b/>
                <w:bCs/>
                <w:sz w:val="32"/>
                <w:szCs w:val="32"/>
              </w:rPr>
              <w:t>,</w:t>
            </w:r>
            <w:r w:rsidRPr="00453A57">
              <w:rPr>
                <w:rFonts w:cs="Arial"/>
                <w:b/>
                <w:bCs/>
                <w:sz w:val="32"/>
                <w:szCs w:val="32"/>
                <w:shd w:val="clear" w:color="auto" w:fill="FFFFFF"/>
              </w:rPr>
              <w:t>2</w:t>
            </w:r>
          </w:p>
        </w:tc>
        <w:tc>
          <w:tcPr>
            <w:tcW w:w="1260" w:type="dxa"/>
            <w:tcBorders>
              <w:bottom w:val="single" w:sz="12" w:space="0" w:color="auto"/>
            </w:tcBorders>
          </w:tcPr>
          <w:p w14:paraId="1F62BA91" w14:textId="539402E1" w:rsidR="003B666F" w:rsidRPr="00453A57" w:rsidRDefault="00984024" w:rsidP="00453A57">
            <w:pPr>
              <w:pStyle w:val="TableTextLeft"/>
              <w:jc w:val="center"/>
              <w:rPr>
                <w:rFonts w:cs="Arial"/>
                <w:b/>
                <w:bCs/>
                <w:sz w:val="32"/>
                <w:szCs w:val="32"/>
              </w:rPr>
            </w:pPr>
            <w:r w:rsidRPr="00453A57">
              <w:rPr>
                <w:rFonts w:cs="Arial"/>
                <w:b/>
                <w:bCs/>
                <w:sz w:val="32"/>
                <w:szCs w:val="32"/>
              </w:rPr>
              <w:t>2, 5</w:t>
            </w:r>
          </w:p>
        </w:tc>
      </w:tr>
      <w:tr w:rsidR="009252D5" w:rsidRPr="00E07195" w14:paraId="7BA72B4A" w14:textId="480F2726" w:rsidTr="25F521CE">
        <w:tc>
          <w:tcPr>
            <w:tcW w:w="1847" w:type="dxa"/>
            <w:vMerge w:val="restart"/>
            <w:tcBorders>
              <w:top w:val="single" w:sz="12" w:space="0" w:color="auto"/>
            </w:tcBorders>
            <w:shd w:val="clear" w:color="auto" w:fill="FEEFD3" w:themeFill="accent2" w:themeFillTint="33"/>
          </w:tcPr>
          <w:p w14:paraId="70310DA7" w14:textId="51650E4B" w:rsidR="003B666F" w:rsidRPr="00E07195" w:rsidRDefault="003B666F" w:rsidP="009252D5">
            <w:pPr>
              <w:pStyle w:val="TableHeadingLeft"/>
              <w:rPr>
                <w:rFonts w:cs="Arial"/>
                <w:szCs w:val="20"/>
              </w:rPr>
            </w:pPr>
            <w:r w:rsidRPr="00E07195">
              <w:rPr>
                <w:rFonts w:cs="Arial"/>
                <w:szCs w:val="20"/>
              </w:rPr>
              <w:t>6:</w:t>
            </w:r>
          </w:p>
          <w:p w14:paraId="6025DD0D" w14:textId="24E5A007" w:rsidR="003B666F" w:rsidRPr="00E07195" w:rsidRDefault="003B666F" w:rsidP="009252D5">
            <w:pPr>
              <w:pStyle w:val="TableHeadingLeft"/>
              <w:rPr>
                <w:rFonts w:cs="Arial"/>
                <w:szCs w:val="20"/>
              </w:rPr>
            </w:pPr>
            <w:r w:rsidRPr="00E07195">
              <w:rPr>
                <w:rFonts w:cs="Arial"/>
                <w:szCs w:val="20"/>
              </w:rPr>
              <w:t>Aboriginal and Torres Strait Islander workforce</w:t>
            </w:r>
          </w:p>
        </w:tc>
        <w:tc>
          <w:tcPr>
            <w:tcW w:w="1928" w:type="dxa"/>
            <w:tcBorders>
              <w:top w:val="single" w:sz="12" w:space="0" w:color="auto"/>
            </w:tcBorders>
          </w:tcPr>
          <w:p w14:paraId="7935FEE6" w14:textId="3C476122" w:rsidR="00505E9D" w:rsidRPr="00E07195" w:rsidRDefault="00505E9D" w:rsidP="009252D5">
            <w:pPr>
              <w:pStyle w:val="TableTextLeft"/>
              <w:rPr>
                <w:rFonts w:cs="Arial"/>
                <w:b/>
                <w:bCs/>
                <w:szCs w:val="20"/>
              </w:rPr>
            </w:pPr>
            <w:r w:rsidRPr="00E07195">
              <w:rPr>
                <w:rFonts w:cs="Arial"/>
                <w:b/>
                <w:bCs/>
                <w:szCs w:val="20"/>
              </w:rPr>
              <w:t>QATSICPP</w:t>
            </w:r>
          </w:p>
          <w:p w14:paraId="12B191FF" w14:textId="77777777" w:rsidR="00466465" w:rsidRPr="00E07195" w:rsidRDefault="00466465" w:rsidP="009252D5">
            <w:pPr>
              <w:pStyle w:val="TableTextLeft"/>
              <w:rPr>
                <w:rFonts w:cs="Arial"/>
                <w:szCs w:val="20"/>
              </w:rPr>
            </w:pPr>
          </w:p>
          <w:p w14:paraId="5E800C7F" w14:textId="03F8C6A4" w:rsidR="003B666F" w:rsidRPr="00E07195" w:rsidRDefault="00466465" w:rsidP="009252D5">
            <w:pPr>
              <w:pStyle w:val="TableTextLeft"/>
              <w:rPr>
                <w:rFonts w:cs="Arial"/>
                <w:szCs w:val="20"/>
              </w:rPr>
            </w:pPr>
            <w:r w:rsidRPr="00E07195">
              <w:rPr>
                <w:rFonts w:cs="Arial"/>
                <w:szCs w:val="20"/>
              </w:rPr>
              <w:t xml:space="preserve">DCSSDS </w:t>
            </w:r>
          </w:p>
          <w:p w14:paraId="279E3722" w14:textId="3CB19E8F" w:rsidR="003B666F" w:rsidRPr="00E07195" w:rsidRDefault="003B666F" w:rsidP="009252D5">
            <w:pPr>
              <w:pStyle w:val="TableTextLeft"/>
              <w:rPr>
                <w:rFonts w:cs="Arial"/>
                <w:szCs w:val="20"/>
              </w:rPr>
            </w:pPr>
          </w:p>
        </w:tc>
        <w:tc>
          <w:tcPr>
            <w:tcW w:w="3061" w:type="dxa"/>
            <w:tcBorders>
              <w:top w:val="single" w:sz="12" w:space="0" w:color="auto"/>
            </w:tcBorders>
          </w:tcPr>
          <w:p w14:paraId="39EA2FA4" w14:textId="7E4181B6" w:rsidR="00573CFD" w:rsidRDefault="003A188F" w:rsidP="009252D5">
            <w:pPr>
              <w:pStyle w:val="TableTextLeft"/>
            </w:pPr>
            <w:r w:rsidRPr="00C57D2E">
              <w:rPr>
                <w:b/>
                <w:bCs/>
              </w:rPr>
              <w:t>6.1</w:t>
            </w:r>
            <w:r w:rsidRPr="00C57D2E">
              <w:t xml:space="preserve"> Undertake scoping activities with the ATISCCO sector to inform the development of strategies for a strong and sustainable workforce.</w:t>
            </w:r>
          </w:p>
          <w:p w14:paraId="321A1648" w14:textId="77777777" w:rsidR="003A188F" w:rsidRDefault="003A188F" w:rsidP="009252D5">
            <w:pPr>
              <w:pStyle w:val="TableTextLeft"/>
              <w:rPr>
                <w:rFonts w:cs="Arial"/>
                <w:b/>
                <w:bCs/>
                <w:szCs w:val="20"/>
              </w:rPr>
            </w:pPr>
          </w:p>
          <w:p w14:paraId="7BB5CD0B" w14:textId="52C3BB02" w:rsidR="003B666F" w:rsidRPr="00E07195" w:rsidRDefault="003B666F" w:rsidP="009252D5">
            <w:pPr>
              <w:pStyle w:val="TableTextLeft"/>
              <w:rPr>
                <w:rFonts w:cs="Arial"/>
                <w:szCs w:val="20"/>
              </w:rPr>
            </w:pPr>
            <w:r w:rsidRPr="00E07195">
              <w:rPr>
                <w:rFonts w:cs="Arial"/>
                <w:b/>
                <w:bCs/>
                <w:szCs w:val="20"/>
              </w:rPr>
              <w:t>Timing:</w:t>
            </w:r>
            <w:r w:rsidRPr="00E07195">
              <w:rPr>
                <w:rFonts w:cs="Arial"/>
                <w:szCs w:val="20"/>
              </w:rPr>
              <w:t xml:space="preserve">  Year 1 (2023)</w:t>
            </w:r>
          </w:p>
        </w:tc>
        <w:tc>
          <w:tcPr>
            <w:tcW w:w="3685" w:type="dxa"/>
            <w:tcBorders>
              <w:top w:val="single" w:sz="12" w:space="0" w:color="auto"/>
            </w:tcBorders>
          </w:tcPr>
          <w:p w14:paraId="14963B64" w14:textId="65F9038C" w:rsidR="003B666F" w:rsidRPr="00E07195" w:rsidRDefault="003B666F" w:rsidP="009252D5">
            <w:pPr>
              <w:pStyle w:val="TableTextLeft"/>
              <w:rPr>
                <w:rFonts w:cs="Arial"/>
                <w:szCs w:val="20"/>
              </w:rPr>
            </w:pPr>
            <w:r w:rsidRPr="00E07195">
              <w:rPr>
                <w:rFonts w:cs="Arial"/>
                <w:b/>
                <w:bCs/>
                <w:szCs w:val="20"/>
              </w:rPr>
              <w:t xml:space="preserve">D:  </w:t>
            </w:r>
            <w:r w:rsidRPr="00E07195">
              <w:rPr>
                <w:rFonts w:cs="Arial"/>
                <w:szCs w:val="20"/>
              </w:rPr>
              <w:t>ATSICCO sector scoping report mapping the existing sector footprint and identifying current and projected workforce and infrastructure needs</w:t>
            </w:r>
            <w:r w:rsidR="009C71C5" w:rsidRPr="00E07195">
              <w:rPr>
                <w:rFonts w:cs="Arial"/>
                <w:szCs w:val="20"/>
              </w:rPr>
              <w:t>.</w:t>
            </w:r>
          </w:p>
          <w:p w14:paraId="0BD20F8D" w14:textId="77777777" w:rsidR="00505E9D" w:rsidRPr="00E07195" w:rsidRDefault="00505E9D" w:rsidP="009252D5">
            <w:pPr>
              <w:pStyle w:val="TableTextLeft"/>
              <w:rPr>
                <w:rFonts w:cs="Arial"/>
                <w:szCs w:val="20"/>
              </w:rPr>
            </w:pPr>
          </w:p>
          <w:p w14:paraId="088819F5" w14:textId="1BEF4BFC" w:rsidR="00505E9D" w:rsidRPr="00E07195" w:rsidRDefault="00505E9D" w:rsidP="009252D5">
            <w:pPr>
              <w:pStyle w:val="TableTextLeft"/>
              <w:rPr>
                <w:rFonts w:cs="Arial"/>
                <w:b/>
                <w:bCs/>
                <w:szCs w:val="20"/>
              </w:rPr>
            </w:pPr>
            <w:r w:rsidRPr="00E07195">
              <w:rPr>
                <w:rFonts w:cs="Arial"/>
                <w:b/>
                <w:bCs/>
                <w:szCs w:val="20"/>
              </w:rPr>
              <w:t xml:space="preserve">SI: </w:t>
            </w:r>
            <w:r w:rsidRPr="00E07195">
              <w:rPr>
                <w:rFonts w:cs="Arial"/>
                <w:szCs w:val="20"/>
              </w:rPr>
              <w:t xml:space="preserve"> Comprehensive understanding of current and future workforce and </w:t>
            </w:r>
            <w:r w:rsidR="009C71C5" w:rsidRPr="00E07195">
              <w:rPr>
                <w:rFonts w:cs="Arial"/>
                <w:szCs w:val="20"/>
              </w:rPr>
              <w:t>ATSICCO</w:t>
            </w:r>
            <w:r w:rsidRPr="00E07195">
              <w:rPr>
                <w:rFonts w:cs="Arial"/>
                <w:szCs w:val="20"/>
              </w:rPr>
              <w:t xml:space="preserve"> sector needs to inform development of sector strengthening plan</w:t>
            </w:r>
            <w:r w:rsidR="009C71C5" w:rsidRPr="00E07195">
              <w:rPr>
                <w:rFonts w:cs="Arial"/>
                <w:szCs w:val="20"/>
              </w:rPr>
              <w:t>.</w:t>
            </w:r>
          </w:p>
        </w:tc>
        <w:tc>
          <w:tcPr>
            <w:tcW w:w="3118" w:type="dxa"/>
            <w:tcBorders>
              <w:top w:val="single" w:sz="12" w:space="0" w:color="auto"/>
            </w:tcBorders>
          </w:tcPr>
          <w:p w14:paraId="4EF85A35" w14:textId="216B5C6F" w:rsidR="003B666F" w:rsidRPr="007C1C61" w:rsidRDefault="003B666F" w:rsidP="009252D5">
            <w:pPr>
              <w:pStyle w:val="TableTextLeft"/>
              <w:rPr>
                <w:rFonts w:cs="Arial"/>
                <w:szCs w:val="20"/>
              </w:rPr>
            </w:pPr>
            <w:r w:rsidRPr="00996933">
              <w:rPr>
                <w:rFonts w:cs="Arial"/>
                <w:b/>
                <w:bCs/>
                <w:szCs w:val="20"/>
              </w:rPr>
              <w:t>O:</w:t>
            </w:r>
            <w:r w:rsidRPr="007C1C61">
              <w:rPr>
                <w:rFonts w:cs="Arial"/>
                <w:szCs w:val="20"/>
              </w:rPr>
              <w:t xml:space="preserve">  The </w:t>
            </w:r>
            <w:r w:rsidR="009C71C5" w:rsidRPr="007C1C61">
              <w:rPr>
                <w:rFonts w:cs="Arial"/>
                <w:szCs w:val="20"/>
              </w:rPr>
              <w:t>ATSICCO</w:t>
            </w:r>
            <w:r w:rsidRPr="007C1C61">
              <w:rPr>
                <w:rFonts w:cs="Arial"/>
                <w:szCs w:val="20"/>
              </w:rPr>
              <w:t xml:space="preserve"> sector is supported to strengthen its capacity and capability to deliver high quality services to Aboriginal and Torres Strait Islander communities</w:t>
            </w:r>
            <w:r w:rsidR="009C71C5" w:rsidRPr="007C1C61">
              <w:rPr>
                <w:rFonts w:cs="Arial"/>
                <w:szCs w:val="20"/>
              </w:rPr>
              <w:t>.</w:t>
            </w:r>
          </w:p>
          <w:p w14:paraId="68588253" w14:textId="77777777" w:rsidR="003B666F" w:rsidRPr="007C1C61" w:rsidRDefault="003B666F" w:rsidP="009252D5">
            <w:pPr>
              <w:pStyle w:val="TableTextLeft"/>
              <w:rPr>
                <w:rFonts w:cs="Arial"/>
                <w:szCs w:val="20"/>
              </w:rPr>
            </w:pPr>
          </w:p>
        </w:tc>
        <w:tc>
          <w:tcPr>
            <w:tcW w:w="3685" w:type="dxa"/>
            <w:vMerge w:val="restart"/>
            <w:tcBorders>
              <w:top w:val="single" w:sz="12" w:space="0" w:color="auto"/>
            </w:tcBorders>
          </w:tcPr>
          <w:p w14:paraId="33F302FE" w14:textId="0C8168A0" w:rsidR="003B666F" w:rsidRPr="00E07195" w:rsidRDefault="003B666F" w:rsidP="009252D5">
            <w:pPr>
              <w:pStyle w:val="TableTextLeft"/>
              <w:rPr>
                <w:rFonts w:cs="Arial"/>
                <w:szCs w:val="20"/>
              </w:rPr>
            </w:pPr>
            <w:r w:rsidRPr="00E07195">
              <w:rPr>
                <w:rFonts w:cs="Arial"/>
                <w:szCs w:val="20"/>
              </w:rPr>
              <w:t xml:space="preserve">A strong, supported, empowered workforce is essential to improving wellbeing outcomes for Aboriginal and Torres Strait Islander children and families. </w:t>
            </w:r>
          </w:p>
          <w:p w14:paraId="05BF859D" w14:textId="77777777" w:rsidR="000919E5" w:rsidRDefault="000919E5" w:rsidP="009252D5">
            <w:pPr>
              <w:pStyle w:val="TableTextLeft"/>
              <w:rPr>
                <w:rFonts w:cs="Arial"/>
                <w:szCs w:val="20"/>
              </w:rPr>
            </w:pPr>
          </w:p>
          <w:p w14:paraId="7984416A" w14:textId="07EF6342" w:rsidR="003B666F" w:rsidRPr="00E07195" w:rsidRDefault="003B666F" w:rsidP="009252D5">
            <w:pPr>
              <w:pStyle w:val="TableTextLeft"/>
              <w:rPr>
                <w:rFonts w:cs="Arial"/>
                <w:szCs w:val="20"/>
              </w:rPr>
            </w:pPr>
            <w:r w:rsidRPr="00E07195">
              <w:rPr>
                <w:rFonts w:cs="Arial"/>
                <w:szCs w:val="20"/>
              </w:rPr>
              <w:t xml:space="preserve">The transition of </w:t>
            </w:r>
            <w:r w:rsidR="000919E5" w:rsidRPr="00E07195">
              <w:rPr>
                <w:rFonts w:cs="Arial"/>
                <w:szCs w:val="20"/>
              </w:rPr>
              <w:t>decision-making</w:t>
            </w:r>
            <w:r w:rsidRPr="00E07195">
              <w:rPr>
                <w:rFonts w:cs="Arial"/>
                <w:szCs w:val="20"/>
              </w:rPr>
              <w:t xml:space="preserve"> authority, </w:t>
            </w:r>
            <w:proofErr w:type="gramStart"/>
            <w:r w:rsidRPr="00E07195">
              <w:rPr>
                <w:rFonts w:cs="Arial"/>
                <w:szCs w:val="20"/>
              </w:rPr>
              <w:t>resources</w:t>
            </w:r>
            <w:proofErr w:type="gramEnd"/>
            <w:r w:rsidRPr="00E07195">
              <w:rPr>
                <w:rFonts w:cs="Arial"/>
                <w:szCs w:val="20"/>
              </w:rPr>
              <w:t xml:space="preserve"> and responsibility to the </w:t>
            </w:r>
            <w:r w:rsidR="009C71C5" w:rsidRPr="00E07195">
              <w:rPr>
                <w:rFonts w:cs="Arial"/>
                <w:szCs w:val="20"/>
              </w:rPr>
              <w:t>ATSICCO</w:t>
            </w:r>
            <w:r w:rsidRPr="00E07195">
              <w:rPr>
                <w:rFonts w:cs="Arial"/>
                <w:szCs w:val="20"/>
              </w:rPr>
              <w:t xml:space="preserve"> sector will require a significant and sustained investment in the size and capabilities of the Aboriginal and Torres Strait Islander workforce. </w:t>
            </w:r>
          </w:p>
          <w:p w14:paraId="2D1E8C0C" w14:textId="77777777" w:rsidR="000919E5" w:rsidRDefault="000919E5" w:rsidP="009252D5">
            <w:pPr>
              <w:pStyle w:val="TableTextLeft"/>
              <w:rPr>
                <w:rFonts w:cs="Arial"/>
                <w:szCs w:val="20"/>
              </w:rPr>
            </w:pPr>
          </w:p>
          <w:p w14:paraId="74A31473" w14:textId="1F8E31F0" w:rsidR="003B666F" w:rsidRPr="00E07195" w:rsidRDefault="003B666F" w:rsidP="009252D5">
            <w:pPr>
              <w:pStyle w:val="TableTextLeft"/>
              <w:rPr>
                <w:rFonts w:cs="Arial"/>
                <w:szCs w:val="20"/>
              </w:rPr>
            </w:pPr>
            <w:r w:rsidRPr="00E07195">
              <w:rPr>
                <w:rFonts w:cs="Arial"/>
                <w:szCs w:val="20"/>
              </w:rPr>
              <w:t xml:space="preserve">Place-based strategies to support ATSICCOs to attract, develop, </w:t>
            </w:r>
            <w:proofErr w:type="gramStart"/>
            <w:r w:rsidRPr="00E07195">
              <w:rPr>
                <w:rFonts w:cs="Arial"/>
                <w:szCs w:val="20"/>
              </w:rPr>
              <w:t>support</w:t>
            </w:r>
            <w:proofErr w:type="gramEnd"/>
            <w:r w:rsidRPr="00E07195">
              <w:rPr>
                <w:rFonts w:cs="Arial"/>
                <w:szCs w:val="20"/>
              </w:rPr>
              <w:t xml:space="preserve"> and retain local Aboriginal and Torres Strait Islander peoples are needed. </w:t>
            </w:r>
          </w:p>
          <w:p w14:paraId="268C9E71" w14:textId="3510B4EA" w:rsidR="003B666F" w:rsidRPr="00E07195" w:rsidRDefault="003B666F" w:rsidP="009252D5">
            <w:pPr>
              <w:pStyle w:val="TableTextLeft"/>
              <w:rPr>
                <w:rFonts w:cs="Arial"/>
                <w:szCs w:val="20"/>
              </w:rPr>
            </w:pPr>
          </w:p>
        </w:tc>
        <w:tc>
          <w:tcPr>
            <w:tcW w:w="1627" w:type="dxa"/>
            <w:tcBorders>
              <w:top w:val="single" w:sz="12" w:space="0" w:color="auto"/>
            </w:tcBorders>
          </w:tcPr>
          <w:p w14:paraId="23A9F26F" w14:textId="356A020C" w:rsidR="003B666F" w:rsidRPr="00E07195" w:rsidRDefault="006F21BA" w:rsidP="009252D5">
            <w:pPr>
              <w:pStyle w:val="TableTextLeft"/>
              <w:rPr>
                <w:rFonts w:cs="Arial"/>
                <w:szCs w:val="20"/>
              </w:rPr>
            </w:pPr>
            <w:r w:rsidRPr="00E07195">
              <w:rPr>
                <w:rFonts w:cs="Arial"/>
                <w:noProof/>
                <w:szCs w:val="20"/>
              </w:rPr>
              <w:drawing>
                <wp:inline distT="0" distB="0" distL="0" distR="0" wp14:anchorId="3EDD447A" wp14:editId="00F8A5E5">
                  <wp:extent cx="339271" cy="323850"/>
                  <wp:effectExtent l="0" t="0" r="3810" b="0"/>
                  <wp:docPr id="46" name="Picture 46" descr="Building block one - All families enjoy access to quality, culturally safe universal and targeted services necessary for Aboriginal and Torres Strait Islander children to thrive  &#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Building block one - All families enjoy access to quality, culturally safe universal and targeted services necessary for Aboriginal and Torres Strait Islander children to thrive  &#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3940" cy="328307"/>
                          </a:xfrm>
                          <a:prstGeom prst="rect">
                            <a:avLst/>
                          </a:prstGeom>
                        </pic:spPr>
                      </pic:pic>
                    </a:graphicData>
                  </a:graphic>
                </wp:inline>
              </w:drawing>
            </w:r>
          </w:p>
        </w:tc>
        <w:tc>
          <w:tcPr>
            <w:tcW w:w="1197" w:type="dxa"/>
            <w:tcBorders>
              <w:top w:val="single" w:sz="12" w:space="0" w:color="auto"/>
            </w:tcBorders>
          </w:tcPr>
          <w:p w14:paraId="0A4D597A" w14:textId="5B512B4F" w:rsidR="003B666F" w:rsidRPr="00453A57" w:rsidRDefault="0092506C" w:rsidP="00453A57">
            <w:pPr>
              <w:pStyle w:val="TableTextLeft"/>
              <w:jc w:val="center"/>
              <w:rPr>
                <w:rFonts w:cs="Arial"/>
                <w:b/>
                <w:bCs/>
                <w:sz w:val="32"/>
                <w:szCs w:val="32"/>
              </w:rPr>
            </w:pPr>
            <w:r w:rsidRPr="00453A57">
              <w:rPr>
                <w:rFonts w:cs="Arial"/>
                <w:b/>
                <w:bCs/>
                <w:sz w:val="32"/>
                <w:szCs w:val="32"/>
                <w:shd w:val="clear" w:color="auto" w:fill="FFFFFF"/>
              </w:rPr>
              <w:t>2</w:t>
            </w:r>
          </w:p>
        </w:tc>
        <w:tc>
          <w:tcPr>
            <w:tcW w:w="1260" w:type="dxa"/>
            <w:tcBorders>
              <w:top w:val="single" w:sz="12" w:space="0" w:color="auto"/>
            </w:tcBorders>
          </w:tcPr>
          <w:p w14:paraId="085DAF28" w14:textId="7C95F285" w:rsidR="003B666F" w:rsidRPr="00453A57" w:rsidRDefault="00984024" w:rsidP="00453A57">
            <w:pPr>
              <w:pStyle w:val="TableTextLeft"/>
              <w:jc w:val="center"/>
              <w:rPr>
                <w:rFonts w:cs="Arial"/>
                <w:b/>
                <w:bCs/>
                <w:sz w:val="32"/>
                <w:szCs w:val="32"/>
              </w:rPr>
            </w:pPr>
            <w:r w:rsidRPr="00453A57">
              <w:rPr>
                <w:rFonts w:cs="Arial"/>
                <w:b/>
                <w:bCs/>
                <w:sz w:val="32"/>
                <w:szCs w:val="32"/>
              </w:rPr>
              <w:t>4</w:t>
            </w:r>
          </w:p>
        </w:tc>
      </w:tr>
      <w:tr w:rsidR="009252D5" w:rsidRPr="00E07195" w14:paraId="4D0A92A5" w14:textId="32E2608C" w:rsidTr="25F521CE">
        <w:trPr>
          <w:trHeight w:val="300"/>
        </w:trPr>
        <w:tc>
          <w:tcPr>
            <w:tcW w:w="1847" w:type="dxa"/>
            <w:vMerge/>
          </w:tcPr>
          <w:p w14:paraId="27A7F4DA" w14:textId="224C9D08" w:rsidR="003B666F" w:rsidRPr="00E07195" w:rsidRDefault="003B666F" w:rsidP="009252D5">
            <w:pPr>
              <w:pStyle w:val="TableHeadingLeft"/>
              <w:rPr>
                <w:rFonts w:cs="Arial"/>
                <w:szCs w:val="20"/>
              </w:rPr>
            </w:pPr>
          </w:p>
        </w:tc>
        <w:tc>
          <w:tcPr>
            <w:tcW w:w="1928" w:type="dxa"/>
            <w:tcBorders>
              <w:bottom w:val="single" w:sz="4" w:space="0" w:color="auto"/>
            </w:tcBorders>
          </w:tcPr>
          <w:p w14:paraId="781D6A90" w14:textId="3865D11B" w:rsidR="003B666F" w:rsidRPr="00E07195" w:rsidRDefault="00466465" w:rsidP="009252D5">
            <w:pPr>
              <w:pStyle w:val="TableTextLeft"/>
              <w:rPr>
                <w:rFonts w:cs="Arial"/>
                <w:b/>
                <w:bCs/>
                <w:szCs w:val="20"/>
              </w:rPr>
            </w:pPr>
            <w:r w:rsidRPr="00E07195">
              <w:rPr>
                <w:rFonts w:cs="Arial"/>
                <w:b/>
                <w:bCs/>
                <w:szCs w:val="20"/>
              </w:rPr>
              <w:t>DCSSDS</w:t>
            </w:r>
          </w:p>
          <w:p w14:paraId="29DF6907" w14:textId="77777777" w:rsidR="00777D2F" w:rsidRDefault="00777D2F" w:rsidP="00777D2F">
            <w:pPr>
              <w:pStyle w:val="TableTextLeft"/>
              <w:rPr>
                <w:rFonts w:cs="Arial"/>
                <w:szCs w:val="20"/>
              </w:rPr>
            </w:pPr>
          </w:p>
          <w:p w14:paraId="6CAFF98A" w14:textId="77777777" w:rsidR="00B13891" w:rsidRDefault="7C534272" w:rsidP="5BEB8098">
            <w:pPr>
              <w:pStyle w:val="TableTextLeft"/>
              <w:rPr>
                <w:rFonts w:cs="Arial"/>
              </w:rPr>
            </w:pPr>
            <w:r w:rsidRPr="5BEB8098">
              <w:rPr>
                <w:rFonts w:cs="Arial"/>
              </w:rPr>
              <w:t xml:space="preserve">QATSICPP </w:t>
            </w:r>
          </w:p>
          <w:p w14:paraId="780DA340" w14:textId="77777777" w:rsidR="00B13891" w:rsidRDefault="00B13891" w:rsidP="5BEB8098">
            <w:pPr>
              <w:pStyle w:val="TableTextLeft"/>
              <w:rPr>
                <w:rFonts w:cs="Arial"/>
              </w:rPr>
            </w:pPr>
            <w:r>
              <w:rPr>
                <w:rFonts w:cs="Arial"/>
              </w:rPr>
              <w:t>DTATSIPCA</w:t>
            </w:r>
          </w:p>
          <w:p w14:paraId="716905AA" w14:textId="00C9703E" w:rsidR="003B666F" w:rsidRPr="00E07195" w:rsidRDefault="7C534272" w:rsidP="5BEB8098">
            <w:pPr>
              <w:pStyle w:val="TableTextLeft"/>
              <w:rPr>
                <w:rFonts w:cs="Arial"/>
                <w:b/>
                <w:bCs/>
              </w:rPr>
            </w:pPr>
            <w:r w:rsidRPr="5BEB8098">
              <w:rPr>
                <w:rFonts w:cs="Arial"/>
              </w:rPr>
              <w:t>D</w:t>
            </w:r>
            <w:r w:rsidR="4E7C9E4A" w:rsidRPr="5BEB8098">
              <w:rPr>
                <w:rFonts w:cs="Arial"/>
              </w:rPr>
              <w:t>YJ</w:t>
            </w:r>
            <w:r w:rsidRPr="5BEB8098">
              <w:rPr>
                <w:rFonts w:cs="Arial"/>
              </w:rPr>
              <w:t xml:space="preserve">ESBT </w:t>
            </w:r>
          </w:p>
        </w:tc>
        <w:tc>
          <w:tcPr>
            <w:tcW w:w="3061" w:type="dxa"/>
            <w:tcBorders>
              <w:bottom w:val="single" w:sz="4" w:space="0" w:color="auto"/>
            </w:tcBorders>
          </w:tcPr>
          <w:p w14:paraId="770E442A" w14:textId="588E5A20" w:rsidR="003B666F" w:rsidRPr="00E07195" w:rsidRDefault="00DA18C6" w:rsidP="009252D5">
            <w:pPr>
              <w:pStyle w:val="TableTextLeft"/>
              <w:rPr>
                <w:rFonts w:cs="Arial"/>
                <w:szCs w:val="20"/>
              </w:rPr>
            </w:pPr>
            <w:r w:rsidRPr="00E07195">
              <w:rPr>
                <w:rFonts w:cs="Arial"/>
                <w:b/>
                <w:bCs/>
                <w:szCs w:val="20"/>
              </w:rPr>
              <w:t>6.2</w:t>
            </w:r>
            <w:r w:rsidRPr="00E07195">
              <w:rPr>
                <w:rFonts w:cs="Arial"/>
                <w:szCs w:val="20"/>
              </w:rPr>
              <w:t xml:space="preserve"> Develop</w:t>
            </w:r>
            <w:r w:rsidR="003B666F" w:rsidRPr="00E07195">
              <w:rPr>
                <w:rFonts w:cs="Arial"/>
                <w:szCs w:val="20"/>
              </w:rPr>
              <w:t xml:space="preserve">, </w:t>
            </w:r>
            <w:proofErr w:type="gramStart"/>
            <w:r w:rsidR="003B666F" w:rsidRPr="00E07195">
              <w:rPr>
                <w:rFonts w:cs="Arial"/>
                <w:szCs w:val="20"/>
              </w:rPr>
              <w:t>resource</w:t>
            </w:r>
            <w:proofErr w:type="gramEnd"/>
            <w:r w:rsidR="003B666F" w:rsidRPr="00E07195">
              <w:rPr>
                <w:rFonts w:cs="Arial"/>
                <w:szCs w:val="20"/>
              </w:rPr>
              <w:t xml:space="preserve"> and implement a strategy to support the ongoing development and growth of the </w:t>
            </w:r>
            <w:r w:rsidR="006642B5">
              <w:rPr>
                <w:rFonts w:cs="Arial"/>
                <w:szCs w:val="20"/>
              </w:rPr>
              <w:t>ATSICCO</w:t>
            </w:r>
            <w:r w:rsidR="003B666F" w:rsidRPr="00E07195">
              <w:rPr>
                <w:rFonts w:cs="Arial"/>
                <w:szCs w:val="20"/>
              </w:rPr>
              <w:t xml:space="preserve"> child and family services sector</w:t>
            </w:r>
            <w:r w:rsidR="000919E5">
              <w:rPr>
                <w:rFonts w:cs="Arial"/>
                <w:szCs w:val="20"/>
              </w:rPr>
              <w:t>.</w:t>
            </w:r>
          </w:p>
          <w:p w14:paraId="74727AAB" w14:textId="77777777" w:rsidR="00573CFD" w:rsidRDefault="00573CFD" w:rsidP="009252D5">
            <w:pPr>
              <w:pStyle w:val="TableTextLeft"/>
              <w:rPr>
                <w:rFonts w:cs="Arial"/>
                <w:b/>
                <w:bCs/>
                <w:szCs w:val="20"/>
              </w:rPr>
            </w:pPr>
          </w:p>
          <w:p w14:paraId="36A6A4C3" w14:textId="1D837117" w:rsidR="003B666F" w:rsidRPr="00E07195" w:rsidRDefault="003B666F" w:rsidP="009252D5">
            <w:pPr>
              <w:pStyle w:val="TableTextLeft"/>
              <w:rPr>
                <w:rFonts w:cs="Arial"/>
                <w:szCs w:val="20"/>
              </w:rPr>
            </w:pPr>
            <w:r w:rsidRPr="00E07195">
              <w:rPr>
                <w:rFonts w:cs="Arial"/>
                <w:b/>
                <w:bCs/>
                <w:szCs w:val="20"/>
              </w:rPr>
              <w:t>Timing:</w:t>
            </w:r>
            <w:r w:rsidRPr="00E07195">
              <w:rPr>
                <w:rFonts w:cs="Arial"/>
                <w:szCs w:val="20"/>
              </w:rPr>
              <w:t xml:space="preserve">  Years 2 and 3 (2024</w:t>
            </w:r>
            <w:r w:rsidR="00C96CC8">
              <w:rPr>
                <w:rFonts w:eastAsia="Calibri"/>
              </w:rPr>
              <w:t>–</w:t>
            </w:r>
            <w:r w:rsidRPr="00E07195">
              <w:rPr>
                <w:rFonts w:cs="Arial"/>
                <w:szCs w:val="20"/>
              </w:rPr>
              <w:t>2025)</w:t>
            </w:r>
          </w:p>
          <w:p w14:paraId="650B4CFB" w14:textId="5AD58ACD" w:rsidR="003B666F" w:rsidRPr="00E07195" w:rsidRDefault="003B666F" w:rsidP="009252D5">
            <w:pPr>
              <w:pStyle w:val="TableTextLeft"/>
              <w:rPr>
                <w:rFonts w:cs="Arial"/>
                <w:szCs w:val="20"/>
              </w:rPr>
            </w:pPr>
            <w:r w:rsidRPr="00E07195">
              <w:rPr>
                <w:rFonts w:cs="Arial"/>
                <w:szCs w:val="20"/>
              </w:rPr>
              <w:lastRenderedPageBreak/>
              <w:t>*Ongoing implementation in Breaking Cycles Action Plans 2 and 3 (2026</w:t>
            </w:r>
            <w:r w:rsidR="00C96CC8">
              <w:rPr>
                <w:rFonts w:eastAsia="Calibri"/>
              </w:rPr>
              <w:t>–</w:t>
            </w:r>
            <w:r w:rsidRPr="00E07195">
              <w:rPr>
                <w:rFonts w:cs="Arial"/>
                <w:szCs w:val="20"/>
              </w:rPr>
              <w:t>2031)</w:t>
            </w:r>
            <w:r w:rsidR="00573CFD">
              <w:rPr>
                <w:rFonts w:cs="Arial"/>
                <w:szCs w:val="20"/>
              </w:rPr>
              <w:t>.</w:t>
            </w:r>
          </w:p>
        </w:tc>
        <w:tc>
          <w:tcPr>
            <w:tcW w:w="3685" w:type="dxa"/>
            <w:tcBorders>
              <w:bottom w:val="single" w:sz="4" w:space="0" w:color="auto"/>
            </w:tcBorders>
          </w:tcPr>
          <w:p w14:paraId="0865D96E" w14:textId="77777777" w:rsidR="0058416E" w:rsidRPr="00E07195" w:rsidRDefault="003B666F" w:rsidP="009252D5">
            <w:pPr>
              <w:pStyle w:val="TableTextLeft"/>
              <w:rPr>
                <w:rFonts w:cs="Arial"/>
                <w:szCs w:val="20"/>
              </w:rPr>
            </w:pPr>
            <w:r w:rsidRPr="00E07195">
              <w:rPr>
                <w:rFonts w:cs="Arial"/>
                <w:b/>
                <w:bCs/>
                <w:szCs w:val="20"/>
              </w:rPr>
              <w:lastRenderedPageBreak/>
              <w:t>D:</w:t>
            </w:r>
            <w:r w:rsidRPr="00E07195">
              <w:rPr>
                <w:rFonts w:cs="Arial"/>
                <w:szCs w:val="20"/>
              </w:rPr>
              <w:t xml:space="preserve">  Sector strengthening plan for ATSICCO child and family services, including development of local implementation plans, co-designed with QATSICPP and consistent with the</w:t>
            </w:r>
            <w:r w:rsidR="0058416E" w:rsidRPr="00E07195">
              <w:rPr>
                <w:rFonts w:cs="Arial"/>
                <w:szCs w:val="20"/>
              </w:rPr>
              <w:t>:</w:t>
            </w:r>
            <w:r w:rsidRPr="00E07195">
              <w:rPr>
                <w:rFonts w:cs="Arial"/>
                <w:szCs w:val="20"/>
              </w:rPr>
              <w:t xml:space="preserve"> </w:t>
            </w:r>
          </w:p>
          <w:p w14:paraId="15DD35D1" w14:textId="03DAB274" w:rsidR="003B666F" w:rsidRPr="00E07195" w:rsidRDefault="003B666F" w:rsidP="000A7F4D">
            <w:pPr>
              <w:pStyle w:val="TableTextLeft"/>
              <w:numPr>
                <w:ilvl w:val="0"/>
                <w:numId w:val="10"/>
              </w:numPr>
              <w:rPr>
                <w:rFonts w:cs="Arial"/>
                <w:szCs w:val="20"/>
              </w:rPr>
            </w:pPr>
            <w:r w:rsidRPr="00E07195">
              <w:rPr>
                <w:rFonts w:cs="Arial"/>
                <w:szCs w:val="20"/>
              </w:rPr>
              <w:t xml:space="preserve">strong community-controlled sector elements contained in </w:t>
            </w:r>
            <w:r w:rsidRPr="00E07195">
              <w:rPr>
                <w:rFonts w:cs="Arial"/>
                <w:szCs w:val="20"/>
              </w:rPr>
              <w:lastRenderedPageBreak/>
              <w:t xml:space="preserve">the National </w:t>
            </w:r>
            <w:r w:rsidR="12173069" w:rsidRPr="00E07195">
              <w:rPr>
                <w:rFonts w:cs="Arial"/>
                <w:szCs w:val="20"/>
              </w:rPr>
              <w:t>Agreement</w:t>
            </w:r>
            <w:r w:rsidRPr="00E07195">
              <w:rPr>
                <w:rFonts w:cs="Arial"/>
                <w:szCs w:val="20"/>
              </w:rPr>
              <w:t xml:space="preserve"> on Closing the Gap (clauses </w:t>
            </w:r>
            <w:proofErr w:type="gramStart"/>
            <w:r w:rsidRPr="00E07195">
              <w:rPr>
                <w:rFonts w:cs="Arial"/>
                <w:szCs w:val="20"/>
              </w:rPr>
              <w:t>45 )</w:t>
            </w:r>
            <w:proofErr w:type="gramEnd"/>
            <w:r w:rsidRPr="00E07195">
              <w:rPr>
                <w:rFonts w:cs="Arial"/>
                <w:szCs w:val="20"/>
              </w:rPr>
              <w:t xml:space="preserve"> </w:t>
            </w:r>
          </w:p>
          <w:p w14:paraId="42275528" w14:textId="5EB66CE1" w:rsidR="0058416E" w:rsidRPr="00E07195" w:rsidRDefault="0058416E" w:rsidP="000A7F4D">
            <w:pPr>
              <w:pStyle w:val="TableTextLeft"/>
              <w:numPr>
                <w:ilvl w:val="0"/>
                <w:numId w:val="10"/>
              </w:numPr>
              <w:rPr>
                <w:rFonts w:cs="Arial"/>
                <w:szCs w:val="20"/>
              </w:rPr>
            </w:pPr>
            <w:r w:rsidRPr="00E07195">
              <w:rPr>
                <w:rFonts w:cs="Arial"/>
                <w:szCs w:val="20"/>
              </w:rPr>
              <w:t xml:space="preserve">four streams of workforce, capital infrastructure, </w:t>
            </w:r>
            <w:proofErr w:type="gramStart"/>
            <w:r w:rsidRPr="00E07195">
              <w:rPr>
                <w:rFonts w:cs="Arial"/>
                <w:szCs w:val="20"/>
              </w:rPr>
              <w:t>service  provision</w:t>
            </w:r>
            <w:proofErr w:type="gramEnd"/>
            <w:r w:rsidRPr="00E07195">
              <w:rPr>
                <w:rFonts w:cs="Arial"/>
                <w:szCs w:val="20"/>
              </w:rPr>
              <w:t xml:space="preserve"> and governance contained in the National Agreement on Closing the Gap (clause 51)</w:t>
            </w:r>
            <w:r w:rsidR="000919E5">
              <w:rPr>
                <w:rFonts w:cs="Arial"/>
                <w:szCs w:val="20"/>
              </w:rPr>
              <w:t>.</w:t>
            </w:r>
          </w:p>
          <w:p w14:paraId="0F7567FD" w14:textId="77777777" w:rsidR="00AB3D2E" w:rsidRPr="00E07195" w:rsidRDefault="00AB3D2E" w:rsidP="009252D5">
            <w:pPr>
              <w:pStyle w:val="TableTextLeft"/>
              <w:rPr>
                <w:rFonts w:cs="Arial"/>
                <w:szCs w:val="20"/>
              </w:rPr>
            </w:pPr>
          </w:p>
          <w:p w14:paraId="46814D81" w14:textId="440AEF40" w:rsidR="00AB3D2E" w:rsidRPr="00E07195" w:rsidRDefault="00AB3D2E" w:rsidP="009252D5">
            <w:pPr>
              <w:pStyle w:val="TableTextLeft"/>
              <w:rPr>
                <w:rFonts w:cs="Arial"/>
                <w:szCs w:val="20"/>
              </w:rPr>
            </w:pPr>
            <w:r w:rsidRPr="00E07195">
              <w:rPr>
                <w:rFonts w:cs="Arial"/>
                <w:b/>
                <w:bCs/>
                <w:szCs w:val="20"/>
              </w:rPr>
              <w:t>SI:</w:t>
            </w:r>
            <w:r w:rsidRPr="00E07195">
              <w:rPr>
                <w:rFonts w:cs="Arial"/>
                <w:szCs w:val="20"/>
              </w:rPr>
              <w:t xml:space="preserve">  Dedicated, equitable and sustainable funding models for ATSICCO child and family services</w:t>
            </w:r>
            <w:r w:rsidR="00A33E64">
              <w:rPr>
                <w:rFonts w:cs="Arial"/>
                <w:szCs w:val="20"/>
              </w:rPr>
              <w:t>.</w:t>
            </w:r>
          </w:p>
          <w:p w14:paraId="69871B0A" w14:textId="728952FF" w:rsidR="00AB3D2E" w:rsidRPr="00E07195" w:rsidRDefault="00AB3D2E" w:rsidP="009252D5">
            <w:pPr>
              <w:pStyle w:val="TableTextLeft"/>
              <w:rPr>
                <w:rFonts w:cs="Arial"/>
                <w:b/>
                <w:bCs/>
                <w:szCs w:val="20"/>
              </w:rPr>
            </w:pPr>
            <w:r w:rsidRPr="00E07195">
              <w:rPr>
                <w:rFonts w:cs="Arial"/>
                <w:b/>
                <w:bCs/>
                <w:szCs w:val="20"/>
              </w:rPr>
              <w:t xml:space="preserve">SI: </w:t>
            </w:r>
            <w:r w:rsidRPr="00E07195">
              <w:rPr>
                <w:rFonts w:cs="Arial"/>
                <w:szCs w:val="20"/>
              </w:rPr>
              <w:t>Proportion of staff in ATSICCO child and family services who identify as Aboriginal and/or Torres Strait Islander</w:t>
            </w:r>
            <w:r w:rsidR="00A33E64">
              <w:rPr>
                <w:rFonts w:cs="Arial"/>
                <w:szCs w:val="20"/>
              </w:rPr>
              <w:t>.</w:t>
            </w:r>
          </w:p>
          <w:p w14:paraId="7F252BEA" w14:textId="1941FE4B" w:rsidR="00AB3D2E" w:rsidRPr="00E07195" w:rsidRDefault="00AB3D2E" w:rsidP="009252D5">
            <w:pPr>
              <w:pStyle w:val="TableTextLeft"/>
              <w:rPr>
                <w:rFonts w:cs="Arial"/>
                <w:szCs w:val="20"/>
              </w:rPr>
            </w:pPr>
            <w:r w:rsidRPr="00E07195">
              <w:rPr>
                <w:rFonts w:cs="Arial"/>
                <w:b/>
                <w:bCs/>
                <w:szCs w:val="20"/>
              </w:rPr>
              <w:t>SI:</w:t>
            </w:r>
            <w:r w:rsidRPr="00E07195">
              <w:rPr>
                <w:rFonts w:cs="Arial"/>
                <w:szCs w:val="20"/>
              </w:rPr>
              <w:t xml:space="preserve">  Staff retention rates in ATSICCO child and family services</w:t>
            </w:r>
            <w:r w:rsidR="00A33E64">
              <w:rPr>
                <w:rFonts w:cs="Arial"/>
                <w:szCs w:val="20"/>
              </w:rPr>
              <w:t>.</w:t>
            </w:r>
          </w:p>
          <w:p w14:paraId="7D952DB2" w14:textId="4CAFA1AE" w:rsidR="00AB3D2E" w:rsidRPr="00E07195" w:rsidRDefault="00AB3D2E" w:rsidP="009252D5">
            <w:pPr>
              <w:pStyle w:val="TableTextLeft"/>
              <w:rPr>
                <w:rFonts w:cs="Arial"/>
                <w:szCs w:val="20"/>
              </w:rPr>
            </w:pPr>
            <w:r w:rsidRPr="00E07195">
              <w:rPr>
                <w:rFonts w:cs="Arial"/>
                <w:b/>
                <w:bCs/>
                <w:szCs w:val="20"/>
              </w:rPr>
              <w:t>SI:</w:t>
            </w:r>
            <w:r w:rsidRPr="00E07195">
              <w:rPr>
                <w:rFonts w:cs="Arial"/>
                <w:szCs w:val="20"/>
              </w:rPr>
              <w:t xml:space="preserve">  Qualification levels of staff employed by ATSICCO child and family services</w:t>
            </w:r>
            <w:r w:rsidR="009C71C5" w:rsidRPr="00E07195">
              <w:rPr>
                <w:rFonts w:cs="Arial"/>
                <w:szCs w:val="20"/>
              </w:rPr>
              <w:t>.</w:t>
            </w:r>
          </w:p>
        </w:tc>
        <w:tc>
          <w:tcPr>
            <w:tcW w:w="3118" w:type="dxa"/>
            <w:tcBorders>
              <w:bottom w:val="single" w:sz="4" w:space="0" w:color="auto"/>
            </w:tcBorders>
          </w:tcPr>
          <w:p w14:paraId="03494251" w14:textId="177BCC4E" w:rsidR="003B666F" w:rsidRPr="007C1C61" w:rsidRDefault="003B666F" w:rsidP="009252D5">
            <w:pPr>
              <w:pStyle w:val="TableTextLeft"/>
              <w:rPr>
                <w:rFonts w:cs="Arial"/>
                <w:szCs w:val="20"/>
              </w:rPr>
            </w:pPr>
            <w:r w:rsidRPr="00996933">
              <w:rPr>
                <w:rFonts w:cs="Arial"/>
                <w:b/>
                <w:bCs/>
                <w:szCs w:val="20"/>
              </w:rPr>
              <w:lastRenderedPageBreak/>
              <w:t>O:</w:t>
            </w:r>
            <w:r w:rsidRPr="007C1C61">
              <w:rPr>
                <w:rFonts w:cs="Arial"/>
                <w:szCs w:val="20"/>
              </w:rPr>
              <w:t xml:space="preserve">  The community-controlled sector is supported to strengthen its capacity and capability to deliver high quality services to Aboriginal and Torres Strait Islander communities</w:t>
            </w:r>
            <w:r w:rsidR="000919E5" w:rsidRPr="007C1C61">
              <w:rPr>
                <w:rFonts w:cs="Arial"/>
                <w:szCs w:val="20"/>
              </w:rPr>
              <w:t>.</w:t>
            </w:r>
          </w:p>
          <w:p w14:paraId="5F06F0CF" w14:textId="03599AA4" w:rsidR="003B666F" w:rsidRPr="007C1C61" w:rsidRDefault="003B666F" w:rsidP="009252D5">
            <w:pPr>
              <w:pStyle w:val="TableTextLeft"/>
              <w:rPr>
                <w:rFonts w:cs="Arial"/>
                <w:szCs w:val="20"/>
              </w:rPr>
            </w:pPr>
            <w:r w:rsidRPr="00996933">
              <w:rPr>
                <w:rFonts w:cs="Arial"/>
                <w:b/>
                <w:bCs/>
                <w:szCs w:val="20"/>
              </w:rPr>
              <w:t>O:</w:t>
            </w:r>
            <w:r w:rsidRPr="007C1C61">
              <w:rPr>
                <w:rFonts w:cs="Arial"/>
                <w:szCs w:val="20"/>
              </w:rPr>
              <w:t xml:space="preserve">  Government agencies and service providers commit to </w:t>
            </w:r>
            <w:r w:rsidRPr="007C1C61">
              <w:rPr>
                <w:rFonts w:cs="Arial"/>
                <w:szCs w:val="20"/>
              </w:rPr>
              <w:lastRenderedPageBreak/>
              <w:t>genuine co-design processes and work in true partnerships with the community and ATSICCOs</w:t>
            </w:r>
            <w:r w:rsidR="000919E5" w:rsidRPr="007C1C61">
              <w:rPr>
                <w:rFonts w:cs="Arial"/>
                <w:szCs w:val="20"/>
              </w:rPr>
              <w:t>.</w:t>
            </w:r>
          </w:p>
        </w:tc>
        <w:tc>
          <w:tcPr>
            <w:tcW w:w="3685" w:type="dxa"/>
            <w:vMerge/>
          </w:tcPr>
          <w:p w14:paraId="28512BD0" w14:textId="77777777" w:rsidR="003B666F" w:rsidRPr="00E07195" w:rsidRDefault="003B666F" w:rsidP="009252D5">
            <w:pPr>
              <w:pStyle w:val="TableTextLeft"/>
              <w:rPr>
                <w:rFonts w:cs="Arial"/>
                <w:szCs w:val="20"/>
              </w:rPr>
            </w:pPr>
          </w:p>
        </w:tc>
        <w:tc>
          <w:tcPr>
            <w:tcW w:w="1627" w:type="dxa"/>
            <w:tcBorders>
              <w:bottom w:val="single" w:sz="4" w:space="0" w:color="auto"/>
            </w:tcBorders>
          </w:tcPr>
          <w:p w14:paraId="56900160" w14:textId="663E6438" w:rsidR="003B666F" w:rsidRPr="00E07195" w:rsidRDefault="006F21BA" w:rsidP="009252D5">
            <w:pPr>
              <w:pStyle w:val="TableTextLeft"/>
              <w:rPr>
                <w:rFonts w:cs="Arial"/>
                <w:szCs w:val="20"/>
              </w:rPr>
            </w:pPr>
            <w:r w:rsidRPr="00E07195">
              <w:rPr>
                <w:rFonts w:cs="Arial"/>
                <w:noProof/>
                <w:szCs w:val="20"/>
              </w:rPr>
              <w:drawing>
                <wp:inline distT="0" distB="0" distL="0" distR="0" wp14:anchorId="02979BA1" wp14:editId="66FA05FD">
                  <wp:extent cx="339271" cy="323850"/>
                  <wp:effectExtent l="0" t="0" r="3810" b="0"/>
                  <wp:docPr id="47" name="Picture 47" descr="Building block one - All families enjoy access to quality, culturally safe universal and targeted services necessary for Aboriginal and Torres Strait Islander children to thrive  &#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Building block one - All families enjoy access to quality, culturally safe universal and targeted services necessary for Aboriginal and Torres Strait Islander children to thrive  &#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3940" cy="328307"/>
                          </a:xfrm>
                          <a:prstGeom prst="rect">
                            <a:avLst/>
                          </a:prstGeom>
                        </pic:spPr>
                      </pic:pic>
                    </a:graphicData>
                  </a:graphic>
                </wp:inline>
              </w:drawing>
            </w:r>
          </w:p>
        </w:tc>
        <w:tc>
          <w:tcPr>
            <w:tcW w:w="1197" w:type="dxa"/>
            <w:tcBorders>
              <w:bottom w:val="single" w:sz="4" w:space="0" w:color="auto"/>
            </w:tcBorders>
          </w:tcPr>
          <w:p w14:paraId="2A20D120" w14:textId="54437024" w:rsidR="003B666F" w:rsidRPr="00453A57" w:rsidRDefault="0092506C" w:rsidP="00453A57">
            <w:pPr>
              <w:pStyle w:val="TableTextLeft"/>
              <w:jc w:val="center"/>
              <w:rPr>
                <w:rFonts w:cs="Arial"/>
                <w:b/>
                <w:bCs/>
                <w:sz w:val="32"/>
                <w:szCs w:val="32"/>
              </w:rPr>
            </w:pPr>
            <w:r w:rsidRPr="00453A57">
              <w:rPr>
                <w:rFonts w:cs="Arial"/>
                <w:b/>
                <w:bCs/>
                <w:sz w:val="32"/>
                <w:szCs w:val="32"/>
                <w:shd w:val="clear" w:color="auto" w:fill="FFFFFF"/>
              </w:rPr>
              <w:t>2</w:t>
            </w:r>
          </w:p>
        </w:tc>
        <w:tc>
          <w:tcPr>
            <w:tcW w:w="1260" w:type="dxa"/>
            <w:tcBorders>
              <w:bottom w:val="single" w:sz="4" w:space="0" w:color="auto"/>
            </w:tcBorders>
          </w:tcPr>
          <w:p w14:paraId="319EAD82" w14:textId="20960B32" w:rsidR="003B666F" w:rsidRPr="00453A57" w:rsidRDefault="00984024" w:rsidP="00453A57">
            <w:pPr>
              <w:pStyle w:val="TableTextLeft"/>
              <w:jc w:val="center"/>
              <w:rPr>
                <w:rFonts w:cs="Arial"/>
                <w:b/>
                <w:bCs/>
                <w:sz w:val="32"/>
                <w:szCs w:val="32"/>
              </w:rPr>
            </w:pPr>
            <w:r w:rsidRPr="00453A57">
              <w:rPr>
                <w:rFonts w:cs="Arial"/>
                <w:b/>
                <w:bCs/>
                <w:sz w:val="32"/>
                <w:szCs w:val="32"/>
              </w:rPr>
              <w:t>4</w:t>
            </w:r>
          </w:p>
        </w:tc>
      </w:tr>
      <w:tr w:rsidR="009252D5" w:rsidRPr="00E07195" w14:paraId="359BBE4E" w14:textId="20CE8411" w:rsidTr="25F521CE">
        <w:tc>
          <w:tcPr>
            <w:tcW w:w="1847" w:type="dxa"/>
            <w:tcBorders>
              <w:bottom w:val="single" w:sz="12" w:space="0" w:color="auto"/>
            </w:tcBorders>
            <w:shd w:val="clear" w:color="auto" w:fill="FEEFD3" w:themeFill="accent2" w:themeFillTint="33"/>
          </w:tcPr>
          <w:p w14:paraId="06152FDD" w14:textId="77777777" w:rsidR="003B666F" w:rsidRPr="00E07195" w:rsidRDefault="003B666F" w:rsidP="009252D5">
            <w:pPr>
              <w:pStyle w:val="TableHeadingLeft"/>
              <w:rPr>
                <w:rFonts w:cs="Arial"/>
                <w:szCs w:val="20"/>
              </w:rPr>
            </w:pPr>
          </w:p>
        </w:tc>
        <w:tc>
          <w:tcPr>
            <w:tcW w:w="1928" w:type="dxa"/>
            <w:tcBorders>
              <w:bottom w:val="single" w:sz="12" w:space="0" w:color="auto"/>
            </w:tcBorders>
          </w:tcPr>
          <w:p w14:paraId="75D9F385" w14:textId="1C232FE6" w:rsidR="003B666F" w:rsidRPr="00E07195" w:rsidRDefault="00E3651C" w:rsidP="009252D5">
            <w:pPr>
              <w:pStyle w:val="TableTextLeft"/>
              <w:rPr>
                <w:rFonts w:cs="Arial"/>
                <w:b/>
                <w:bCs/>
                <w:szCs w:val="20"/>
              </w:rPr>
            </w:pPr>
            <w:r w:rsidRPr="00E07195">
              <w:rPr>
                <w:rFonts w:cs="Arial"/>
                <w:b/>
                <w:bCs/>
                <w:szCs w:val="20"/>
              </w:rPr>
              <w:t>D</w:t>
            </w:r>
            <w:r w:rsidR="00466465" w:rsidRPr="00E07195">
              <w:rPr>
                <w:rFonts w:cs="Arial"/>
                <w:b/>
                <w:bCs/>
                <w:szCs w:val="20"/>
              </w:rPr>
              <w:t>YJ</w:t>
            </w:r>
            <w:r w:rsidRPr="00E07195">
              <w:rPr>
                <w:rFonts w:cs="Arial"/>
                <w:b/>
                <w:bCs/>
                <w:szCs w:val="20"/>
              </w:rPr>
              <w:t>ESBT</w:t>
            </w:r>
          </w:p>
        </w:tc>
        <w:tc>
          <w:tcPr>
            <w:tcW w:w="3061" w:type="dxa"/>
            <w:tcBorders>
              <w:bottom w:val="single" w:sz="12" w:space="0" w:color="auto"/>
            </w:tcBorders>
          </w:tcPr>
          <w:p w14:paraId="47795BAF" w14:textId="6564F237" w:rsidR="00573CFD" w:rsidRDefault="003A188F" w:rsidP="00FC4D24">
            <w:pPr>
              <w:pStyle w:val="TableTextLeft"/>
            </w:pPr>
            <w:r w:rsidRPr="00C57D2E">
              <w:rPr>
                <w:b/>
                <w:bCs/>
              </w:rPr>
              <w:t>6.3</w:t>
            </w:r>
            <w:r w:rsidRPr="00C57D2E">
              <w:t xml:space="preserve"> Increase participation, completion and employment for Aboriginal and Torres Strait Islander parents and young people exiting long-term care</w:t>
            </w:r>
            <w:r>
              <w:t>.</w:t>
            </w:r>
          </w:p>
          <w:p w14:paraId="6CAD202A" w14:textId="77777777" w:rsidR="003A188F" w:rsidRDefault="003A188F" w:rsidP="00FC4D24">
            <w:pPr>
              <w:pStyle w:val="TableTextLeft"/>
              <w:rPr>
                <w:rFonts w:cs="Arial"/>
                <w:b/>
                <w:bCs/>
                <w:szCs w:val="20"/>
              </w:rPr>
            </w:pPr>
          </w:p>
          <w:p w14:paraId="45602509" w14:textId="60BC8BE1" w:rsidR="00FC4D24" w:rsidRPr="00E07195" w:rsidRDefault="00FC4D24" w:rsidP="00FC4D24">
            <w:pPr>
              <w:pStyle w:val="TableTextLeft"/>
              <w:rPr>
                <w:rFonts w:cs="Arial"/>
                <w:szCs w:val="20"/>
              </w:rPr>
            </w:pPr>
            <w:r w:rsidRPr="00E07195">
              <w:rPr>
                <w:rFonts w:cs="Arial"/>
                <w:b/>
                <w:bCs/>
                <w:szCs w:val="20"/>
              </w:rPr>
              <w:t>Timing:</w:t>
            </w:r>
            <w:r w:rsidRPr="00E07195">
              <w:rPr>
                <w:rFonts w:cs="Arial"/>
                <w:szCs w:val="20"/>
              </w:rPr>
              <w:t xml:space="preserve">  </w:t>
            </w:r>
            <w:r w:rsidR="000B3D7A" w:rsidRPr="00E07195">
              <w:rPr>
                <w:rFonts w:cs="Arial"/>
                <w:b/>
                <w:bCs/>
                <w:szCs w:val="20"/>
              </w:rPr>
              <w:t xml:space="preserve"> </w:t>
            </w:r>
            <w:r w:rsidR="000B3D7A" w:rsidRPr="00E07195">
              <w:rPr>
                <w:rFonts w:cs="Arial"/>
                <w:szCs w:val="20"/>
              </w:rPr>
              <w:t>Years 1 to 3 (2023</w:t>
            </w:r>
            <w:r w:rsidR="00C96CC8">
              <w:rPr>
                <w:rFonts w:eastAsia="Calibri"/>
              </w:rPr>
              <w:t>–</w:t>
            </w:r>
            <w:r w:rsidR="000B3D7A" w:rsidRPr="00E07195">
              <w:rPr>
                <w:rFonts w:cs="Arial"/>
                <w:szCs w:val="20"/>
              </w:rPr>
              <w:t>2025)</w:t>
            </w:r>
          </w:p>
        </w:tc>
        <w:tc>
          <w:tcPr>
            <w:tcW w:w="3685" w:type="dxa"/>
            <w:tcBorders>
              <w:bottom w:val="single" w:sz="12" w:space="0" w:color="auto"/>
            </w:tcBorders>
          </w:tcPr>
          <w:p w14:paraId="372792FD" w14:textId="15E0701B" w:rsidR="00FC4D24" w:rsidRPr="00E07195" w:rsidRDefault="00FC4D24" w:rsidP="009252D5">
            <w:pPr>
              <w:pStyle w:val="TableTextLeft"/>
              <w:rPr>
                <w:rFonts w:eastAsia="Times New Roman" w:cs="Arial"/>
                <w:szCs w:val="20"/>
                <w:lang w:eastAsia="en-AU"/>
              </w:rPr>
            </w:pPr>
            <w:r w:rsidRPr="00E07195">
              <w:rPr>
                <w:rFonts w:eastAsia="Calibri" w:cs="Arial"/>
                <w:b/>
                <w:bCs/>
                <w:szCs w:val="20"/>
              </w:rPr>
              <w:t>D:</w:t>
            </w:r>
            <w:r w:rsidRPr="00E07195">
              <w:rPr>
                <w:rFonts w:eastAsia="Calibri" w:cs="Arial"/>
                <w:szCs w:val="20"/>
              </w:rPr>
              <w:t xml:space="preserve"> </w:t>
            </w:r>
            <w:r w:rsidRPr="00E07195">
              <w:rPr>
                <w:rFonts w:eastAsia="Times New Roman" w:cs="Arial"/>
                <w:szCs w:val="20"/>
                <w:lang w:eastAsia="en-AU"/>
              </w:rPr>
              <w:t xml:space="preserve"> Skilling Queenslanders for Work (SQW) will continue supporting Aboriginal and Torres Strait Islander people</w:t>
            </w:r>
            <w:r w:rsidR="000B7470">
              <w:rPr>
                <w:rFonts w:eastAsia="Times New Roman" w:cs="Arial"/>
                <w:szCs w:val="20"/>
                <w:lang w:eastAsia="en-AU"/>
              </w:rPr>
              <w:t>s</w:t>
            </w:r>
            <w:r w:rsidRPr="00E07195">
              <w:rPr>
                <w:rFonts w:eastAsia="Times New Roman" w:cs="Arial"/>
                <w:szCs w:val="20"/>
                <w:lang w:eastAsia="en-AU"/>
              </w:rPr>
              <w:t xml:space="preserve"> into employment. </w:t>
            </w:r>
          </w:p>
          <w:p w14:paraId="2823B754" w14:textId="77777777" w:rsidR="000B7470" w:rsidRDefault="000B7470" w:rsidP="006D6F41">
            <w:pPr>
              <w:spacing w:line="259" w:lineRule="auto"/>
              <w:rPr>
                <w:rFonts w:eastAsia="Calibri" w:cs="Arial"/>
                <w:b/>
                <w:bCs/>
                <w:sz w:val="20"/>
                <w:szCs w:val="20"/>
                <w:lang w:eastAsia="en-AU"/>
              </w:rPr>
            </w:pPr>
          </w:p>
          <w:p w14:paraId="71516717" w14:textId="2E73B641" w:rsidR="006D6F41" w:rsidRPr="00E07195" w:rsidRDefault="006D6F41" w:rsidP="006D6F41">
            <w:pPr>
              <w:spacing w:line="259" w:lineRule="auto"/>
              <w:rPr>
                <w:rFonts w:eastAsia="Times New Roman" w:cs="Arial"/>
                <w:color w:val="000000" w:themeColor="text1"/>
                <w:sz w:val="20"/>
                <w:szCs w:val="20"/>
                <w:lang w:eastAsia="en-AU"/>
              </w:rPr>
            </w:pPr>
            <w:r w:rsidRPr="00E07195">
              <w:rPr>
                <w:rFonts w:eastAsia="Calibri" w:cs="Arial"/>
                <w:b/>
                <w:bCs/>
                <w:sz w:val="20"/>
                <w:szCs w:val="20"/>
                <w:lang w:eastAsia="en-AU"/>
              </w:rPr>
              <w:t xml:space="preserve">SI: </w:t>
            </w:r>
            <w:r w:rsidRPr="00E07195">
              <w:rPr>
                <w:rFonts w:eastAsia="Calibri" w:cs="Arial"/>
                <w:color w:val="FF0000"/>
                <w:sz w:val="20"/>
                <w:szCs w:val="20"/>
                <w:lang w:eastAsia="en-AU"/>
              </w:rPr>
              <w:t xml:space="preserve"> </w:t>
            </w:r>
            <w:r w:rsidRPr="00E07195">
              <w:rPr>
                <w:rFonts w:eastAsia="Times New Roman" w:cs="Arial"/>
                <w:color w:val="000000" w:themeColor="text1"/>
                <w:sz w:val="20"/>
                <w:szCs w:val="20"/>
                <w:lang w:eastAsia="en-AU"/>
              </w:rPr>
              <w:t>The number of Aboriginal and Torres Strait Islander people</w:t>
            </w:r>
            <w:r w:rsidR="000B7470">
              <w:rPr>
                <w:rFonts w:eastAsia="Times New Roman" w:cs="Arial"/>
                <w:color w:val="000000" w:themeColor="text1"/>
                <w:sz w:val="20"/>
                <w:szCs w:val="20"/>
                <w:lang w:eastAsia="en-AU"/>
              </w:rPr>
              <w:t>s</w:t>
            </w:r>
            <w:r w:rsidRPr="00E07195">
              <w:rPr>
                <w:rFonts w:eastAsia="Times New Roman" w:cs="Arial"/>
                <w:color w:val="000000" w:themeColor="text1"/>
                <w:sz w:val="20"/>
                <w:szCs w:val="20"/>
                <w:lang w:eastAsia="en-AU"/>
              </w:rPr>
              <w:t xml:space="preserve"> who have received assistance since 1 July 2015.  Note data is cumulative as </w:t>
            </w:r>
            <w:proofErr w:type="gramStart"/>
            <w:r w:rsidRPr="00E07195">
              <w:rPr>
                <w:rFonts w:eastAsia="Times New Roman" w:cs="Arial"/>
                <w:color w:val="000000" w:themeColor="text1"/>
                <w:sz w:val="20"/>
                <w:szCs w:val="20"/>
                <w:lang w:eastAsia="en-AU"/>
              </w:rPr>
              <w:t>at</w:t>
            </w:r>
            <w:proofErr w:type="gramEnd"/>
            <w:r w:rsidRPr="00E07195">
              <w:rPr>
                <w:rFonts w:eastAsia="Times New Roman" w:cs="Arial"/>
                <w:color w:val="000000" w:themeColor="text1"/>
                <w:sz w:val="20"/>
                <w:szCs w:val="20"/>
                <w:lang w:eastAsia="en-AU"/>
              </w:rPr>
              <w:t xml:space="preserve"> 1 July 2015.</w:t>
            </w:r>
          </w:p>
          <w:p w14:paraId="5AECC761" w14:textId="5CD69089" w:rsidR="006D6F41" w:rsidRPr="00E07195" w:rsidRDefault="006D6F41" w:rsidP="006D6F41">
            <w:pPr>
              <w:spacing w:line="259" w:lineRule="auto"/>
              <w:rPr>
                <w:rFonts w:eastAsia="Times New Roman" w:cs="Arial"/>
                <w:color w:val="000000" w:themeColor="text1"/>
                <w:sz w:val="20"/>
                <w:szCs w:val="20"/>
                <w:lang w:eastAsia="en-AU"/>
              </w:rPr>
            </w:pPr>
            <w:r w:rsidRPr="00E07195">
              <w:rPr>
                <w:rFonts w:eastAsia="Times New Roman" w:cs="Arial"/>
                <w:color w:val="000000" w:themeColor="text1"/>
                <w:sz w:val="20"/>
                <w:szCs w:val="20"/>
                <w:lang w:eastAsia="en-AU"/>
              </w:rPr>
              <w:t>The percentage of Aboriginal and Torres Strait Islander people</w:t>
            </w:r>
            <w:r w:rsidR="000B7470">
              <w:rPr>
                <w:rFonts w:eastAsia="Times New Roman" w:cs="Arial"/>
                <w:color w:val="000000" w:themeColor="text1"/>
                <w:sz w:val="20"/>
                <w:szCs w:val="20"/>
                <w:lang w:eastAsia="en-AU"/>
              </w:rPr>
              <w:t>s</w:t>
            </w:r>
            <w:r w:rsidRPr="00E07195">
              <w:rPr>
                <w:rFonts w:eastAsia="Times New Roman" w:cs="Arial"/>
                <w:color w:val="000000" w:themeColor="text1"/>
                <w:sz w:val="20"/>
                <w:szCs w:val="20"/>
                <w:lang w:eastAsia="en-AU"/>
              </w:rPr>
              <w:t xml:space="preserve"> who have exited a program and have experienced a positive outcome - either securing employment, going on to further study or undertaking a combination of both.  </w:t>
            </w:r>
          </w:p>
          <w:p w14:paraId="48A9AEFA" w14:textId="7D3CD193" w:rsidR="006D6F41" w:rsidRPr="00E07195" w:rsidRDefault="006D6F41" w:rsidP="006D6F41">
            <w:pPr>
              <w:rPr>
                <w:rFonts w:eastAsia="Calibri" w:cs="Arial"/>
                <w:color w:val="FF0000"/>
                <w:sz w:val="20"/>
                <w:szCs w:val="20"/>
                <w:lang w:eastAsia="en-AU"/>
              </w:rPr>
            </w:pPr>
            <w:r w:rsidRPr="00E07195">
              <w:rPr>
                <w:rFonts w:eastAsia="Times New Roman" w:cs="Arial"/>
                <w:color w:val="000000" w:themeColor="text1"/>
                <w:sz w:val="20"/>
                <w:szCs w:val="20"/>
                <w:lang w:eastAsia="en-AU"/>
              </w:rPr>
              <w:t>Positive outcomes (percentage) for Aboriginal and Torres Strait Islander people</w:t>
            </w:r>
            <w:r w:rsidR="000B7470">
              <w:rPr>
                <w:rFonts w:eastAsia="Times New Roman" w:cs="Arial"/>
                <w:color w:val="000000" w:themeColor="text1"/>
                <w:sz w:val="20"/>
                <w:szCs w:val="20"/>
                <w:lang w:eastAsia="en-AU"/>
              </w:rPr>
              <w:t>s</w:t>
            </w:r>
            <w:r w:rsidRPr="00E07195">
              <w:rPr>
                <w:rFonts w:eastAsia="Times New Roman" w:cs="Arial"/>
                <w:color w:val="000000" w:themeColor="text1"/>
                <w:sz w:val="20"/>
                <w:szCs w:val="20"/>
                <w:lang w:eastAsia="en-AU"/>
              </w:rPr>
              <w:t xml:space="preserve"> 12 months after exiting a SQW program (Queensland Government Statistician’s Office SQW Survey Report December 2021).</w:t>
            </w:r>
            <w:r w:rsidRPr="00E07195">
              <w:rPr>
                <w:rFonts w:eastAsia="Calibri" w:cs="Arial"/>
                <w:color w:val="FF0000"/>
                <w:sz w:val="20"/>
                <w:szCs w:val="20"/>
                <w:lang w:eastAsia="en-AU"/>
              </w:rPr>
              <w:t xml:space="preserve"> </w:t>
            </w:r>
          </w:p>
          <w:p w14:paraId="1284032A" w14:textId="3DBEB143" w:rsidR="00A33E64" w:rsidRDefault="00FC4D24" w:rsidP="00A33E64">
            <w:pPr>
              <w:pStyle w:val="TableTextLeft"/>
              <w:rPr>
                <w:rFonts w:eastAsia="Calibri" w:cs="Arial"/>
                <w:szCs w:val="20"/>
              </w:rPr>
            </w:pPr>
            <w:r w:rsidRPr="00E07195">
              <w:rPr>
                <w:rFonts w:eastAsia="Calibri" w:cs="Arial"/>
                <w:b/>
                <w:szCs w:val="20"/>
                <w:lang w:eastAsia="en-AU"/>
              </w:rPr>
              <w:t>D:</w:t>
            </w:r>
            <w:r w:rsidRPr="00E07195">
              <w:rPr>
                <w:rFonts w:eastAsia="Calibri" w:cs="Arial"/>
                <w:szCs w:val="20"/>
                <w:lang w:eastAsia="en-AU"/>
              </w:rPr>
              <w:t xml:space="preserve"> Indigenous Workforce and Skills Development Grant program (IWSDG) – the program aims to create training </w:t>
            </w:r>
            <w:r w:rsidRPr="00E07195">
              <w:rPr>
                <w:rFonts w:eastAsia="Calibri" w:cs="Arial"/>
                <w:szCs w:val="20"/>
                <w:lang w:eastAsia="en-AU"/>
              </w:rPr>
              <w:lastRenderedPageBreak/>
              <w:t xml:space="preserve">and employment pathways for up to 800 Aboriginal and Torres Strait Islander peoples to increase their </w:t>
            </w:r>
            <w:r w:rsidR="00A33E64" w:rsidRPr="00A33E64">
              <w:rPr>
                <w:rFonts w:eastAsia="Calibri" w:cs="Arial"/>
                <w:szCs w:val="20"/>
              </w:rPr>
              <w:t>l</w:t>
            </w:r>
            <w:r w:rsidRPr="00A33E64">
              <w:rPr>
                <w:rFonts w:eastAsia="Calibri" w:cs="Arial"/>
                <w:szCs w:val="20"/>
              </w:rPr>
              <w:t>ikelihood of greater economic and social participation.</w:t>
            </w:r>
          </w:p>
          <w:p w14:paraId="57A321BE" w14:textId="77777777" w:rsidR="006D6F41" w:rsidRPr="00A33E64" w:rsidRDefault="006D6F41" w:rsidP="00A33E64">
            <w:pPr>
              <w:pStyle w:val="TableTextLeft"/>
              <w:rPr>
                <w:rFonts w:eastAsia="Calibri" w:cs="Arial"/>
                <w:szCs w:val="20"/>
              </w:rPr>
            </w:pPr>
          </w:p>
          <w:p w14:paraId="7C83D54B" w14:textId="77777777" w:rsidR="006D6F41" w:rsidRPr="00E07195" w:rsidRDefault="006D6F41" w:rsidP="006D6F41">
            <w:pPr>
              <w:rPr>
                <w:rFonts w:eastAsia="Calibri" w:cs="Arial"/>
                <w:sz w:val="20"/>
                <w:szCs w:val="20"/>
                <w:lang w:eastAsia="en-AU"/>
              </w:rPr>
            </w:pPr>
            <w:r w:rsidRPr="00E07195">
              <w:rPr>
                <w:rFonts w:eastAsia="Calibri" w:cs="Arial"/>
                <w:sz w:val="20"/>
                <w:szCs w:val="20"/>
                <w:lang w:eastAsia="en-AU"/>
              </w:rPr>
              <w:t>There are two funding rounds over two years up until 30 June 2024.  Successful projects are yet to be announced, the first funding round closed on 4 May 2023.</w:t>
            </w:r>
          </w:p>
          <w:p w14:paraId="7B3AAD7A" w14:textId="21410039" w:rsidR="00FC4D24" w:rsidRDefault="00FC4D24" w:rsidP="00A33E64">
            <w:pPr>
              <w:pStyle w:val="TableTextLeft"/>
              <w:rPr>
                <w:rFonts w:eastAsia="Calibri" w:cs="Arial"/>
                <w:szCs w:val="20"/>
              </w:rPr>
            </w:pPr>
            <w:r w:rsidRPr="00A33E64">
              <w:rPr>
                <w:rFonts w:eastAsia="Calibri" w:cs="Arial"/>
                <w:b/>
                <w:bCs/>
                <w:szCs w:val="20"/>
              </w:rPr>
              <w:t xml:space="preserve">D: </w:t>
            </w:r>
            <w:r w:rsidRPr="00A33E64">
              <w:rPr>
                <w:rFonts w:eastAsia="Calibri" w:cs="Arial"/>
                <w:szCs w:val="20"/>
              </w:rPr>
              <w:t>Back to Work – Continue to support Aboriginal and Torres Strait Islander people</w:t>
            </w:r>
            <w:r w:rsidR="000B7470">
              <w:rPr>
                <w:rFonts w:eastAsia="Calibri" w:cs="Arial"/>
                <w:szCs w:val="20"/>
              </w:rPr>
              <w:t>s</w:t>
            </w:r>
            <w:r w:rsidRPr="00A33E64">
              <w:rPr>
                <w:rFonts w:eastAsia="Calibri" w:cs="Arial"/>
                <w:szCs w:val="20"/>
              </w:rPr>
              <w:t xml:space="preserve"> into employment through initiative.</w:t>
            </w:r>
          </w:p>
          <w:p w14:paraId="48888A41" w14:textId="77777777" w:rsidR="00A33E64" w:rsidRPr="00A33E64" w:rsidRDefault="00A33E64" w:rsidP="00A33E64">
            <w:pPr>
              <w:pStyle w:val="TableTextLeft"/>
              <w:rPr>
                <w:rFonts w:eastAsia="Calibri" w:cs="Arial"/>
                <w:szCs w:val="20"/>
              </w:rPr>
            </w:pPr>
          </w:p>
          <w:p w14:paraId="79B8F8C9" w14:textId="77777777" w:rsidR="00FC4D24" w:rsidRDefault="00FC4D24" w:rsidP="00FC4D24">
            <w:pPr>
              <w:rPr>
                <w:rFonts w:eastAsia="Calibri" w:cs="Arial"/>
                <w:sz w:val="20"/>
                <w:szCs w:val="20"/>
                <w:lang w:eastAsia="en-AU"/>
              </w:rPr>
            </w:pPr>
            <w:r w:rsidRPr="00E07195">
              <w:rPr>
                <w:rFonts w:eastAsia="Calibri" w:cs="Arial"/>
                <w:b/>
                <w:sz w:val="20"/>
                <w:szCs w:val="20"/>
                <w:lang w:eastAsia="en-AU"/>
              </w:rPr>
              <w:t xml:space="preserve">SI: </w:t>
            </w:r>
            <w:r w:rsidRPr="00E07195">
              <w:rPr>
                <w:rFonts w:eastAsia="Calibri" w:cs="Arial"/>
                <w:sz w:val="20"/>
                <w:szCs w:val="20"/>
                <w:lang w:eastAsia="en-AU"/>
              </w:rPr>
              <w:t xml:space="preserve">The number of Aboriginal and Torres Strait Islanders assisted and who have exited an IWSDG project either securing employment, going on to further study or achieving a combination of both. </w:t>
            </w:r>
          </w:p>
          <w:p w14:paraId="760259DE" w14:textId="55B23C15" w:rsidR="006D6F41" w:rsidRPr="00F55CDD" w:rsidRDefault="006D6F41" w:rsidP="006D6F41">
            <w:pPr>
              <w:rPr>
                <w:rFonts w:eastAsia="Calibri" w:cstheme="minorHAnsi"/>
                <w:sz w:val="20"/>
                <w:szCs w:val="20"/>
                <w:lang w:eastAsia="en-AU"/>
              </w:rPr>
            </w:pPr>
            <w:r w:rsidRPr="00F55CDD">
              <w:rPr>
                <w:rFonts w:eastAsia="Calibri" w:cstheme="minorHAnsi"/>
                <w:b/>
                <w:bCs/>
                <w:sz w:val="20"/>
                <w:szCs w:val="20"/>
                <w:lang w:eastAsia="en-AU"/>
              </w:rPr>
              <w:t xml:space="preserve">(D) </w:t>
            </w:r>
            <w:r w:rsidRPr="00F55CDD">
              <w:rPr>
                <w:rFonts w:eastAsia="Calibri" w:cstheme="minorHAnsi"/>
                <w:sz w:val="20"/>
                <w:szCs w:val="20"/>
                <w:lang w:eastAsia="en-AU"/>
              </w:rPr>
              <w:t>Back to Work – Continue to support Aboriginal and Torres Strait Islander people</w:t>
            </w:r>
            <w:r w:rsidR="000B7470">
              <w:rPr>
                <w:rFonts w:eastAsia="Calibri" w:cstheme="minorHAnsi"/>
                <w:sz w:val="20"/>
                <w:szCs w:val="20"/>
                <w:lang w:eastAsia="en-AU"/>
              </w:rPr>
              <w:t>s</w:t>
            </w:r>
            <w:r w:rsidRPr="00F55CDD">
              <w:rPr>
                <w:rFonts w:eastAsia="Calibri" w:cstheme="minorHAnsi"/>
                <w:sz w:val="20"/>
                <w:szCs w:val="20"/>
                <w:lang w:eastAsia="en-AU"/>
              </w:rPr>
              <w:t xml:space="preserve"> into employment through initiative.</w:t>
            </w:r>
          </w:p>
          <w:p w14:paraId="22AF9CCF" w14:textId="77777777" w:rsidR="006D6F41" w:rsidRPr="00F55CDD" w:rsidRDefault="006D6F41" w:rsidP="006D6F41">
            <w:pPr>
              <w:spacing w:line="259" w:lineRule="auto"/>
              <w:rPr>
                <w:rFonts w:eastAsia="Times New Roman" w:cstheme="minorHAnsi"/>
                <w:color w:val="000000" w:themeColor="text1"/>
                <w:sz w:val="20"/>
                <w:szCs w:val="20"/>
                <w:lang w:eastAsia="en-AU"/>
              </w:rPr>
            </w:pPr>
            <w:r w:rsidRPr="00F55CDD">
              <w:rPr>
                <w:rFonts w:eastAsia="Calibri" w:cstheme="minorHAnsi"/>
                <w:b/>
                <w:bCs/>
                <w:sz w:val="20"/>
                <w:szCs w:val="20"/>
                <w:lang w:eastAsia="en-AU"/>
              </w:rPr>
              <w:t xml:space="preserve">(SI) </w:t>
            </w:r>
            <w:r w:rsidRPr="00F55CDD">
              <w:rPr>
                <w:rFonts w:eastAsia="Calibri" w:cstheme="minorHAnsi"/>
                <w:sz w:val="20"/>
                <w:szCs w:val="20"/>
                <w:lang w:eastAsia="en-AU"/>
              </w:rPr>
              <w:t xml:space="preserve">The number of Aboriginal and Torres Strait Islander jobseekers who have benefitted from assistance since 1 July 2016. </w:t>
            </w:r>
            <w:r w:rsidRPr="00F55CDD">
              <w:rPr>
                <w:rFonts w:eastAsia="Times New Roman" w:cstheme="minorHAnsi"/>
                <w:color w:val="000000" w:themeColor="text1"/>
                <w:sz w:val="20"/>
                <w:szCs w:val="20"/>
                <w:lang w:eastAsia="en-AU"/>
              </w:rPr>
              <w:t xml:space="preserve">Note data is cumulative as </w:t>
            </w:r>
            <w:proofErr w:type="gramStart"/>
            <w:r w:rsidRPr="00F55CDD">
              <w:rPr>
                <w:rFonts w:eastAsia="Times New Roman" w:cstheme="minorHAnsi"/>
                <w:color w:val="000000" w:themeColor="text1"/>
                <w:sz w:val="20"/>
                <w:szCs w:val="20"/>
                <w:lang w:eastAsia="en-AU"/>
              </w:rPr>
              <w:t>at</w:t>
            </w:r>
            <w:proofErr w:type="gramEnd"/>
            <w:r w:rsidRPr="00F55CDD">
              <w:rPr>
                <w:rFonts w:eastAsia="Times New Roman" w:cstheme="minorHAnsi"/>
                <w:color w:val="000000" w:themeColor="text1"/>
                <w:sz w:val="20"/>
                <w:szCs w:val="20"/>
                <w:lang w:eastAsia="en-AU"/>
              </w:rPr>
              <w:t xml:space="preserve"> 1 July 2016.</w:t>
            </w:r>
          </w:p>
          <w:p w14:paraId="14799D85" w14:textId="2DD1ED91" w:rsidR="006D6F41" w:rsidRPr="00F55CDD" w:rsidRDefault="006D6F41" w:rsidP="00F55CDD">
            <w:pPr>
              <w:spacing w:line="259" w:lineRule="auto"/>
              <w:rPr>
                <w:rFonts w:eastAsia="Calibri" w:cstheme="minorHAnsi"/>
                <w:highlight w:val="green"/>
                <w:lang w:eastAsia="en-AU"/>
              </w:rPr>
            </w:pPr>
            <w:r w:rsidRPr="00F55CDD">
              <w:rPr>
                <w:rFonts w:eastAsia="Calibri" w:cstheme="minorHAnsi"/>
                <w:b/>
                <w:bCs/>
                <w:sz w:val="20"/>
                <w:szCs w:val="20"/>
                <w:lang w:eastAsia="en-AU"/>
              </w:rPr>
              <w:t>(SI)</w:t>
            </w:r>
            <w:r w:rsidRPr="00F55CDD">
              <w:rPr>
                <w:rFonts w:eastAsia="Calibri" w:cstheme="minorHAnsi"/>
                <w:sz w:val="20"/>
                <w:szCs w:val="20"/>
                <w:lang w:eastAsia="en-AU"/>
              </w:rPr>
              <w:t xml:space="preserve"> The number of businesses who have supported employment opportunities for Aboriginal and Torres Strait Islander jobseekers.</w:t>
            </w:r>
          </w:p>
        </w:tc>
        <w:tc>
          <w:tcPr>
            <w:tcW w:w="3118" w:type="dxa"/>
            <w:tcBorders>
              <w:bottom w:val="single" w:sz="12" w:space="0" w:color="auto"/>
            </w:tcBorders>
          </w:tcPr>
          <w:p w14:paraId="338F85FC" w14:textId="7FBAD7C5" w:rsidR="00FC4D24" w:rsidRDefault="00FC4D24" w:rsidP="007C1C61">
            <w:pPr>
              <w:pStyle w:val="TableTextLeft"/>
              <w:rPr>
                <w:rFonts w:cs="Arial"/>
                <w:szCs w:val="20"/>
              </w:rPr>
            </w:pPr>
            <w:r w:rsidRPr="007C1C61">
              <w:rPr>
                <w:rFonts w:cs="Arial"/>
                <w:b/>
                <w:bCs/>
                <w:szCs w:val="20"/>
              </w:rPr>
              <w:lastRenderedPageBreak/>
              <w:t>O:</w:t>
            </w:r>
            <w:r w:rsidRPr="007C1C61">
              <w:rPr>
                <w:rFonts w:cs="Arial"/>
                <w:szCs w:val="20"/>
              </w:rPr>
              <w:t xml:space="preserve"> Supports self-determination and local decision</w:t>
            </w:r>
            <w:r w:rsidR="00487CA6">
              <w:rPr>
                <w:rFonts w:cs="Arial"/>
                <w:szCs w:val="20"/>
              </w:rPr>
              <w:t>-</w:t>
            </w:r>
            <w:r w:rsidRPr="007C1C61">
              <w:rPr>
                <w:rFonts w:cs="Arial"/>
                <w:szCs w:val="20"/>
              </w:rPr>
              <w:t xml:space="preserve">making, and delivery of place-based solutions to skills, </w:t>
            </w:r>
            <w:proofErr w:type="gramStart"/>
            <w:r w:rsidRPr="007C1C61">
              <w:rPr>
                <w:rFonts w:cs="Arial"/>
                <w:szCs w:val="20"/>
              </w:rPr>
              <w:t>employment</w:t>
            </w:r>
            <w:proofErr w:type="gramEnd"/>
            <w:r w:rsidRPr="007C1C61">
              <w:rPr>
                <w:rFonts w:cs="Arial"/>
                <w:szCs w:val="20"/>
              </w:rPr>
              <w:t xml:space="preserve"> and workforce challenges/needs. </w:t>
            </w:r>
          </w:p>
          <w:p w14:paraId="3DF4A650" w14:textId="77777777" w:rsidR="006D6F41" w:rsidRPr="007C1C61" w:rsidRDefault="006D6F41" w:rsidP="007C1C61">
            <w:pPr>
              <w:pStyle w:val="TableTextLeft"/>
              <w:rPr>
                <w:rFonts w:cs="Arial"/>
                <w:szCs w:val="20"/>
              </w:rPr>
            </w:pPr>
          </w:p>
          <w:p w14:paraId="60B21B63" w14:textId="40C89064" w:rsidR="00FC4D24" w:rsidRPr="007C1C61" w:rsidRDefault="00FC4D24" w:rsidP="007C1C61">
            <w:pPr>
              <w:pStyle w:val="TableTextLeft"/>
              <w:rPr>
                <w:rFonts w:cs="Arial"/>
                <w:szCs w:val="20"/>
              </w:rPr>
            </w:pPr>
            <w:r w:rsidRPr="007C1C61">
              <w:rPr>
                <w:rFonts w:cs="Arial"/>
                <w:b/>
                <w:bCs/>
                <w:szCs w:val="20"/>
              </w:rPr>
              <w:t>O:</w:t>
            </w:r>
            <w:r w:rsidRPr="007C1C61">
              <w:rPr>
                <w:rFonts w:cs="Arial"/>
                <w:szCs w:val="20"/>
              </w:rPr>
              <w:t xml:space="preserve"> IWSDG has a project-based delivery model and will fund Indigenous-led projects to address a training and skills challenge or opportunity, with a specific focus on activities that support job outcomes and improved economic participant and advantage.</w:t>
            </w:r>
          </w:p>
          <w:p w14:paraId="6593585F" w14:textId="77777777" w:rsidR="00FC4D24" w:rsidRPr="007C1C61" w:rsidRDefault="00FC4D24" w:rsidP="007C1C61">
            <w:pPr>
              <w:pStyle w:val="TableTextLeft"/>
              <w:rPr>
                <w:rFonts w:cs="Arial"/>
                <w:szCs w:val="20"/>
              </w:rPr>
            </w:pPr>
          </w:p>
          <w:p w14:paraId="189CA33A" w14:textId="77777777" w:rsidR="003B666F" w:rsidRPr="007C1C61" w:rsidRDefault="003B666F" w:rsidP="007C1C61">
            <w:pPr>
              <w:pStyle w:val="TableTextLeft"/>
              <w:rPr>
                <w:rFonts w:cs="Arial"/>
                <w:szCs w:val="20"/>
              </w:rPr>
            </w:pPr>
          </w:p>
        </w:tc>
        <w:tc>
          <w:tcPr>
            <w:tcW w:w="3685" w:type="dxa"/>
            <w:tcBorders>
              <w:bottom w:val="single" w:sz="12" w:space="0" w:color="auto"/>
            </w:tcBorders>
          </w:tcPr>
          <w:p w14:paraId="456488C0" w14:textId="77777777" w:rsidR="00FC4D24" w:rsidRPr="00E07195" w:rsidRDefault="00FC4D24" w:rsidP="00FC4D24">
            <w:pPr>
              <w:rPr>
                <w:rFonts w:eastAsia="Times New Roman" w:cs="Arial"/>
                <w:sz w:val="20"/>
                <w:szCs w:val="20"/>
                <w:lang w:eastAsia="en-AU"/>
              </w:rPr>
            </w:pPr>
            <w:r w:rsidRPr="00E07195">
              <w:rPr>
                <w:rFonts w:eastAsia="Times New Roman" w:cs="Arial"/>
                <w:sz w:val="20"/>
                <w:szCs w:val="20"/>
                <w:lang w:eastAsia="en-AU"/>
              </w:rPr>
              <w:t xml:space="preserve">SQW represents a commitment to </w:t>
            </w:r>
            <w:r w:rsidRPr="00E07195">
              <w:rPr>
                <w:rFonts w:eastAsia="Arial" w:cs="Arial"/>
                <w:sz w:val="20"/>
                <w:szCs w:val="20"/>
                <w:lang w:eastAsia="en-AU"/>
              </w:rPr>
              <w:t xml:space="preserve">increase workforce participation, drive job growth and strengthen the performance of the Queensland economy by improving skills development and work opportunities for disadvantaged Queenslanders. </w:t>
            </w:r>
            <w:r w:rsidRPr="00E07195">
              <w:rPr>
                <w:rFonts w:eastAsia="Arial" w:cs="Arial"/>
                <w:sz w:val="20"/>
                <w:szCs w:val="20"/>
                <w:lang w:eastAsia="en-AU"/>
              </w:rPr>
              <w:br/>
            </w:r>
            <w:r w:rsidRPr="00E07195">
              <w:rPr>
                <w:rFonts w:eastAsia="Times New Roman" w:cs="Arial"/>
                <w:sz w:val="20"/>
                <w:szCs w:val="20"/>
                <w:lang w:eastAsia="en-AU"/>
              </w:rPr>
              <w:t xml:space="preserve"> </w:t>
            </w:r>
          </w:p>
          <w:p w14:paraId="3CDF0318" w14:textId="54AC2DDD" w:rsidR="00FC4D24" w:rsidRPr="00E07195" w:rsidRDefault="00FC4D24" w:rsidP="00FC4D24">
            <w:pPr>
              <w:rPr>
                <w:rFonts w:eastAsia="Calibri" w:cs="Arial"/>
                <w:sz w:val="20"/>
                <w:szCs w:val="20"/>
              </w:rPr>
            </w:pPr>
            <w:r w:rsidRPr="00E07195">
              <w:rPr>
                <w:rFonts w:eastAsia="Calibri" w:cs="Arial"/>
                <w:sz w:val="20"/>
                <w:szCs w:val="20"/>
              </w:rPr>
              <w:t>Tailored, local community-based support is offered to young people, mature-age job seekers, Aboriginal and Torres Strait Islander people</w:t>
            </w:r>
            <w:r w:rsidR="000B7470">
              <w:rPr>
                <w:rFonts w:eastAsia="Calibri" w:cs="Arial"/>
                <w:sz w:val="20"/>
                <w:szCs w:val="20"/>
              </w:rPr>
              <w:t>s</w:t>
            </w:r>
            <w:r w:rsidRPr="00E07195">
              <w:rPr>
                <w:rFonts w:eastAsia="Calibri" w:cs="Arial"/>
                <w:sz w:val="20"/>
                <w:szCs w:val="20"/>
              </w:rPr>
              <w:t xml:space="preserve">, people with disability, women re-entering the workforce, Australian Defence Force (ADF) veterans, recently released </w:t>
            </w:r>
            <w:r w:rsidR="007C1C61" w:rsidRPr="00E07195">
              <w:rPr>
                <w:rFonts w:eastAsia="Calibri" w:cs="Arial"/>
                <w:sz w:val="20"/>
                <w:szCs w:val="20"/>
              </w:rPr>
              <w:t>prisoners,</w:t>
            </w:r>
            <w:r w:rsidRPr="00E07195">
              <w:rPr>
                <w:rFonts w:eastAsia="Calibri" w:cs="Arial"/>
                <w:sz w:val="20"/>
                <w:szCs w:val="20"/>
              </w:rPr>
              <w:t xml:space="preserve"> and people from culturally and linguistically diverse backgrounds.</w:t>
            </w:r>
          </w:p>
          <w:p w14:paraId="7CEFF1A0" w14:textId="77777777" w:rsidR="00FC4D24" w:rsidRPr="00E07195" w:rsidRDefault="00FC4D24" w:rsidP="00FC4D24">
            <w:pPr>
              <w:rPr>
                <w:rFonts w:eastAsia="Calibri" w:cs="Arial"/>
                <w:sz w:val="20"/>
                <w:szCs w:val="20"/>
              </w:rPr>
            </w:pPr>
            <w:r w:rsidRPr="00E07195">
              <w:rPr>
                <w:rFonts w:eastAsia="Calibri" w:cs="Arial"/>
                <w:sz w:val="20"/>
                <w:szCs w:val="20"/>
              </w:rPr>
              <w:t>IWSDG is a key action under Paving the Way – First Nations Training Strategy.  It is a commitment to fund Indigenous designed and led projects that support or respond to local training and workforce needs.</w:t>
            </w:r>
          </w:p>
          <w:p w14:paraId="7E8B6EFD" w14:textId="77777777" w:rsidR="00FC4D24" w:rsidRPr="00E07195" w:rsidRDefault="00FC4D24" w:rsidP="00FC4D24">
            <w:pPr>
              <w:rPr>
                <w:rFonts w:eastAsia="Calibri" w:cs="Arial"/>
                <w:sz w:val="20"/>
                <w:szCs w:val="20"/>
              </w:rPr>
            </w:pPr>
            <w:r w:rsidRPr="00E07195">
              <w:rPr>
                <w:rFonts w:eastAsia="Calibri" w:cs="Arial"/>
                <w:sz w:val="20"/>
                <w:szCs w:val="20"/>
              </w:rPr>
              <w:t xml:space="preserve">The program specifically targets Aboriginal and Torres Strait Islander </w:t>
            </w:r>
            <w:r w:rsidRPr="00E07195">
              <w:rPr>
                <w:rFonts w:eastAsia="Calibri" w:cs="Arial"/>
                <w:sz w:val="20"/>
                <w:szCs w:val="20"/>
              </w:rPr>
              <w:lastRenderedPageBreak/>
              <w:t xml:space="preserve">peoples who are seeking local training and employment opportunities.  </w:t>
            </w:r>
          </w:p>
          <w:p w14:paraId="0D5EF75A" w14:textId="77777777" w:rsidR="00FC4D24" w:rsidRPr="00E07195" w:rsidRDefault="00FC4D24" w:rsidP="00FC4D24">
            <w:pPr>
              <w:rPr>
                <w:rFonts w:eastAsia="Calibri" w:cs="Arial"/>
                <w:sz w:val="20"/>
                <w:szCs w:val="20"/>
              </w:rPr>
            </w:pPr>
            <w:r w:rsidRPr="00E07195">
              <w:rPr>
                <w:rFonts w:eastAsia="Calibri" w:cs="Arial"/>
                <w:sz w:val="20"/>
                <w:szCs w:val="20"/>
              </w:rPr>
              <w:t>Back to Work provides businesses the confidence to employ Queenslanders who have experienced a period of unemployment and help workers facing disadvantage in the labour market.</w:t>
            </w:r>
          </w:p>
          <w:p w14:paraId="110B635F" w14:textId="6C68667A" w:rsidR="00FC4D24" w:rsidRPr="00E07195" w:rsidRDefault="00FC4D24" w:rsidP="00FC4D24">
            <w:pPr>
              <w:rPr>
                <w:rFonts w:eastAsia="Calibri" w:cs="Arial"/>
                <w:sz w:val="20"/>
                <w:szCs w:val="20"/>
              </w:rPr>
            </w:pPr>
            <w:r w:rsidRPr="00E07195">
              <w:rPr>
                <w:rFonts w:eastAsia="Calibri" w:cs="Arial"/>
                <w:sz w:val="20"/>
                <w:szCs w:val="20"/>
              </w:rPr>
              <w:t>Back to Work focuses on financial and non-financial support for jobseekers, employers and their employees who identify as belonging to specific target groups including Aboriginal and Torres Strait Islander people</w:t>
            </w:r>
            <w:r w:rsidR="007C1C61">
              <w:rPr>
                <w:rFonts w:eastAsia="Calibri" w:cs="Arial"/>
                <w:sz w:val="20"/>
                <w:szCs w:val="20"/>
              </w:rPr>
              <w:t>s</w:t>
            </w:r>
            <w:r w:rsidRPr="00E07195">
              <w:rPr>
                <w:rFonts w:eastAsia="Calibri" w:cs="Arial"/>
                <w:sz w:val="20"/>
                <w:szCs w:val="20"/>
              </w:rPr>
              <w:t>.</w:t>
            </w:r>
          </w:p>
          <w:p w14:paraId="4876108A" w14:textId="38B9A7BB" w:rsidR="00E3651C" w:rsidRPr="00E07195" w:rsidRDefault="00E3651C" w:rsidP="009252D5">
            <w:pPr>
              <w:pStyle w:val="TableTextLeft"/>
              <w:rPr>
                <w:rFonts w:cs="Arial"/>
                <w:szCs w:val="20"/>
              </w:rPr>
            </w:pPr>
          </w:p>
          <w:p w14:paraId="4C2EAC7B" w14:textId="77777777" w:rsidR="003B666F" w:rsidRPr="00E07195" w:rsidRDefault="003B666F" w:rsidP="009252D5">
            <w:pPr>
              <w:pStyle w:val="TableTextLeft"/>
              <w:rPr>
                <w:rFonts w:cs="Arial"/>
                <w:szCs w:val="20"/>
              </w:rPr>
            </w:pPr>
          </w:p>
        </w:tc>
        <w:tc>
          <w:tcPr>
            <w:tcW w:w="1627" w:type="dxa"/>
            <w:tcBorders>
              <w:bottom w:val="single" w:sz="12" w:space="0" w:color="auto"/>
            </w:tcBorders>
          </w:tcPr>
          <w:p w14:paraId="06FC250F" w14:textId="1E36ECB0" w:rsidR="003B666F" w:rsidRPr="00E07195" w:rsidRDefault="00C22CDE" w:rsidP="009252D5">
            <w:pPr>
              <w:pStyle w:val="TableTextLeft"/>
              <w:rPr>
                <w:rFonts w:cs="Arial"/>
                <w:szCs w:val="20"/>
              </w:rPr>
            </w:pPr>
            <w:r>
              <w:rPr>
                <w:noProof/>
              </w:rPr>
              <w:lastRenderedPageBreak/>
              <w:drawing>
                <wp:inline distT="0" distB="0" distL="0" distR="0" wp14:anchorId="3C22CF44" wp14:editId="344B703A">
                  <wp:extent cx="339271" cy="323850"/>
                  <wp:effectExtent l="0" t="0" r="3810" b="0"/>
                  <wp:docPr id="7" name="Picture 7" descr="Building block one - All families enjoy access to quality, culturally safe universal and targeted services necessary for Aboriginal and Torres Strait Islander children to thrive  &#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uilding block one - All families enjoy access to quality, culturally safe universal and targeted services necessary for Aboriginal and Torres Strait Islander children to thrive  &#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3940" cy="328307"/>
                          </a:xfrm>
                          <a:prstGeom prst="rect">
                            <a:avLst/>
                          </a:prstGeom>
                        </pic:spPr>
                      </pic:pic>
                    </a:graphicData>
                  </a:graphic>
                </wp:inline>
              </w:drawing>
            </w:r>
          </w:p>
        </w:tc>
        <w:tc>
          <w:tcPr>
            <w:tcW w:w="1197" w:type="dxa"/>
            <w:tcBorders>
              <w:bottom w:val="single" w:sz="12" w:space="0" w:color="auto"/>
            </w:tcBorders>
          </w:tcPr>
          <w:p w14:paraId="477C25ED" w14:textId="62942366" w:rsidR="003B666F" w:rsidRPr="00453A57" w:rsidRDefault="00C22CDE" w:rsidP="00453A57">
            <w:pPr>
              <w:pStyle w:val="TableTextLeft"/>
              <w:jc w:val="center"/>
              <w:rPr>
                <w:rFonts w:cs="Arial"/>
                <w:b/>
                <w:bCs/>
                <w:sz w:val="32"/>
                <w:szCs w:val="32"/>
              </w:rPr>
            </w:pPr>
            <w:r>
              <w:rPr>
                <w:rFonts w:cs="Arial"/>
                <w:b/>
                <w:bCs/>
                <w:sz w:val="32"/>
                <w:szCs w:val="32"/>
              </w:rPr>
              <w:t>2</w:t>
            </w:r>
          </w:p>
        </w:tc>
        <w:tc>
          <w:tcPr>
            <w:tcW w:w="1260" w:type="dxa"/>
            <w:tcBorders>
              <w:bottom w:val="single" w:sz="12" w:space="0" w:color="auto"/>
            </w:tcBorders>
          </w:tcPr>
          <w:p w14:paraId="2DAD44BD" w14:textId="04070771" w:rsidR="003B666F" w:rsidRPr="00453A57" w:rsidRDefault="00C22CDE" w:rsidP="00453A57">
            <w:pPr>
              <w:pStyle w:val="TableTextLeft"/>
              <w:jc w:val="center"/>
              <w:rPr>
                <w:rFonts w:cs="Arial"/>
                <w:b/>
                <w:bCs/>
                <w:sz w:val="32"/>
                <w:szCs w:val="32"/>
              </w:rPr>
            </w:pPr>
            <w:r>
              <w:rPr>
                <w:rFonts w:cs="Arial"/>
                <w:b/>
                <w:bCs/>
                <w:sz w:val="32"/>
                <w:szCs w:val="32"/>
              </w:rPr>
              <w:t>4</w:t>
            </w:r>
          </w:p>
        </w:tc>
      </w:tr>
      <w:tr w:rsidR="009252D5" w:rsidRPr="00E07195" w14:paraId="04D9EAF2" w14:textId="6186242A" w:rsidTr="25F521CE">
        <w:tc>
          <w:tcPr>
            <w:tcW w:w="1847" w:type="dxa"/>
            <w:vMerge w:val="restart"/>
            <w:tcBorders>
              <w:top w:val="single" w:sz="12" w:space="0" w:color="auto"/>
            </w:tcBorders>
            <w:shd w:val="clear" w:color="auto" w:fill="FEEFD3" w:themeFill="accent2" w:themeFillTint="33"/>
          </w:tcPr>
          <w:p w14:paraId="28C45E8A" w14:textId="2CE2381A" w:rsidR="003B666F" w:rsidRPr="00E07195" w:rsidRDefault="003B666F" w:rsidP="009252D5">
            <w:pPr>
              <w:pStyle w:val="TableHeadingLeft"/>
              <w:rPr>
                <w:rFonts w:cs="Arial"/>
                <w:szCs w:val="20"/>
              </w:rPr>
            </w:pPr>
            <w:r w:rsidRPr="00E07195">
              <w:rPr>
                <w:rFonts w:cs="Arial"/>
                <w:szCs w:val="20"/>
              </w:rPr>
              <w:t>7:</w:t>
            </w:r>
          </w:p>
          <w:p w14:paraId="344795C9" w14:textId="1B046D1A" w:rsidR="003B666F" w:rsidRPr="00E07195" w:rsidRDefault="003B666F" w:rsidP="009252D5">
            <w:pPr>
              <w:pStyle w:val="TableHeadingLeft"/>
              <w:rPr>
                <w:rFonts w:cs="Arial"/>
                <w:szCs w:val="20"/>
              </w:rPr>
            </w:pPr>
            <w:r w:rsidRPr="00E07195">
              <w:rPr>
                <w:rFonts w:cs="Arial"/>
                <w:szCs w:val="20"/>
              </w:rPr>
              <w:t>Cross-government commitment to address over-representation and improve wellbeing outcomes</w:t>
            </w:r>
          </w:p>
        </w:tc>
        <w:tc>
          <w:tcPr>
            <w:tcW w:w="1928" w:type="dxa"/>
            <w:tcBorders>
              <w:top w:val="single" w:sz="12" w:space="0" w:color="auto"/>
            </w:tcBorders>
          </w:tcPr>
          <w:p w14:paraId="30345BFC" w14:textId="1B04E29D" w:rsidR="003B666F" w:rsidRPr="00E07195" w:rsidRDefault="00A2074D" w:rsidP="009252D5">
            <w:pPr>
              <w:pStyle w:val="TableTextLeft"/>
              <w:rPr>
                <w:rFonts w:cs="Arial"/>
                <w:b/>
                <w:bCs/>
                <w:szCs w:val="20"/>
              </w:rPr>
            </w:pPr>
            <w:r w:rsidRPr="00E07195">
              <w:rPr>
                <w:rFonts w:cs="Arial"/>
                <w:b/>
                <w:bCs/>
                <w:szCs w:val="20"/>
              </w:rPr>
              <w:t xml:space="preserve">DCSSDS </w:t>
            </w:r>
          </w:p>
          <w:p w14:paraId="4A18DA4B" w14:textId="77777777" w:rsidR="00A2074D" w:rsidRPr="00E07195" w:rsidRDefault="00A2074D" w:rsidP="009252D5">
            <w:pPr>
              <w:pStyle w:val="TableTextLeft"/>
              <w:rPr>
                <w:rFonts w:cs="Arial"/>
                <w:szCs w:val="20"/>
              </w:rPr>
            </w:pPr>
          </w:p>
          <w:p w14:paraId="394A027B" w14:textId="5E9A13DA" w:rsidR="003B666F" w:rsidRPr="00E07195" w:rsidRDefault="003A188F" w:rsidP="009252D5">
            <w:pPr>
              <w:pStyle w:val="TableTextLeft"/>
              <w:rPr>
                <w:rFonts w:cs="Arial"/>
                <w:szCs w:val="20"/>
              </w:rPr>
            </w:pPr>
            <w:r>
              <w:rPr>
                <w:rFonts w:cs="Arial"/>
                <w:szCs w:val="20"/>
              </w:rPr>
              <w:t>All state government agencies</w:t>
            </w:r>
          </w:p>
        </w:tc>
        <w:tc>
          <w:tcPr>
            <w:tcW w:w="3061" w:type="dxa"/>
            <w:tcBorders>
              <w:top w:val="single" w:sz="12" w:space="0" w:color="auto"/>
            </w:tcBorders>
          </w:tcPr>
          <w:p w14:paraId="10855B77" w14:textId="312B2355" w:rsidR="003B666F" w:rsidRPr="00E07195" w:rsidRDefault="003A188F" w:rsidP="009252D5">
            <w:pPr>
              <w:pStyle w:val="TableTextLeft"/>
              <w:rPr>
                <w:rFonts w:cs="Arial"/>
                <w:szCs w:val="20"/>
              </w:rPr>
            </w:pPr>
            <w:r w:rsidRPr="00DD60C7">
              <w:rPr>
                <w:rFonts w:cs="Arial"/>
                <w:b/>
                <w:bCs/>
                <w:szCs w:val="20"/>
              </w:rPr>
              <w:t>7.1</w:t>
            </w:r>
            <w:r w:rsidRPr="00DD60C7">
              <w:rPr>
                <w:rFonts w:cs="Arial"/>
                <w:szCs w:val="20"/>
              </w:rPr>
              <w:t xml:space="preserve"> Implement the Aboriginal and Torres Strait Islander Wellbeing Outcomes Framework across Queensland Government to guide planning and decision</w:t>
            </w:r>
            <w:r>
              <w:rPr>
                <w:rFonts w:cs="Arial"/>
                <w:szCs w:val="20"/>
              </w:rPr>
              <w:t>-</w:t>
            </w:r>
            <w:r w:rsidRPr="00DD60C7">
              <w:rPr>
                <w:rFonts w:cs="Arial"/>
                <w:szCs w:val="20"/>
              </w:rPr>
              <w:t>making as it relates to the wellbeing outcomes of Aboriginal and Torres Strait Islander children and families.</w:t>
            </w:r>
          </w:p>
          <w:p w14:paraId="619AC28A" w14:textId="77777777" w:rsidR="00573CFD" w:rsidRDefault="00573CFD" w:rsidP="009252D5">
            <w:pPr>
              <w:pStyle w:val="TableTextLeft"/>
              <w:rPr>
                <w:rFonts w:cs="Arial"/>
                <w:b/>
                <w:bCs/>
                <w:szCs w:val="20"/>
              </w:rPr>
            </w:pPr>
          </w:p>
          <w:p w14:paraId="674E06F1" w14:textId="41EDDBE9" w:rsidR="003B666F" w:rsidRPr="00E07195" w:rsidRDefault="003B666F" w:rsidP="009252D5">
            <w:pPr>
              <w:pStyle w:val="TableTextLeft"/>
              <w:rPr>
                <w:rFonts w:cs="Arial"/>
                <w:szCs w:val="20"/>
              </w:rPr>
            </w:pPr>
            <w:r w:rsidRPr="00E07195">
              <w:rPr>
                <w:rFonts w:cs="Arial"/>
                <w:b/>
                <w:bCs/>
                <w:szCs w:val="20"/>
              </w:rPr>
              <w:lastRenderedPageBreak/>
              <w:t>Timing:</w:t>
            </w:r>
            <w:r w:rsidRPr="00E07195">
              <w:rPr>
                <w:rFonts w:cs="Arial"/>
                <w:szCs w:val="20"/>
              </w:rPr>
              <w:t xml:space="preserve"> Years 1 to 3 (2023</w:t>
            </w:r>
            <w:r w:rsidR="00C96CC8">
              <w:rPr>
                <w:rFonts w:eastAsia="Calibri"/>
              </w:rPr>
              <w:t>–</w:t>
            </w:r>
            <w:r w:rsidRPr="00E07195">
              <w:rPr>
                <w:rFonts w:cs="Arial"/>
                <w:szCs w:val="20"/>
              </w:rPr>
              <w:t>2025)</w:t>
            </w:r>
          </w:p>
        </w:tc>
        <w:tc>
          <w:tcPr>
            <w:tcW w:w="3685" w:type="dxa"/>
            <w:tcBorders>
              <w:top w:val="single" w:sz="12" w:space="0" w:color="auto"/>
            </w:tcBorders>
          </w:tcPr>
          <w:p w14:paraId="2D7531B0" w14:textId="57F881EA" w:rsidR="004F216E" w:rsidRDefault="003B666F" w:rsidP="009252D5">
            <w:pPr>
              <w:pStyle w:val="TableTextLeft"/>
              <w:rPr>
                <w:rFonts w:cs="Arial"/>
                <w:szCs w:val="20"/>
              </w:rPr>
            </w:pPr>
            <w:r w:rsidRPr="00E07195">
              <w:rPr>
                <w:rFonts w:cs="Arial"/>
                <w:b/>
                <w:bCs/>
                <w:szCs w:val="20"/>
              </w:rPr>
              <w:lastRenderedPageBreak/>
              <w:t>D:</w:t>
            </w:r>
            <w:r w:rsidRPr="00E07195">
              <w:rPr>
                <w:rFonts w:cs="Arial"/>
                <w:szCs w:val="20"/>
              </w:rPr>
              <w:t xml:space="preserve">  Implementation</w:t>
            </w:r>
            <w:r w:rsidR="00302598" w:rsidRPr="00E07195">
              <w:rPr>
                <w:rFonts w:cs="Arial"/>
                <w:szCs w:val="20"/>
              </w:rPr>
              <w:t xml:space="preserve"> and communication</w:t>
            </w:r>
            <w:r w:rsidRPr="00E07195">
              <w:rPr>
                <w:rFonts w:cs="Arial"/>
                <w:szCs w:val="20"/>
              </w:rPr>
              <w:t xml:space="preserve"> plan to develop and trial a training and resources package to increase whole-of-government engagement with the </w:t>
            </w:r>
            <w:r w:rsidRPr="00E07195">
              <w:rPr>
                <w:rFonts w:cs="Arial"/>
                <w:i/>
                <w:iCs/>
                <w:szCs w:val="20"/>
              </w:rPr>
              <w:t>Our Way</w:t>
            </w:r>
            <w:r w:rsidRPr="00E07195">
              <w:rPr>
                <w:rFonts w:cs="Arial"/>
                <w:szCs w:val="20"/>
              </w:rPr>
              <w:t xml:space="preserve"> strategy and use of the Wellbeing Outcomes Framework</w:t>
            </w:r>
            <w:r w:rsidR="009C71C5" w:rsidRPr="00E07195">
              <w:rPr>
                <w:rFonts w:cs="Arial"/>
                <w:szCs w:val="20"/>
              </w:rPr>
              <w:t>.</w:t>
            </w:r>
          </w:p>
          <w:p w14:paraId="739CC12D" w14:textId="77777777" w:rsidR="003A188F" w:rsidRPr="00E07195" w:rsidRDefault="003A188F" w:rsidP="009252D5">
            <w:pPr>
              <w:pStyle w:val="TableTextLeft"/>
              <w:rPr>
                <w:rFonts w:cs="Arial"/>
                <w:szCs w:val="20"/>
              </w:rPr>
            </w:pPr>
          </w:p>
          <w:p w14:paraId="7D4ADD49" w14:textId="014A9ED4" w:rsidR="004F216E" w:rsidRPr="00E07195" w:rsidRDefault="004F216E" w:rsidP="009252D5">
            <w:pPr>
              <w:pStyle w:val="TableTextLeft"/>
              <w:rPr>
                <w:rFonts w:cs="Arial"/>
                <w:szCs w:val="20"/>
              </w:rPr>
            </w:pPr>
            <w:r w:rsidRPr="00E07195">
              <w:rPr>
                <w:rFonts w:cs="Arial"/>
                <w:b/>
                <w:bCs/>
                <w:szCs w:val="20"/>
              </w:rPr>
              <w:t xml:space="preserve">SI: </w:t>
            </w:r>
            <w:r w:rsidRPr="00E07195">
              <w:rPr>
                <w:rFonts w:cs="Arial"/>
                <w:szCs w:val="20"/>
              </w:rPr>
              <w:t xml:space="preserve"> </w:t>
            </w:r>
            <w:r w:rsidR="00302598" w:rsidRPr="00E07195">
              <w:rPr>
                <w:rFonts w:cs="Arial"/>
                <w:szCs w:val="20"/>
              </w:rPr>
              <w:t xml:space="preserve">Demonstrated awareness and understanding of Queensland </w:t>
            </w:r>
            <w:r w:rsidR="00302598" w:rsidRPr="00E07195">
              <w:rPr>
                <w:rFonts w:cs="Arial"/>
                <w:szCs w:val="20"/>
              </w:rPr>
              <w:lastRenderedPageBreak/>
              <w:t>Government agencies regarding the Wellbeing Outcomes Framework</w:t>
            </w:r>
            <w:r w:rsidR="009C71C5" w:rsidRPr="00E07195">
              <w:rPr>
                <w:rFonts w:cs="Arial"/>
                <w:szCs w:val="20"/>
              </w:rPr>
              <w:t>.</w:t>
            </w:r>
          </w:p>
          <w:p w14:paraId="376D38B9" w14:textId="096DC081" w:rsidR="003B666F" w:rsidRPr="00E07195" w:rsidRDefault="004F216E" w:rsidP="009252D5">
            <w:pPr>
              <w:pStyle w:val="TableTextLeft"/>
              <w:rPr>
                <w:rFonts w:cs="Arial"/>
                <w:szCs w:val="20"/>
              </w:rPr>
            </w:pPr>
            <w:r w:rsidRPr="00E07195">
              <w:rPr>
                <w:rFonts w:cs="Arial"/>
                <w:b/>
                <w:bCs/>
                <w:szCs w:val="20"/>
              </w:rPr>
              <w:t xml:space="preserve">SI: </w:t>
            </w:r>
            <w:r w:rsidR="00302598" w:rsidRPr="00E07195">
              <w:rPr>
                <w:rFonts w:cs="Arial"/>
                <w:szCs w:val="20"/>
              </w:rPr>
              <w:t>Examples of application of the W</w:t>
            </w:r>
            <w:r w:rsidR="009C71C5" w:rsidRPr="00E07195">
              <w:rPr>
                <w:rFonts w:cs="Arial"/>
                <w:szCs w:val="20"/>
              </w:rPr>
              <w:t xml:space="preserve">ellbeing </w:t>
            </w:r>
            <w:r w:rsidR="00302598" w:rsidRPr="00E07195">
              <w:rPr>
                <w:rFonts w:cs="Arial"/>
                <w:szCs w:val="20"/>
              </w:rPr>
              <w:t>O</w:t>
            </w:r>
            <w:r w:rsidR="009C71C5" w:rsidRPr="00E07195">
              <w:rPr>
                <w:rFonts w:cs="Arial"/>
                <w:szCs w:val="20"/>
              </w:rPr>
              <w:t xml:space="preserve">utcomes </w:t>
            </w:r>
            <w:r w:rsidR="00302598" w:rsidRPr="00E07195">
              <w:rPr>
                <w:rFonts w:cs="Arial"/>
                <w:szCs w:val="20"/>
              </w:rPr>
              <w:t>F</w:t>
            </w:r>
            <w:r w:rsidR="009C71C5" w:rsidRPr="00E07195">
              <w:rPr>
                <w:rFonts w:cs="Arial"/>
                <w:szCs w:val="20"/>
              </w:rPr>
              <w:t>ramework</w:t>
            </w:r>
            <w:r w:rsidR="00302598" w:rsidRPr="00E07195">
              <w:rPr>
                <w:rFonts w:cs="Arial"/>
                <w:szCs w:val="20"/>
              </w:rPr>
              <w:t xml:space="preserve"> </w:t>
            </w:r>
            <w:r w:rsidR="00DA18C6" w:rsidRPr="00E07195">
              <w:rPr>
                <w:rFonts w:cs="Arial"/>
                <w:szCs w:val="20"/>
              </w:rPr>
              <w:t>in DCSSDS</w:t>
            </w:r>
            <w:r w:rsidR="0015764E" w:rsidRPr="00E07195">
              <w:rPr>
                <w:rFonts w:cs="Arial"/>
                <w:szCs w:val="20"/>
              </w:rPr>
              <w:t xml:space="preserve"> </w:t>
            </w:r>
            <w:r w:rsidR="00302598" w:rsidRPr="00E07195">
              <w:rPr>
                <w:rFonts w:cs="Arial"/>
                <w:szCs w:val="20"/>
              </w:rPr>
              <w:t>and other Queensland Government agencies in relation to policy, service delivery and investment design and decisions</w:t>
            </w:r>
            <w:r w:rsidR="009C71C5" w:rsidRPr="00E07195">
              <w:rPr>
                <w:rFonts w:cs="Arial"/>
                <w:szCs w:val="20"/>
              </w:rPr>
              <w:t>.</w:t>
            </w:r>
            <w:r w:rsidRPr="00E07195">
              <w:rPr>
                <w:rFonts w:cs="Arial"/>
                <w:szCs w:val="20"/>
              </w:rPr>
              <w:t xml:space="preserve"> </w:t>
            </w:r>
          </w:p>
        </w:tc>
        <w:tc>
          <w:tcPr>
            <w:tcW w:w="3118" w:type="dxa"/>
            <w:tcBorders>
              <w:top w:val="single" w:sz="12" w:space="0" w:color="auto"/>
            </w:tcBorders>
          </w:tcPr>
          <w:p w14:paraId="63378CDF" w14:textId="4AFA0FC6" w:rsidR="003B666F" w:rsidRPr="00E07195" w:rsidRDefault="003B666F" w:rsidP="009252D5">
            <w:pPr>
              <w:pStyle w:val="TableTextLeft"/>
              <w:rPr>
                <w:rFonts w:cs="Arial"/>
                <w:szCs w:val="20"/>
              </w:rPr>
            </w:pPr>
            <w:r w:rsidRPr="00E07195">
              <w:rPr>
                <w:rFonts w:cs="Arial"/>
                <w:b/>
                <w:bCs/>
                <w:szCs w:val="20"/>
              </w:rPr>
              <w:lastRenderedPageBreak/>
              <w:t>O:</w:t>
            </w:r>
            <w:r w:rsidRPr="00E07195">
              <w:rPr>
                <w:rFonts w:cs="Arial"/>
                <w:szCs w:val="20"/>
              </w:rPr>
              <w:t xml:space="preserve">  All government agencies and service providers demonstrate strong awareness of and commitment towards the </w:t>
            </w:r>
            <w:r w:rsidRPr="00E07195">
              <w:rPr>
                <w:rFonts w:cs="Arial"/>
                <w:i/>
                <w:iCs/>
                <w:szCs w:val="20"/>
              </w:rPr>
              <w:t>Our Way</w:t>
            </w:r>
            <w:r w:rsidRPr="00E07195">
              <w:rPr>
                <w:rFonts w:cs="Arial"/>
                <w:szCs w:val="20"/>
              </w:rPr>
              <w:t xml:space="preserve"> strategy</w:t>
            </w:r>
            <w:r w:rsidR="009C71C5" w:rsidRPr="00E07195">
              <w:rPr>
                <w:rFonts w:cs="Arial"/>
                <w:szCs w:val="20"/>
              </w:rPr>
              <w:t>.</w:t>
            </w:r>
          </w:p>
          <w:p w14:paraId="77BF8402" w14:textId="76252AD7" w:rsidR="003B666F" w:rsidRPr="00E07195" w:rsidRDefault="003B666F" w:rsidP="009252D5">
            <w:pPr>
              <w:pStyle w:val="TableTextLeft"/>
              <w:rPr>
                <w:rFonts w:cs="Arial"/>
                <w:szCs w:val="20"/>
              </w:rPr>
            </w:pPr>
            <w:r w:rsidRPr="00E07195">
              <w:rPr>
                <w:rFonts w:cs="Arial"/>
                <w:b/>
                <w:bCs/>
                <w:szCs w:val="20"/>
              </w:rPr>
              <w:t>O:</w:t>
            </w:r>
            <w:r w:rsidRPr="00E07195">
              <w:rPr>
                <w:rFonts w:cs="Arial"/>
                <w:szCs w:val="20"/>
              </w:rPr>
              <w:t xml:space="preserve">  All government agencies and service providers understand their roles and the shared responsibility to achieve the objectives of </w:t>
            </w:r>
            <w:r w:rsidRPr="00E07195">
              <w:rPr>
                <w:rFonts w:cs="Arial"/>
                <w:i/>
                <w:iCs/>
                <w:szCs w:val="20"/>
              </w:rPr>
              <w:t>Our Way</w:t>
            </w:r>
            <w:r w:rsidR="009C71C5" w:rsidRPr="00E07195">
              <w:rPr>
                <w:rFonts w:cs="Arial"/>
                <w:szCs w:val="20"/>
              </w:rPr>
              <w:t>.</w:t>
            </w:r>
          </w:p>
          <w:p w14:paraId="7425DDA2" w14:textId="3634A66B" w:rsidR="003B666F" w:rsidRPr="00E07195" w:rsidRDefault="003B666F" w:rsidP="009252D5">
            <w:pPr>
              <w:pStyle w:val="TableTextLeft"/>
              <w:rPr>
                <w:rFonts w:cs="Arial"/>
                <w:szCs w:val="20"/>
              </w:rPr>
            </w:pPr>
            <w:r w:rsidRPr="00E07195">
              <w:rPr>
                <w:rFonts w:cs="Arial"/>
                <w:b/>
                <w:bCs/>
                <w:szCs w:val="20"/>
              </w:rPr>
              <w:lastRenderedPageBreak/>
              <w:t>O:</w:t>
            </w:r>
            <w:r w:rsidRPr="00E07195">
              <w:rPr>
                <w:rFonts w:cs="Arial"/>
                <w:szCs w:val="20"/>
              </w:rPr>
              <w:t xml:space="preserve">  All government agencies and service providers embed the principles of </w:t>
            </w:r>
            <w:r w:rsidRPr="00E07195">
              <w:rPr>
                <w:rFonts w:cs="Arial"/>
                <w:i/>
                <w:iCs/>
                <w:szCs w:val="20"/>
              </w:rPr>
              <w:t xml:space="preserve">Our Way </w:t>
            </w:r>
            <w:r w:rsidRPr="00E07195">
              <w:rPr>
                <w:rFonts w:cs="Arial"/>
                <w:szCs w:val="20"/>
              </w:rPr>
              <w:t>in its strategic planning, policy development and frontline service delivery processes</w:t>
            </w:r>
            <w:r w:rsidR="009C71C5" w:rsidRPr="00E07195">
              <w:rPr>
                <w:rFonts w:cs="Arial"/>
                <w:szCs w:val="20"/>
              </w:rPr>
              <w:t>.</w:t>
            </w:r>
          </w:p>
        </w:tc>
        <w:tc>
          <w:tcPr>
            <w:tcW w:w="3685" w:type="dxa"/>
            <w:tcBorders>
              <w:top w:val="single" w:sz="12" w:space="0" w:color="auto"/>
            </w:tcBorders>
          </w:tcPr>
          <w:p w14:paraId="0306745B" w14:textId="401C6A42" w:rsidR="003B666F" w:rsidRDefault="003B666F" w:rsidP="009252D5">
            <w:pPr>
              <w:pStyle w:val="TableTextLeft"/>
              <w:rPr>
                <w:rFonts w:cs="Arial"/>
                <w:szCs w:val="20"/>
              </w:rPr>
            </w:pPr>
            <w:r w:rsidRPr="00E07195">
              <w:rPr>
                <w:rFonts w:cs="Arial"/>
                <w:szCs w:val="20"/>
              </w:rPr>
              <w:lastRenderedPageBreak/>
              <w:t xml:space="preserve">The success of the </w:t>
            </w:r>
            <w:r w:rsidRPr="00E07195">
              <w:rPr>
                <w:rFonts w:cs="Arial"/>
                <w:i/>
                <w:iCs/>
                <w:szCs w:val="20"/>
              </w:rPr>
              <w:t>Our Way</w:t>
            </w:r>
            <w:r w:rsidRPr="00E07195">
              <w:rPr>
                <w:rFonts w:cs="Arial"/>
                <w:szCs w:val="20"/>
              </w:rPr>
              <w:t xml:space="preserve"> strategy is dependent on a genuine whole-of-government commitment and coordinated approach to improve wellbeing outcomes for Aboriginal and Torres Strait Islander children and families and address the drivers of over-representation in the child protection system.</w:t>
            </w:r>
          </w:p>
          <w:p w14:paraId="1D253F5E" w14:textId="77777777" w:rsidR="00F22C7C" w:rsidRPr="00E07195" w:rsidRDefault="00F22C7C" w:rsidP="009252D5">
            <w:pPr>
              <w:pStyle w:val="TableTextLeft"/>
              <w:rPr>
                <w:rFonts w:cs="Arial"/>
                <w:szCs w:val="20"/>
              </w:rPr>
            </w:pPr>
          </w:p>
          <w:p w14:paraId="49C86345" w14:textId="0E46EF9A" w:rsidR="003B666F" w:rsidRPr="00E07195" w:rsidRDefault="003B666F" w:rsidP="009252D5">
            <w:pPr>
              <w:pStyle w:val="TableTextLeft"/>
              <w:rPr>
                <w:rFonts w:cs="Arial"/>
                <w:szCs w:val="20"/>
              </w:rPr>
            </w:pPr>
            <w:r w:rsidRPr="00E07195">
              <w:rPr>
                <w:rFonts w:cs="Arial"/>
                <w:szCs w:val="20"/>
              </w:rPr>
              <w:lastRenderedPageBreak/>
              <w:t>The Wellbeing Outcomes Framework can be used to inform government investment and the development and evaluation of policies, programs and services for Aboriginal and Torres Strait Islander children and families.</w:t>
            </w:r>
          </w:p>
          <w:p w14:paraId="547979A0" w14:textId="77777777" w:rsidR="00F22C7C" w:rsidRDefault="00F22C7C" w:rsidP="00F73909">
            <w:pPr>
              <w:pStyle w:val="TableTextLeft"/>
              <w:rPr>
                <w:rFonts w:cs="Arial"/>
                <w:szCs w:val="20"/>
              </w:rPr>
            </w:pPr>
          </w:p>
          <w:p w14:paraId="6BB4742E" w14:textId="38FCC760" w:rsidR="003B666F" w:rsidRPr="00E07195" w:rsidRDefault="0015764E" w:rsidP="00F73909">
            <w:pPr>
              <w:pStyle w:val="TableTextLeft"/>
              <w:rPr>
                <w:rFonts w:cs="Arial"/>
                <w:szCs w:val="20"/>
              </w:rPr>
            </w:pPr>
            <w:r w:rsidRPr="00E07195">
              <w:rPr>
                <w:rFonts w:cs="Arial"/>
                <w:szCs w:val="20"/>
              </w:rPr>
              <w:t xml:space="preserve">DCSSDS </w:t>
            </w:r>
            <w:r w:rsidR="005B55D8" w:rsidRPr="00E07195">
              <w:rPr>
                <w:rFonts w:cs="Arial"/>
                <w:szCs w:val="20"/>
              </w:rPr>
              <w:t>has the lead role on behalf of Queensland Government to work with partner agencies to drive and confirm commitment to the W</w:t>
            </w:r>
            <w:r w:rsidR="009C71C5" w:rsidRPr="00E07195">
              <w:rPr>
                <w:rFonts w:cs="Arial"/>
                <w:szCs w:val="20"/>
              </w:rPr>
              <w:t xml:space="preserve">ellbeing </w:t>
            </w:r>
            <w:r w:rsidR="005B55D8" w:rsidRPr="00E07195">
              <w:rPr>
                <w:rFonts w:cs="Arial"/>
                <w:szCs w:val="20"/>
              </w:rPr>
              <w:t>O</w:t>
            </w:r>
            <w:r w:rsidR="009C71C5" w:rsidRPr="00E07195">
              <w:rPr>
                <w:rFonts w:cs="Arial"/>
                <w:szCs w:val="20"/>
              </w:rPr>
              <w:t xml:space="preserve">utcomes </w:t>
            </w:r>
            <w:r w:rsidR="005B55D8" w:rsidRPr="00E07195">
              <w:rPr>
                <w:rFonts w:cs="Arial"/>
                <w:szCs w:val="20"/>
              </w:rPr>
              <w:t>F</w:t>
            </w:r>
            <w:r w:rsidR="009C71C5" w:rsidRPr="00E07195">
              <w:rPr>
                <w:rFonts w:cs="Arial"/>
                <w:szCs w:val="20"/>
              </w:rPr>
              <w:t>ramework,</w:t>
            </w:r>
            <w:r w:rsidR="005B55D8" w:rsidRPr="00E07195">
              <w:rPr>
                <w:rFonts w:cs="Arial"/>
                <w:szCs w:val="20"/>
              </w:rPr>
              <w:t xml:space="preserve"> endorsed by all partners in 2021.</w:t>
            </w:r>
          </w:p>
        </w:tc>
        <w:tc>
          <w:tcPr>
            <w:tcW w:w="1627" w:type="dxa"/>
            <w:tcBorders>
              <w:top w:val="single" w:sz="12" w:space="0" w:color="auto"/>
            </w:tcBorders>
          </w:tcPr>
          <w:p w14:paraId="67723A25" w14:textId="7DBAC533" w:rsidR="003B666F" w:rsidRPr="00E07195" w:rsidRDefault="009A623A" w:rsidP="009252D5">
            <w:pPr>
              <w:pStyle w:val="TableTextLeft"/>
              <w:rPr>
                <w:rFonts w:cs="Arial"/>
                <w:szCs w:val="20"/>
              </w:rPr>
            </w:pPr>
            <w:r w:rsidRPr="00E07195">
              <w:rPr>
                <w:rFonts w:cs="Arial"/>
                <w:noProof/>
                <w:szCs w:val="20"/>
              </w:rPr>
              <w:lastRenderedPageBreak/>
              <w:drawing>
                <wp:inline distT="0" distB="0" distL="0" distR="0" wp14:anchorId="012C3A74" wp14:editId="6081F594">
                  <wp:extent cx="342429" cy="323215"/>
                  <wp:effectExtent l="0" t="0" r="635" b="635"/>
                  <wp:docPr id="481490051" name="Picture 481490051" descr="Building block three - Law, policy and practice in child and family welfare are culturally safe and responsive  &#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90051" name="Picture 481490051" descr="Building block three - Law, policy and practice in child and family welfare are culturally safe and responsive  &#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8823" cy="338689"/>
                          </a:xfrm>
                          <a:prstGeom prst="rect">
                            <a:avLst/>
                          </a:prstGeom>
                        </pic:spPr>
                      </pic:pic>
                    </a:graphicData>
                  </a:graphic>
                </wp:inline>
              </w:drawing>
            </w:r>
          </w:p>
        </w:tc>
        <w:tc>
          <w:tcPr>
            <w:tcW w:w="1197" w:type="dxa"/>
            <w:tcBorders>
              <w:top w:val="single" w:sz="12" w:space="0" w:color="auto"/>
            </w:tcBorders>
          </w:tcPr>
          <w:p w14:paraId="0C889CCB" w14:textId="3A31E7BA" w:rsidR="003B666F" w:rsidRPr="00453A57" w:rsidRDefault="0092506C" w:rsidP="00453A57">
            <w:pPr>
              <w:pStyle w:val="TableTextLeft"/>
              <w:jc w:val="center"/>
              <w:rPr>
                <w:rFonts w:cs="Arial"/>
                <w:b/>
                <w:bCs/>
                <w:sz w:val="32"/>
                <w:szCs w:val="32"/>
              </w:rPr>
            </w:pPr>
            <w:r w:rsidRPr="00453A57">
              <w:rPr>
                <w:rFonts w:cs="Arial"/>
                <w:b/>
                <w:bCs/>
                <w:sz w:val="32"/>
                <w:szCs w:val="32"/>
                <w:shd w:val="clear" w:color="auto" w:fill="FFFFFF"/>
              </w:rPr>
              <w:t>3</w:t>
            </w:r>
          </w:p>
        </w:tc>
        <w:tc>
          <w:tcPr>
            <w:tcW w:w="1260" w:type="dxa"/>
            <w:tcBorders>
              <w:top w:val="single" w:sz="12" w:space="0" w:color="auto"/>
            </w:tcBorders>
          </w:tcPr>
          <w:p w14:paraId="72265B09" w14:textId="6EFB8B0B" w:rsidR="003B666F" w:rsidRPr="00453A57" w:rsidRDefault="00984024" w:rsidP="00453A57">
            <w:pPr>
              <w:pStyle w:val="TableTextLeft"/>
              <w:jc w:val="center"/>
              <w:rPr>
                <w:rFonts w:cs="Arial"/>
                <w:b/>
                <w:bCs/>
                <w:sz w:val="32"/>
                <w:szCs w:val="32"/>
              </w:rPr>
            </w:pPr>
            <w:r w:rsidRPr="00453A57">
              <w:rPr>
                <w:rFonts w:cs="Arial"/>
                <w:b/>
                <w:bCs/>
                <w:sz w:val="32"/>
                <w:szCs w:val="32"/>
              </w:rPr>
              <w:t>8</w:t>
            </w:r>
          </w:p>
        </w:tc>
      </w:tr>
      <w:tr w:rsidR="009252D5" w:rsidRPr="00E07195" w14:paraId="41496D03" w14:textId="7F2FACCF" w:rsidTr="25F521CE">
        <w:trPr>
          <w:trHeight w:val="300"/>
        </w:trPr>
        <w:tc>
          <w:tcPr>
            <w:tcW w:w="1847" w:type="dxa"/>
            <w:vMerge/>
          </w:tcPr>
          <w:p w14:paraId="548916E1" w14:textId="77777777" w:rsidR="003B666F" w:rsidRPr="00E07195" w:rsidRDefault="003B666F" w:rsidP="009252D5">
            <w:pPr>
              <w:pStyle w:val="TableHeadingLeft"/>
              <w:rPr>
                <w:rFonts w:cs="Arial"/>
                <w:szCs w:val="20"/>
              </w:rPr>
            </w:pPr>
          </w:p>
        </w:tc>
        <w:tc>
          <w:tcPr>
            <w:tcW w:w="1928" w:type="dxa"/>
          </w:tcPr>
          <w:p w14:paraId="5FC2D471" w14:textId="016C5EB7" w:rsidR="003B666F" w:rsidRPr="00E07195" w:rsidRDefault="00A2074D" w:rsidP="009252D5">
            <w:pPr>
              <w:pStyle w:val="TableTextLeft"/>
              <w:rPr>
                <w:rFonts w:cs="Arial"/>
                <w:b/>
                <w:bCs/>
                <w:szCs w:val="20"/>
              </w:rPr>
            </w:pPr>
            <w:r w:rsidRPr="00E07195">
              <w:rPr>
                <w:rFonts w:cs="Arial"/>
                <w:b/>
                <w:bCs/>
                <w:szCs w:val="20"/>
              </w:rPr>
              <w:t>Q</w:t>
            </w:r>
            <w:r w:rsidR="003B666F" w:rsidRPr="00E07195">
              <w:rPr>
                <w:rFonts w:cs="Arial"/>
                <w:b/>
                <w:bCs/>
                <w:szCs w:val="20"/>
              </w:rPr>
              <w:t>H</w:t>
            </w:r>
          </w:p>
          <w:p w14:paraId="649B6578" w14:textId="77777777" w:rsidR="00A2074D" w:rsidRPr="00E07195" w:rsidRDefault="00A2074D" w:rsidP="009252D5">
            <w:pPr>
              <w:pStyle w:val="TableTextLeft"/>
              <w:rPr>
                <w:rFonts w:cs="Arial"/>
                <w:szCs w:val="20"/>
              </w:rPr>
            </w:pPr>
          </w:p>
          <w:p w14:paraId="32426794" w14:textId="77777777" w:rsidR="00A2074D" w:rsidRPr="00E07195" w:rsidRDefault="003B666F" w:rsidP="009252D5">
            <w:pPr>
              <w:pStyle w:val="TableTextLeft"/>
              <w:rPr>
                <w:rFonts w:cs="Arial"/>
                <w:szCs w:val="20"/>
              </w:rPr>
            </w:pPr>
            <w:r w:rsidRPr="00E07195">
              <w:rPr>
                <w:rFonts w:cs="Arial"/>
                <w:szCs w:val="20"/>
              </w:rPr>
              <w:t xml:space="preserve">QAIHC </w:t>
            </w:r>
          </w:p>
          <w:p w14:paraId="2A3FA768" w14:textId="7742DBA2" w:rsidR="003B666F" w:rsidRPr="00E07195" w:rsidRDefault="003B666F" w:rsidP="009252D5">
            <w:pPr>
              <w:pStyle w:val="TableTextLeft"/>
              <w:rPr>
                <w:rFonts w:cs="Arial"/>
                <w:szCs w:val="20"/>
              </w:rPr>
            </w:pPr>
            <w:proofErr w:type="gramStart"/>
            <w:r w:rsidRPr="00E07195">
              <w:rPr>
                <w:rFonts w:cs="Arial"/>
                <w:szCs w:val="20"/>
              </w:rPr>
              <w:t xml:space="preserve">QATSICPP </w:t>
            </w:r>
            <w:r w:rsidR="00A2074D" w:rsidRPr="00E07195">
              <w:rPr>
                <w:rFonts w:cs="Arial"/>
                <w:szCs w:val="20"/>
              </w:rPr>
              <w:t xml:space="preserve"> DCSSDS</w:t>
            </w:r>
            <w:proofErr w:type="gramEnd"/>
          </w:p>
        </w:tc>
        <w:tc>
          <w:tcPr>
            <w:tcW w:w="3061" w:type="dxa"/>
          </w:tcPr>
          <w:p w14:paraId="1428099F" w14:textId="5D1A4A91" w:rsidR="003B666F" w:rsidRPr="00E07195" w:rsidRDefault="003A188F" w:rsidP="009252D5">
            <w:pPr>
              <w:pStyle w:val="TableTextLeft"/>
              <w:rPr>
                <w:rFonts w:cs="Arial"/>
                <w:szCs w:val="20"/>
              </w:rPr>
            </w:pPr>
            <w:r w:rsidRPr="00DD60C7">
              <w:rPr>
                <w:rFonts w:cs="Arial"/>
                <w:b/>
                <w:bCs/>
                <w:szCs w:val="20"/>
              </w:rPr>
              <w:t>7.2</w:t>
            </w:r>
            <w:r>
              <w:rPr>
                <w:rFonts w:cs="Arial"/>
                <w:b/>
                <w:bCs/>
                <w:szCs w:val="20"/>
              </w:rPr>
              <w:t xml:space="preserve"> </w:t>
            </w:r>
            <w:r w:rsidRPr="00DD60C7">
              <w:rPr>
                <w:rFonts w:cs="Arial"/>
                <w:szCs w:val="20"/>
              </w:rPr>
              <w:t xml:space="preserve">Review all Health </w:t>
            </w:r>
            <w:r w:rsidRPr="00DD60C7">
              <w:rPr>
                <w:rFonts w:eastAsiaTheme="minorEastAsia"/>
                <w:szCs w:val="20"/>
              </w:rPr>
              <w:t>Equity Str</w:t>
            </w:r>
            <w:r w:rsidRPr="00DD60C7">
              <w:rPr>
                <w:rFonts w:cs="Arial"/>
                <w:szCs w:val="20"/>
              </w:rPr>
              <w:t>ategies 2022</w:t>
            </w:r>
            <w:r w:rsidRPr="00DD60C7">
              <w:rPr>
                <w:szCs w:val="20"/>
              </w:rPr>
              <w:t>–</w:t>
            </w:r>
            <w:r w:rsidRPr="00DD60C7">
              <w:rPr>
                <w:rFonts w:cs="Arial"/>
                <w:szCs w:val="20"/>
              </w:rPr>
              <w:t>2025 to ensure they contain commitments and actions that will increase access to culturally safe health and mental health services and supports for Aboriginal and Torres Strait Islander children and families experiencing vulnerability and disadvantage.</w:t>
            </w:r>
          </w:p>
          <w:p w14:paraId="13FDE9EC" w14:textId="77777777" w:rsidR="00573CFD" w:rsidRDefault="00573CFD" w:rsidP="009252D5">
            <w:pPr>
              <w:pStyle w:val="TableTextLeft"/>
              <w:rPr>
                <w:rFonts w:cs="Arial"/>
                <w:b/>
                <w:bCs/>
                <w:szCs w:val="20"/>
              </w:rPr>
            </w:pPr>
          </w:p>
          <w:p w14:paraId="51301E34" w14:textId="62607DB9" w:rsidR="009F4571" w:rsidRDefault="003B666F" w:rsidP="009252D5">
            <w:pPr>
              <w:pStyle w:val="TableTextLeft"/>
              <w:rPr>
                <w:rFonts w:cs="Arial"/>
                <w:szCs w:val="20"/>
              </w:rPr>
            </w:pPr>
            <w:r w:rsidRPr="00E07195">
              <w:rPr>
                <w:rFonts w:cs="Arial"/>
                <w:b/>
                <w:bCs/>
                <w:szCs w:val="20"/>
              </w:rPr>
              <w:t xml:space="preserve">Timing:  </w:t>
            </w:r>
            <w:r w:rsidR="009F4571">
              <w:rPr>
                <w:rFonts w:cs="Arial"/>
                <w:szCs w:val="20"/>
              </w:rPr>
              <w:t>By 2025</w:t>
            </w:r>
            <w:r w:rsidR="00BF1D22" w:rsidRPr="00DD60C7">
              <w:rPr>
                <w:szCs w:val="20"/>
              </w:rPr>
              <w:t>–</w:t>
            </w:r>
            <w:r w:rsidR="009F4571">
              <w:rPr>
                <w:rFonts w:cs="Arial"/>
                <w:szCs w:val="20"/>
              </w:rPr>
              <w:t>26; three years from public release of each First Nations Health Equity Strategy</w:t>
            </w:r>
            <w:r w:rsidR="005F76F3">
              <w:rPr>
                <w:rFonts w:cs="Arial"/>
                <w:szCs w:val="20"/>
              </w:rPr>
              <w:t>.</w:t>
            </w:r>
            <w:r w:rsidR="009F4571">
              <w:rPr>
                <w:rFonts w:cs="Arial"/>
                <w:szCs w:val="20"/>
              </w:rPr>
              <w:t xml:space="preserve"> </w:t>
            </w:r>
          </w:p>
          <w:p w14:paraId="6706094F" w14:textId="5890294D" w:rsidR="003B666F" w:rsidRPr="00E07195" w:rsidRDefault="003B666F" w:rsidP="009252D5">
            <w:pPr>
              <w:pStyle w:val="TableTextLeft"/>
              <w:rPr>
                <w:rFonts w:cs="Arial"/>
                <w:szCs w:val="20"/>
              </w:rPr>
            </w:pPr>
          </w:p>
        </w:tc>
        <w:tc>
          <w:tcPr>
            <w:tcW w:w="3685" w:type="dxa"/>
          </w:tcPr>
          <w:p w14:paraId="4698C053" w14:textId="10408880" w:rsidR="003B666F" w:rsidRPr="00E07195" w:rsidRDefault="003B666F" w:rsidP="009252D5">
            <w:pPr>
              <w:pStyle w:val="TableTextLeft"/>
              <w:rPr>
                <w:rFonts w:cs="Arial"/>
                <w:szCs w:val="20"/>
              </w:rPr>
            </w:pPr>
            <w:r w:rsidRPr="00E07195">
              <w:rPr>
                <w:rFonts w:cs="Arial"/>
                <w:b/>
                <w:bCs/>
                <w:szCs w:val="20"/>
              </w:rPr>
              <w:t>D:</w:t>
            </w:r>
            <w:r w:rsidRPr="00E07195">
              <w:rPr>
                <w:rFonts w:cs="Arial"/>
                <w:szCs w:val="20"/>
              </w:rPr>
              <w:t xml:space="preserve">  Each Health Equity Strategy includes:</w:t>
            </w:r>
          </w:p>
          <w:p w14:paraId="60D5B15D" w14:textId="42A5F283" w:rsidR="003B666F" w:rsidRPr="00E07195" w:rsidRDefault="003B666F" w:rsidP="000A7F4D">
            <w:pPr>
              <w:pStyle w:val="TableTextLeft"/>
              <w:numPr>
                <w:ilvl w:val="0"/>
                <w:numId w:val="11"/>
              </w:numPr>
              <w:rPr>
                <w:rFonts w:cs="Arial"/>
                <w:szCs w:val="20"/>
              </w:rPr>
            </w:pPr>
            <w:r w:rsidRPr="00E07195">
              <w:rPr>
                <w:rFonts w:cs="Arial"/>
                <w:szCs w:val="20"/>
              </w:rPr>
              <w:t xml:space="preserve">identified actions to increase access for Aboriginal and Torres Strait Islander children and families experiencing vulnerability, including children and families at risk of entering the child protection system and children in </w:t>
            </w:r>
            <w:proofErr w:type="gramStart"/>
            <w:r w:rsidRPr="00E07195">
              <w:rPr>
                <w:rFonts w:cs="Arial"/>
                <w:szCs w:val="20"/>
              </w:rPr>
              <w:t>care</w:t>
            </w:r>
            <w:proofErr w:type="gramEnd"/>
          </w:p>
          <w:p w14:paraId="0FD82F29" w14:textId="70A8181C" w:rsidR="00EF471C" w:rsidRPr="00E07195" w:rsidRDefault="003B666F" w:rsidP="000A7F4D">
            <w:pPr>
              <w:pStyle w:val="TableTextLeft"/>
              <w:numPr>
                <w:ilvl w:val="0"/>
                <w:numId w:val="11"/>
              </w:numPr>
              <w:rPr>
                <w:rFonts w:cs="Arial"/>
                <w:szCs w:val="20"/>
              </w:rPr>
            </w:pPr>
            <w:r w:rsidRPr="00E07195">
              <w:rPr>
                <w:rFonts w:cs="Arial"/>
                <w:szCs w:val="20"/>
              </w:rPr>
              <w:t>identified actions to increase the capacity and capability of staff to provide culturally responsive, child-centred practice</w:t>
            </w:r>
            <w:r w:rsidR="009C71C5" w:rsidRPr="00E07195">
              <w:rPr>
                <w:rFonts w:cs="Arial"/>
                <w:szCs w:val="20"/>
              </w:rPr>
              <w:t>.</w:t>
            </w:r>
          </w:p>
          <w:p w14:paraId="366CCF2C" w14:textId="2C428C12" w:rsidR="00EF471C" w:rsidRDefault="005058BE" w:rsidP="009252D5">
            <w:pPr>
              <w:pStyle w:val="TableTextLeft"/>
              <w:rPr>
                <w:rFonts w:cs="Arial"/>
                <w:szCs w:val="20"/>
                <w:lang w:eastAsia="en-AU"/>
              </w:rPr>
            </w:pPr>
            <w:r>
              <w:rPr>
                <w:rFonts w:cs="Arial"/>
                <w:b/>
                <w:bCs/>
                <w:szCs w:val="20"/>
              </w:rPr>
              <w:t xml:space="preserve">D: </w:t>
            </w:r>
            <w:r w:rsidRPr="00B00589">
              <w:rPr>
                <w:rFonts w:cs="Arial"/>
                <w:szCs w:val="20"/>
                <w:lang w:eastAsia="en-AU"/>
              </w:rPr>
              <w:t xml:space="preserve"> </w:t>
            </w:r>
            <w:r w:rsidRPr="00B00589">
              <w:rPr>
                <w:szCs w:val="20"/>
              </w:rPr>
              <w:t xml:space="preserve">MBS 715 </w:t>
            </w:r>
            <w:r w:rsidR="00512D2B">
              <w:rPr>
                <w:szCs w:val="20"/>
              </w:rPr>
              <w:t xml:space="preserve">Health </w:t>
            </w:r>
            <w:r w:rsidRPr="00B00589">
              <w:rPr>
                <w:szCs w:val="20"/>
              </w:rPr>
              <w:t xml:space="preserve">checks </w:t>
            </w:r>
            <w:r w:rsidR="00512D2B">
              <w:rPr>
                <w:szCs w:val="20"/>
              </w:rPr>
              <w:t xml:space="preserve">will be provided </w:t>
            </w:r>
            <w:r w:rsidRPr="00B00589">
              <w:rPr>
                <w:szCs w:val="20"/>
              </w:rPr>
              <w:t xml:space="preserve">for all </w:t>
            </w:r>
            <w:r w:rsidR="00512D2B">
              <w:rPr>
                <w:szCs w:val="20"/>
              </w:rPr>
              <w:t xml:space="preserve">First Nations </w:t>
            </w:r>
            <w:r w:rsidRPr="00B00589">
              <w:rPr>
                <w:szCs w:val="20"/>
              </w:rPr>
              <w:t>children enter</w:t>
            </w:r>
            <w:r w:rsidRPr="00B00589">
              <w:rPr>
                <w:rFonts w:cs="Arial"/>
                <w:szCs w:val="20"/>
                <w:lang w:eastAsia="en-AU"/>
              </w:rPr>
              <w:t>ing the child protection system/out</w:t>
            </w:r>
            <w:r>
              <w:rPr>
                <w:rFonts w:cs="Arial"/>
                <w:szCs w:val="20"/>
                <w:lang w:eastAsia="en-AU"/>
              </w:rPr>
              <w:t>-</w:t>
            </w:r>
            <w:r w:rsidRPr="00B00589">
              <w:rPr>
                <w:rFonts w:cs="Arial"/>
                <w:szCs w:val="20"/>
                <w:lang w:eastAsia="en-AU"/>
              </w:rPr>
              <w:t>of</w:t>
            </w:r>
            <w:r>
              <w:rPr>
                <w:rFonts w:cs="Arial"/>
                <w:szCs w:val="20"/>
                <w:lang w:eastAsia="en-AU"/>
              </w:rPr>
              <w:t>-</w:t>
            </w:r>
            <w:r w:rsidRPr="00B00589">
              <w:rPr>
                <w:rFonts w:cs="Arial"/>
                <w:szCs w:val="20"/>
                <w:lang w:eastAsia="en-AU"/>
              </w:rPr>
              <w:t xml:space="preserve">home care based on the core elements of the National Clinical Assessment Framework for Children and Young People in Out-of-Home Care </w:t>
            </w:r>
            <w:r w:rsidR="00512D2B">
              <w:rPr>
                <w:rFonts w:cs="Arial"/>
                <w:szCs w:val="20"/>
                <w:lang w:eastAsia="en-AU"/>
              </w:rPr>
              <w:t xml:space="preserve">that was agreed under Close the Gap </w:t>
            </w:r>
            <w:r w:rsidRPr="00B00589">
              <w:rPr>
                <w:rFonts w:cs="Arial"/>
                <w:szCs w:val="20"/>
                <w:lang w:eastAsia="en-AU"/>
              </w:rPr>
              <w:t xml:space="preserve">(Table 1 pg. 12). Aboriginal and Torres Strait Islander community-controlled health organisations </w:t>
            </w:r>
            <w:r w:rsidR="00512D2B">
              <w:rPr>
                <w:rFonts w:cs="Arial"/>
                <w:szCs w:val="20"/>
                <w:lang w:eastAsia="en-AU"/>
              </w:rPr>
              <w:t xml:space="preserve">will be supported to undertake </w:t>
            </w:r>
            <w:r w:rsidR="00DA18C6">
              <w:rPr>
                <w:rFonts w:cs="Arial"/>
                <w:szCs w:val="20"/>
                <w:lang w:eastAsia="en-AU"/>
              </w:rPr>
              <w:t>these</w:t>
            </w:r>
            <w:r w:rsidR="00512D2B">
              <w:rPr>
                <w:rFonts w:cs="Arial"/>
                <w:szCs w:val="20"/>
                <w:lang w:eastAsia="en-AU"/>
              </w:rPr>
              <w:t xml:space="preserve"> health checks</w:t>
            </w:r>
            <w:r w:rsidRPr="00B00589">
              <w:rPr>
                <w:rFonts w:cs="Arial"/>
                <w:szCs w:val="20"/>
                <w:lang w:eastAsia="en-AU"/>
              </w:rPr>
              <w:t xml:space="preserve"> as the preferred provider</w:t>
            </w:r>
            <w:r>
              <w:rPr>
                <w:rFonts w:cs="Arial"/>
                <w:szCs w:val="20"/>
                <w:lang w:eastAsia="en-AU"/>
              </w:rPr>
              <w:t>,</w:t>
            </w:r>
            <w:r w:rsidRPr="00B00589">
              <w:rPr>
                <w:rFonts w:cs="Arial"/>
                <w:szCs w:val="20"/>
                <w:lang w:eastAsia="en-AU"/>
              </w:rPr>
              <w:t xml:space="preserve"> where </w:t>
            </w:r>
            <w:r w:rsidR="00512D2B">
              <w:rPr>
                <w:rFonts w:cs="Arial"/>
                <w:szCs w:val="20"/>
                <w:lang w:eastAsia="en-AU"/>
              </w:rPr>
              <w:t>able</w:t>
            </w:r>
            <w:r w:rsidRPr="00B00589">
              <w:rPr>
                <w:rFonts w:cs="Arial"/>
                <w:szCs w:val="20"/>
                <w:lang w:eastAsia="en-AU"/>
              </w:rPr>
              <w:t>.  </w:t>
            </w:r>
            <w:r w:rsidR="00512D2B">
              <w:rPr>
                <w:rFonts w:cs="Arial"/>
                <w:szCs w:val="20"/>
                <w:lang w:eastAsia="en-AU"/>
              </w:rPr>
              <w:t xml:space="preserve">The outcomes from these health checks and the services that may be required as a result will be utilised to help inform the deliverables to be embedded in the Health Equity Strategies deliverable above. </w:t>
            </w:r>
          </w:p>
          <w:p w14:paraId="58230F0D" w14:textId="77777777" w:rsidR="005058BE" w:rsidRPr="005058BE" w:rsidRDefault="005058BE" w:rsidP="009252D5">
            <w:pPr>
              <w:pStyle w:val="TableTextLeft"/>
              <w:rPr>
                <w:rFonts w:cs="Arial"/>
                <w:szCs w:val="20"/>
              </w:rPr>
            </w:pPr>
          </w:p>
          <w:p w14:paraId="7206423A" w14:textId="77777777" w:rsidR="009F4571" w:rsidRPr="00E07195" w:rsidRDefault="009F4571" w:rsidP="009F4571">
            <w:pPr>
              <w:pStyle w:val="TableTextLeft"/>
              <w:rPr>
                <w:rFonts w:cs="Arial"/>
                <w:szCs w:val="20"/>
              </w:rPr>
            </w:pPr>
            <w:r>
              <w:rPr>
                <w:rFonts w:cs="Arial"/>
                <w:b/>
                <w:bCs/>
                <w:szCs w:val="20"/>
              </w:rPr>
              <w:t xml:space="preserve">SI: </w:t>
            </w:r>
            <w:r w:rsidRPr="00E07195">
              <w:rPr>
                <w:rFonts w:cs="Arial"/>
                <w:szCs w:val="20"/>
              </w:rPr>
              <w:t xml:space="preserve">QH provides targeted and coordinated responses to Aboriginal and Torres Strait Islander families </w:t>
            </w:r>
            <w:r w:rsidRPr="00E07195">
              <w:rPr>
                <w:rFonts w:cs="Arial"/>
                <w:szCs w:val="20"/>
              </w:rPr>
              <w:lastRenderedPageBreak/>
              <w:t>experiencing disadvantage and/or at risk of entering the child protection system.</w:t>
            </w:r>
          </w:p>
          <w:p w14:paraId="68C894ED" w14:textId="262448B6" w:rsidR="009F4571" w:rsidRDefault="009F4571" w:rsidP="24877814">
            <w:pPr>
              <w:pStyle w:val="TableTextLeft"/>
              <w:rPr>
                <w:rFonts w:cs="Arial"/>
                <w:b/>
                <w:bCs/>
              </w:rPr>
            </w:pPr>
            <w:r w:rsidRPr="24877814">
              <w:rPr>
                <w:rFonts w:cs="Arial"/>
                <w:b/>
                <w:bCs/>
              </w:rPr>
              <w:t xml:space="preserve">SI: </w:t>
            </w:r>
            <w:r w:rsidR="3F0D4FB4" w:rsidRPr="24877814">
              <w:rPr>
                <w:rFonts w:cs="Arial"/>
              </w:rPr>
              <w:t>QH Aboriginal</w:t>
            </w:r>
            <w:r w:rsidRPr="24877814">
              <w:rPr>
                <w:rFonts w:cs="Arial"/>
              </w:rPr>
              <w:t xml:space="preserve"> and Torres Strait Islander consumer surveys indicate health services and care enhance the wellbeing of children and families.  </w:t>
            </w:r>
          </w:p>
          <w:p w14:paraId="6AA7F7E6" w14:textId="31FA4227" w:rsidR="009F4571" w:rsidRDefault="00EF471C" w:rsidP="009252D5">
            <w:pPr>
              <w:pStyle w:val="TableTextLeft"/>
            </w:pPr>
            <w:r w:rsidRPr="00E07195">
              <w:rPr>
                <w:rFonts w:cs="Arial"/>
                <w:b/>
                <w:bCs/>
                <w:szCs w:val="20"/>
              </w:rPr>
              <w:t xml:space="preserve">SI: </w:t>
            </w:r>
            <w:r w:rsidR="009F4571" w:rsidRPr="003F0FF7">
              <w:t>Active</w:t>
            </w:r>
            <w:r w:rsidR="009F4571">
              <w:t xml:space="preserve">ly </w:t>
            </w:r>
            <w:r w:rsidR="009F4571" w:rsidRPr="003F0FF7">
              <w:t>eliminat</w:t>
            </w:r>
            <w:r w:rsidR="009F4571">
              <w:t>e</w:t>
            </w:r>
            <w:r w:rsidR="009F4571" w:rsidRPr="003F0FF7">
              <w:t xml:space="preserve"> of racial discrimination and institutional racism within Hospital and Health Services</w:t>
            </w:r>
            <w:r w:rsidR="009F4571">
              <w:t>.</w:t>
            </w:r>
          </w:p>
          <w:p w14:paraId="651330DB" w14:textId="5E2D2C16" w:rsidR="009F4571" w:rsidRDefault="009F4571" w:rsidP="009252D5">
            <w:pPr>
              <w:pStyle w:val="TableTextLeft"/>
              <w:rPr>
                <w:bCs/>
              </w:rPr>
            </w:pPr>
            <w:r>
              <w:rPr>
                <w:b/>
              </w:rPr>
              <w:t xml:space="preserve">SI: </w:t>
            </w:r>
            <w:r>
              <w:rPr>
                <w:bCs/>
              </w:rPr>
              <w:t>Increase access to healthcare services.</w:t>
            </w:r>
          </w:p>
          <w:p w14:paraId="06011FAA" w14:textId="18B4740B" w:rsidR="009F4571" w:rsidRDefault="009F4571" w:rsidP="009252D5">
            <w:pPr>
              <w:pStyle w:val="TableTextLeft"/>
              <w:rPr>
                <w:bCs/>
              </w:rPr>
            </w:pPr>
            <w:r>
              <w:rPr>
                <w:b/>
              </w:rPr>
              <w:t xml:space="preserve">SI: </w:t>
            </w:r>
            <w:r>
              <w:rPr>
                <w:bCs/>
              </w:rPr>
              <w:t xml:space="preserve">Influence the social, </w:t>
            </w:r>
            <w:proofErr w:type="gramStart"/>
            <w:r>
              <w:rPr>
                <w:bCs/>
              </w:rPr>
              <w:t>cultural</w:t>
            </w:r>
            <w:proofErr w:type="gramEnd"/>
            <w:r>
              <w:rPr>
                <w:bCs/>
              </w:rPr>
              <w:t xml:space="preserve"> and economic determinants of health.</w:t>
            </w:r>
          </w:p>
          <w:p w14:paraId="5DD49C0B" w14:textId="788679F1" w:rsidR="009F4571" w:rsidRDefault="009F4571" w:rsidP="009252D5">
            <w:pPr>
              <w:pStyle w:val="TableTextLeft"/>
              <w:rPr>
                <w:bCs/>
              </w:rPr>
            </w:pPr>
            <w:r>
              <w:rPr>
                <w:b/>
              </w:rPr>
              <w:t xml:space="preserve">SI: </w:t>
            </w:r>
            <w:r>
              <w:rPr>
                <w:bCs/>
              </w:rPr>
              <w:t xml:space="preserve">Deliver sustainable, culturally </w:t>
            </w:r>
            <w:proofErr w:type="gramStart"/>
            <w:r>
              <w:rPr>
                <w:bCs/>
              </w:rPr>
              <w:t>safe</w:t>
            </w:r>
            <w:proofErr w:type="gramEnd"/>
            <w:r>
              <w:rPr>
                <w:bCs/>
              </w:rPr>
              <w:t xml:space="preserve"> and responsive healthcare services.</w:t>
            </w:r>
          </w:p>
          <w:p w14:paraId="5A011513" w14:textId="05B1C338" w:rsidR="009F4571" w:rsidRDefault="009F4571" w:rsidP="009252D5">
            <w:pPr>
              <w:pStyle w:val="TableTextLeft"/>
              <w:rPr>
                <w:bCs/>
              </w:rPr>
            </w:pPr>
            <w:r>
              <w:rPr>
                <w:b/>
              </w:rPr>
              <w:t xml:space="preserve">SI: </w:t>
            </w:r>
            <w:r>
              <w:rPr>
                <w:bCs/>
              </w:rPr>
              <w:t xml:space="preserve">Work with Aboriginal and Torres Strait Islander communities and organisations to design, deliver, </w:t>
            </w:r>
            <w:proofErr w:type="gramStart"/>
            <w:r>
              <w:rPr>
                <w:bCs/>
              </w:rPr>
              <w:t>monitor</w:t>
            </w:r>
            <w:proofErr w:type="gramEnd"/>
            <w:r>
              <w:rPr>
                <w:bCs/>
              </w:rPr>
              <w:t xml:space="preserve"> and review services.</w:t>
            </w:r>
          </w:p>
          <w:p w14:paraId="6DA0154E" w14:textId="7C304570" w:rsidR="00EF471C" w:rsidRPr="009F4571" w:rsidRDefault="009F4571" w:rsidP="009252D5">
            <w:pPr>
              <w:pStyle w:val="TableTextLeft"/>
              <w:rPr>
                <w:b/>
              </w:rPr>
            </w:pPr>
            <w:r>
              <w:rPr>
                <w:b/>
              </w:rPr>
              <w:t xml:space="preserve">SI: </w:t>
            </w:r>
            <w:r>
              <w:rPr>
                <w:bCs/>
              </w:rPr>
              <w:t xml:space="preserve">Increase workforce representation of Aboriginal and Torres Strait Islander peoples across all levels of health professions and employment streams at least proportionate with the health service area’s Aboriginal and Torres Strait Islander population. </w:t>
            </w:r>
            <w:r w:rsidR="00EF471C" w:rsidRPr="00E07195">
              <w:rPr>
                <w:rFonts w:cs="Arial"/>
                <w:szCs w:val="20"/>
              </w:rPr>
              <w:t xml:space="preserve"> </w:t>
            </w:r>
          </w:p>
        </w:tc>
        <w:tc>
          <w:tcPr>
            <w:tcW w:w="3118" w:type="dxa"/>
          </w:tcPr>
          <w:p w14:paraId="0C74E1A2" w14:textId="1CE124F3" w:rsidR="003B666F" w:rsidRPr="00E07195" w:rsidRDefault="003B666F" w:rsidP="009252D5">
            <w:pPr>
              <w:pStyle w:val="TableTextLeft"/>
              <w:rPr>
                <w:rFonts w:cs="Arial"/>
                <w:szCs w:val="20"/>
              </w:rPr>
            </w:pPr>
            <w:r w:rsidRPr="00E07195">
              <w:rPr>
                <w:rFonts w:cs="Arial"/>
                <w:b/>
                <w:bCs/>
                <w:szCs w:val="20"/>
              </w:rPr>
              <w:lastRenderedPageBreak/>
              <w:t>O:</w:t>
            </w:r>
            <w:r w:rsidRPr="00E07195">
              <w:rPr>
                <w:rFonts w:cs="Arial"/>
                <w:szCs w:val="20"/>
              </w:rPr>
              <w:t xml:space="preserve">  Aboriginal and Torres Strait Islander children are born healthy and strong</w:t>
            </w:r>
            <w:r w:rsidR="00491FCA" w:rsidRPr="00E07195">
              <w:rPr>
                <w:rFonts w:cs="Arial"/>
                <w:szCs w:val="20"/>
              </w:rPr>
              <w:t>.</w:t>
            </w:r>
          </w:p>
          <w:p w14:paraId="3C7F685E" w14:textId="04533C19" w:rsidR="003B666F" w:rsidRPr="00E07195" w:rsidRDefault="003B666F" w:rsidP="009252D5">
            <w:pPr>
              <w:pStyle w:val="TableTextLeft"/>
              <w:rPr>
                <w:rFonts w:cs="Arial"/>
                <w:szCs w:val="20"/>
              </w:rPr>
            </w:pPr>
            <w:r w:rsidRPr="00E07195">
              <w:rPr>
                <w:rFonts w:cs="Arial"/>
                <w:b/>
                <w:bCs/>
                <w:szCs w:val="20"/>
              </w:rPr>
              <w:t>O:</w:t>
            </w:r>
            <w:r w:rsidRPr="00E07195">
              <w:rPr>
                <w:rFonts w:cs="Arial"/>
                <w:szCs w:val="20"/>
              </w:rPr>
              <w:t xml:space="preserve">  Aboriginal and Torres Strait Islander children thrive in their early years</w:t>
            </w:r>
            <w:r w:rsidR="00491FCA" w:rsidRPr="00E07195">
              <w:rPr>
                <w:rFonts w:cs="Arial"/>
                <w:szCs w:val="20"/>
              </w:rPr>
              <w:t>.</w:t>
            </w:r>
          </w:p>
          <w:p w14:paraId="315E49F9" w14:textId="083538F1" w:rsidR="003B666F" w:rsidRPr="00E07195" w:rsidRDefault="003B666F" w:rsidP="009252D5">
            <w:pPr>
              <w:pStyle w:val="TableTextLeft"/>
              <w:rPr>
                <w:rFonts w:cs="Arial"/>
                <w:szCs w:val="20"/>
              </w:rPr>
            </w:pPr>
            <w:r w:rsidRPr="00E07195">
              <w:rPr>
                <w:rFonts w:cs="Arial"/>
                <w:b/>
                <w:bCs/>
                <w:szCs w:val="20"/>
              </w:rPr>
              <w:t>O:</w:t>
            </w:r>
            <w:r w:rsidRPr="00E07195">
              <w:rPr>
                <w:rFonts w:cs="Arial"/>
                <w:szCs w:val="20"/>
              </w:rPr>
              <w:t xml:space="preserve">  Aboriginal and Torres Strait Islander children enjoy high levels of social and emotional wellbeing</w:t>
            </w:r>
            <w:r w:rsidR="00491FCA" w:rsidRPr="00E07195">
              <w:rPr>
                <w:rFonts w:cs="Arial"/>
                <w:szCs w:val="20"/>
              </w:rPr>
              <w:t>.</w:t>
            </w:r>
          </w:p>
        </w:tc>
        <w:tc>
          <w:tcPr>
            <w:tcW w:w="3685" w:type="dxa"/>
          </w:tcPr>
          <w:p w14:paraId="7E39E396" w14:textId="385D97D4" w:rsidR="003B666F" w:rsidRPr="00E07195" w:rsidRDefault="003B666F" w:rsidP="009252D5">
            <w:pPr>
              <w:pStyle w:val="TableTextLeft"/>
              <w:rPr>
                <w:rFonts w:cs="Arial"/>
                <w:szCs w:val="20"/>
              </w:rPr>
            </w:pPr>
            <w:r w:rsidRPr="00E07195">
              <w:rPr>
                <w:rFonts w:cs="Arial"/>
                <w:szCs w:val="20"/>
              </w:rPr>
              <w:t>The Queensland Government, through the development of the Health Equity Framework, has committed to:</w:t>
            </w:r>
          </w:p>
          <w:p w14:paraId="542DE053" w14:textId="77777777" w:rsidR="003B666F" w:rsidRPr="00E07195" w:rsidRDefault="003B666F" w:rsidP="000A7F4D">
            <w:pPr>
              <w:pStyle w:val="TableTextLeft"/>
              <w:numPr>
                <w:ilvl w:val="0"/>
                <w:numId w:val="12"/>
              </w:numPr>
              <w:rPr>
                <w:rFonts w:cs="Arial"/>
                <w:szCs w:val="20"/>
                <w:lang w:eastAsia="en-AU"/>
              </w:rPr>
            </w:pPr>
            <w:r w:rsidRPr="00E07195">
              <w:rPr>
                <w:rFonts w:cs="Arial"/>
                <w:szCs w:val="20"/>
                <w:lang w:eastAsia="en-AU"/>
              </w:rPr>
              <w:t xml:space="preserve">achieve health equity and improve Aboriginal and Torres Strait Islander </w:t>
            </w:r>
            <w:proofErr w:type="gramStart"/>
            <w:r w:rsidRPr="00E07195">
              <w:rPr>
                <w:rFonts w:cs="Arial"/>
                <w:szCs w:val="20"/>
                <w:lang w:eastAsia="en-AU"/>
              </w:rPr>
              <w:t>outcomes</w:t>
            </w:r>
            <w:proofErr w:type="gramEnd"/>
          </w:p>
          <w:p w14:paraId="7F03BA79" w14:textId="77777777" w:rsidR="003B666F" w:rsidRPr="00E07195" w:rsidRDefault="003B666F" w:rsidP="000A7F4D">
            <w:pPr>
              <w:pStyle w:val="TableTextLeft"/>
              <w:numPr>
                <w:ilvl w:val="0"/>
                <w:numId w:val="12"/>
              </w:numPr>
              <w:rPr>
                <w:rFonts w:cs="Arial"/>
                <w:szCs w:val="20"/>
                <w:lang w:eastAsia="en-AU"/>
              </w:rPr>
            </w:pPr>
            <w:r w:rsidRPr="00E07195">
              <w:rPr>
                <w:rFonts w:cs="Arial"/>
                <w:szCs w:val="20"/>
                <w:lang w:eastAsia="en-AU"/>
              </w:rPr>
              <w:t>eliminate institutional racism and racial discrimination from the public health sector, and</w:t>
            </w:r>
          </w:p>
          <w:p w14:paraId="4D15AA7E" w14:textId="6D6F69C0" w:rsidR="003B666F" w:rsidRPr="00E07195" w:rsidRDefault="003B666F" w:rsidP="000A7F4D">
            <w:pPr>
              <w:pStyle w:val="TableTextLeft"/>
              <w:numPr>
                <w:ilvl w:val="0"/>
                <w:numId w:val="12"/>
              </w:numPr>
              <w:rPr>
                <w:rFonts w:cs="Arial"/>
                <w:szCs w:val="20"/>
                <w:lang w:eastAsia="en-AU"/>
              </w:rPr>
            </w:pPr>
            <w:r w:rsidRPr="00E07195">
              <w:rPr>
                <w:rFonts w:cs="Arial"/>
                <w:szCs w:val="20"/>
                <w:lang w:eastAsia="en-AU"/>
              </w:rPr>
              <w:t>strengthen decision</w:t>
            </w:r>
            <w:r w:rsidR="00487CA6">
              <w:rPr>
                <w:rFonts w:cs="Arial"/>
                <w:szCs w:val="20"/>
                <w:lang w:eastAsia="en-AU"/>
              </w:rPr>
              <w:t>-</w:t>
            </w:r>
            <w:r w:rsidRPr="00E07195">
              <w:rPr>
                <w:rFonts w:cs="Arial"/>
                <w:szCs w:val="20"/>
                <w:lang w:eastAsia="en-AU"/>
              </w:rPr>
              <w:t>making and power sharing arrangements with Aboriginal and Torres Strait Islander peoples.</w:t>
            </w:r>
          </w:p>
          <w:p w14:paraId="27F5DA84" w14:textId="6BF12282" w:rsidR="001044D2" w:rsidRDefault="001044D2" w:rsidP="001044D2">
            <w:pPr>
              <w:spacing w:before="60" w:after="60"/>
              <w:rPr>
                <w:rFonts w:cs="Arial"/>
                <w:sz w:val="20"/>
                <w:szCs w:val="20"/>
              </w:rPr>
            </w:pPr>
            <w:r w:rsidRPr="001044D2">
              <w:rPr>
                <w:rFonts w:cs="Arial"/>
                <w:sz w:val="20"/>
                <w:szCs w:val="20"/>
              </w:rPr>
              <w:t>All 16 Hospital and Health Services have released their inaugural legislated First Nations Health Equity Strategy. At the legislated three-year review timeframe, discussions will occur with prescribed</w:t>
            </w:r>
            <w:r w:rsidR="004A01F3">
              <w:rPr>
                <w:rFonts w:cs="Arial"/>
                <w:sz w:val="20"/>
                <w:szCs w:val="20"/>
              </w:rPr>
              <w:t xml:space="preserve"> Aboriginal and Torres Strait Islander</w:t>
            </w:r>
            <w:r w:rsidRPr="001044D2">
              <w:rPr>
                <w:rFonts w:cs="Arial"/>
                <w:sz w:val="20"/>
                <w:szCs w:val="20"/>
              </w:rPr>
              <w:t xml:space="preserve"> stakeholders and local community advisory groups about the needs of </w:t>
            </w:r>
            <w:r w:rsidR="004A01F3">
              <w:rPr>
                <w:rFonts w:cs="Arial"/>
                <w:sz w:val="20"/>
                <w:szCs w:val="20"/>
              </w:rPr>
              <w:t xml:space="preserve">Aboriginal and Torres Strait Islander </w:t>
            </w:r>
            <w:r w:rsidRPr="001044D2">
              <w:rPr>
                <w:rFonts w:cs="Arial"/>
                <w:sz w:val="20"/>
                <w:szCs w:val="20"/>
              </w:rPr>
              <w:t>children and families experiencing vulnerability to identify ways to improve and strengthen access and support. This action aligns with Queensland Government’s existing commitments under:</w:t>
            </w:r>
          </w:p>
          <w:p w14:paraId="2F32D6CE" w14:textId="77777777" w:rsidR="001044D2" w:rsidRPr="001044D2" w:rsidRDefault="001044D2" w:rsidP="001044D2">
            <w:pPr>
              <w:pStyle w:val="ListParagraph"/>
              <w:numPr>
                <w:ilvl w:val="0"/>
                <w:numId w:val="15"/>
              </w:numPr>
              <w:rPr>
                <w:rFonts w:ascii="Arial" w:hAnsi="Arial" w:cs="Arial"/>
                <w:sz w:val="20"/>
                <w:szCs w:val="20"/>
              </w:rPr>
            </w:pPr>
            <w:r w:rsidRPr="001044D2">
              <w:rPr>
                <w:rFonts w:ascii="Arial" w:hAnsi="Arial" w:cs="Arial"/>
                <w:sz w:val="20"/>
                <w:szCs w:val="20"/>
              </w:rPr>
              <w:t>Priority Reform 3 of the National Agreement on Closing the Gap Action 8 of Safe and Supported: Aboriginal and Torres Strait Islander First Action Plan 2023-2026.</w:t>
            </w:r>
          </w:p>
          <w:p w14:paraId="00E6BED0" w14:textId="77777777" w:rsidR="001044D2" w:rsidRPr="001044D2" w:rsidRDefault="001044D2" w:rsidP="001044D2">
            <w:pPr>
              <w:spacing w:before="60" w:after="60"/>
              <w:rPr>
                <w:rFonts w:cs="Arial"/>
                <w:sz w:val="20"/>
                <w:szCs w:val="20"/>
              </w:rPr>
            </w:pPr>
          </w:p>
          <w:p w14:paraId="09489A05" w14:textId="491E213E" w:rsidR="001044D2" w:rsidRPr="00E07195" w:rsidRDefault="001044D2" w:rsidP="00F73909">
            <w:pPr>
              <w:pStyle w:val="TableTextLeft"/>
              <w:rPr>
                <w:rFonts w:cs="Arial"/>
                <w:szCs w:val="20"/>
              </w:rPr>
            </w:pPr>
          </w:p>
        </w:tc>
        <w:tc>
          <w:tcPr>
            <w:tcW w:w="1627" w:type="dxa"/>
          </w:tcPr>
          <w:p w14:paraId="64C3333F" w14:textId="01644286" w:rsidR="007153E4" w:rsidRPr="00E07195" w:rsidRDefault="006F21BA" w:rsidP="009252D5">
            <w:pPr>
              <w:pStyle w:val="TableTextLeft"/>
              <w:rPr>
                <w:rFonts w:cs="Arial"/>
                <w:szCs w:val="20"/>
              </w:rPr>
            </w:pPr>
            <w:r w:rsidRPr="00E07195">
              <w:rPr>
                <w:rFonts w:cs="Arial"/>
                <w:noProof/>
                <w:szCs w:val="20"/>
              </w:rPr>
              <w:lastRenderedPageBreak/>
              <w:drawing>
                <wp:inline distT="0" distB="0" distL="0" distR="0" wp14:anchorId="7E58B14B" wp14:editId="1E973B6E">
                  <wp:extent cx="339271" cy="323850"/>
                  <wp:effectExtent l="0" t="0" r="3810" b="0"/>
                  <wp:docPr id="48" name="Picture 48" descr="Building block one - All families enjoy access to quality, culturally safe universal and targeted services necessary for Aboriginal and Torres Strait Islander children to thrive  &#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Building block one - All families enjoy access to quality, culturally safe universal and targeted services necessary for Aboriginal and Torres Strait Islander children to thrive  &#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3940" cy="328307"/>
                          </a:xfrm>
                          <a:prstGeom prst="rect">
                            <a:avLst/>
                          </a:prstGeom>
                        </pic:spPr>
                      </pic:pic>
                    </a:graphicData>
                  </a:graphic>
                </wp:inline>
              </w:drawing>
            </w:r>
          </w:p>
          <w:p w14:paraId="796E4AC1" w14:textId="70DE82AC" w:rsidR="003A7427" w:rsidRPr="00E07195" w:rsidRDefault="009A623A" w:rsidP="009252D5">
            <w:pPr>
              <w:pStyle w:val="TableTextLeft"/>
              <w:rPr>
                <w:rFonts w:cs="Arial"/>
                <w:szCs w:val="20"/>
              </w:rPr>
            </w:pPr>
            <w:r w:rsidRPr="00E07195">
              <w:rPr>
                <w:rFonts w:cs="Arial"/>
                <w:noProof/>
                <w:szCs w:val="20"/>
              </w:rPr>
              <w:drawing>
                <wp:inline distT="0" distB="0" distL="0" distR="0" wp14:anchorId="2347F094" wp14:editId="30B1A75D">
                  <wp:extent cx="342429" cy="323215"/>
                  <wp:effectExtent l="0" t="0" r="635" b="635"/>
                  <wp:docPr id="481490052" name="Picture 481490052" descr="Building block three - Law, policy and practice in child and family welfare are culturally safe and responsive  &#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90052" name="Picture 481490052" descr="Building block three - Law, policy and practice in child and family welfare are culturally safe and responsive  &#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8823" cy="338689"/>
                          </a:xfrm>
                          <a:prstGeom prst="rect">
                            <a:avLst/>
                          </a:prstGeom>
                        </pic:spPr>
                      </pic:pic>
                    </a:graphicData>
                  </a:graphic>
                </wp:inline>
              </w:drawing>
            </w:r>
          </w:p>
          <w:p w14:paraId="0242746E" w14:textId="31AC0408" w:rsidR="003B666F" w:rsidRPr="00E07195" w:rsidRDefault="003B666F" w:rsidP="009252D5">
            <w:pPr>
              <w:pStyle w:val="TableTextLeft"/>
              <w:rPr>
                <w:rFonts w:cs="Arial"/>
                <w:szCs w:val="20"/>
              </w:rPr>
            </w:pPr>
          </w:p>
        </w:tc>
        <w:tc>
          <w:tcPr>
            <w:tcW w:w="1197" w:type="dxa"/>
          </w:tcPr>
          <w:p w14:paraId="7854D508" w14:textId="5D0606BA" w:rsidR="003B666F" w:rsidRPr="00453A57" w:rsidRDefault="0092506C" w:rsidP="00453A57">
            <w:pPr>
              <w:pStyle w:val="TableTextLeft"/>
              <w:jc w:val="center"/>
              <w:rPr>
                <w:rFonts w:cs="Arial"/>
                <w:b/>
                <w:bCs/>
                <w:sz w:val="32"/>
                <w:szCs w:val="32"/>
              </w:rPr>
            </w:pPr>
            <w:r w:rsidRPr="00453A57">
              <w:rPr>
                <w:rFonts w:cs="Arial"/>
                <w:b/>
                <w:bCs/>
                <w:sz w:val="32"/>
                <w:szCs w:val="32"/>
                <w:shd w:val="clear" w:color="auto" w:fill="FFFFFF"/>
              </w:rPr>
              <w:t>3</w:t>
            </w:r>
          </w:p>
        </w:tc>
        <w:tc>
          <w:tcPr>
            <w:tcW w:w="1260" w:type="dxa"/>
          </w:tcPr>
          <w:p w14:paraId="63057F27" w14:textId="6F9D2ED2" w:rsidR="003B666F" w:rsidRPr="00453A57" w:rsidRDefault="00C22CDE" w:rsidP="00453A57">
            <w:pPr>
              <w:pStyle w:val="TableTextLeft"/>
              <w:jc w:val="center"/>
              <w:rPr>
                <w:rFonts w:cs="Arial"/>
                <w:b/>
                <w:bCs/>
                <w:sz w:val="32"/>
                <w:szCs w:val="32"/>
              </w:rPr>
            </w:pPr>
            <w:r>
              <w:rPr>
                <w:rFonts w:cs="Arial"/>
                <w:b/>
                <w:bCs/>
                <w:sz w:val="32"/>
                <w:szCs w:val="32"/>
              </w:rPr>
              <w:t>7</w:t>
            </w:r>
          </w:p>
        </w:tc>
      </w:tr>
      <w:tr w:rsidR="009252D5" w:rsidRPr="00E07195" w14:paraId="0A78CBC2" w14:textId="199B3E6C" w:rsidTr="25F521CE">
        <w:trPr>
          <w:trHeight w:val="300"/>
        </w:trPr>
        <w:tc>
          <w:tcPr>
            <w:tcW w:w="1847" w:type="dxa"/>
            <w:vMerge/>
          </w:tcPr>
          <w:p w14:paraId="0BF71E2F" w14:textId="77777777" w:rsidR="003B666F" w:rsidRPr="00E07195" w:rsidRDefault="003B666F" w:rsidP="009252D5">
            <w:pPr>
              <w:pStyle w:val="TableHeadingLeft"/>
              <w:rPr>
                <w:rFonts w:cs="Arial"/>
                <w:szCs w:val="20"/>
              </w:rPr>
            </w:pPr>
          </w:p>
        </w:tc>
        <w:tc>
          <w:tcPr>
            <w:tcW w:w="1928" w:type="dxa"/>
          </w:tcPr>
          <w:p w14:paraId="6A07910E" w14:textId="60392ED2" w:rsidR="003B666F" w:rsidRPr="000419D1" w:rsidRDefault="003B666F" w:rsidP="009252D5">
            <w:pPr>
              <w:pStyle w:val="TableTextLeft"/>
              <w:rPr>
                <w:rFonts w:cs="Arial"/>
                <w:b/>
                <w:bCs/>
                <w:szCs w:val="20"/>
              </w:rPr>
            </w:pPr>
            <w:r w:rsidRPr="000419D1">
              <w:rPr>
                <w:rFonts w:cs="Arial"/>
                <w:b/>
                <w:bCs/>
                <w:szCs w:val="20"/>
              </w:rPr>
              <w:t>D</w:t>
            </w:r>
            <w:r w:rsidR="00A2074D" w:rsidRPr="000419D1">
              <w:rPr>
                <w:rFonts w:cs="Arial"/>
                <w:b/>
                <w:bCs/>
                <w:szCs w:val="20"/>
              </w:rPr>
              <w:t>OH</w:t>
            </w:r>
          </w:p>
          <w:p w14:paraId="24BCA574" w14:textId="77777777" w:rsidR="00A2074D" w:rsidRPr="000419D1" w:rsidRDefault="00A2074D" w:rsidP="009252D5">
            <w:pPr>
              <w:pStyle w:val="TableTextLeft"/>
              <w:rPr>
                <w:rFonts w:cs="Arial"/>
                <w:szCs w:val="20"/>
              </w:rPr>
            </w:pPr>
          </w:p>
          <w:p w14:paraId="15E7E2C5" w14:textId="260E9A5A" w:rsidR="003B666F" w:rsidRPr="000419D1" w:rsidRDefault="003B666F" w:rsidP="009252D5">
            <w:pPr>
              <w:pStyle w:val="TableTextLeft"/>
              <w:rPr>
                <w:rFonts w:cs="Arial"/>
                <w:szCs w:val="20"/>
              </w:rPr>
            </w:pPr>
            <w:r w:rsidRPr="000419D1">
              <w:rPr>
                <w:rFonts w:cs="Arial"/>
                <w:szCs w:val="20"/>
              </w:rPr>
              <w:t xml:space="preserve">QATSIH </w:t>
            </w:r>
            <w:proofErr w:type="gramStart"/>
            <w:r w:rsidRPr="000419D1">
              <w:rPr>
                <w:rFonts w:cs="Arial"/>
                <w:szCs w:val="20"/>
              </w:rPr>
              <w:t xml:space="preserve">QATSICPP </w:t>
            </w:r>
            <w:r w:rsidR="00A2074D" w:rsidRPr="000419D1">
              <w:rPr>
                <w:rFonts w:cs="Arial"/>
                <w:szCs w:val="20"/>
              </w:rPr>
              <w:t xml:space="preserve"> DCSSDS</w:t>
            </w:r>
            <w:proofErr w:type="gramEnd"/>
          </w:p>
          <w:p w14:paraId="224DAAD9" w14:textId="2001397F" w:rsidR="003B666F" w:rsidRPr="000419D1" w:rsidRDefault="003B666F" w:rsidP="009252D5">
            <w:pPr>
              <w:pStyle w:val="TableTextLeft"/>
              <w:rPr>
                <w:rFonts w:cs="Arial"/>
                <w:szCs w:val="20"/>
              </w:rPr>
            </w:pPr>
          </w:p>
        </w:tc>
        <w:tc>
          <w:tcPr>
            <w:tcW w:w="3061" w:type="dxa"/>
          </w:tcPr>
          <w:p w14:paraId="23178CF9" w14:textId="77777777" w:rsidR="003A188F" w:rsidRPr="000419D1" w:rsidRDefault="003A188F" w:rsidP="00AA751C">
            <w:pPr>
              <w:spacing w:before="60" w:after="60"/>
              <w:rPr>
                <w:rFonts w:cs="Arial"/>
                <w:sz w:val="20"/>
                <w:szCs w:val="20"/>
              </w:rPr>
            </w:pPr>
            <w:r w:rsidRPr="000419D1">
              <w:rPr>
                <w:rFonts w:cs="Arial"/>
                <w:b/>
                <w:bCs/>
                <w:sz w:val="20"/>
                <w:szCs w:val="20"/>
              </w:rPr>
              <w:t xml:space="preserve">7.3 </w:t>
            </w:r>
            <w:r w:rsidRPr="000419D1">
              <w:rPr>
                <w:rFonts w:cs="Arial"/>
                <w:sz w:val="20"/>
                <w:szCs w:val="20"/>
              </w:rPr>
              <w:t xml:space="preserve">Develop an enhanced integrated service response to address the housing needs of Aboriginal and Torres Strait Islander children and young people and families in contact with the child protection system to support family preservation, </w:t>
            </w:r>
            <w:proofErr w:type="gramStart"/>
            <w:r w:rsidRPr="000419D1">
              <w:rPr>
                <w:rFonts w:cs="Arial"/>
                <w:sz w:val="20"/>
                <w:szCs w:val="20"/>
              </w:rPr>
              <w:t>reunification</w:t>
            </w:r>
            <w:proofErr w:type="gramEnd"/>
            <w:r w:rsidRPr="000419D1">
              <w:rPr>
                <w:rFonts w:cs="Arial"/>
                <w:sz w:val="20"/>
                <w:szCs w:val="20"/>
              </w:rPr>
              <w:t xml:space="preserve"> and transition to independence.</w:t>
            </w:r>
          </w:p>
          <w:p w14:paraId="4EBD4D71" w14:textId="77777777" w:rsidR="003A188F" w:rsidRPr="000419D1" w:rsidRDefault="003A188F" w:rsidP="00AA751C">
            <w:pPr>
              <w:spacing w:before="60" w:after="60"/>
              <w:rPr>
                <w:rFonts w:cs="Arial"/>
                <w:b/>
                <w:bCs/>
                <w:sz w:val="20"/>
                <w:szCs w:val="20"/>
              </w:rPr>
            </w:pPr>
          </w:p>
          <w:p w14:paraId="43569A26" w14:textId="51EB6C3E" w:rsidR="00AA751C" w:rsidRPr="000419D1" w:rsidRDefault="00AA751C" w:rsidP="00AA751C">
            <w:pPr>
              <w:spacing w:before="60" w:after="60"/>
              <w:rPr>
                <w:rFonts w:cs="Arial"/>
                <w:sz w:val="20"/>
                <w:szCs w:val="20"/>
              </w:rPr>
            </w:pPr>
            <w:r w:rsidRPr="000419D1">
              <w:rPr>
                <w:rFonts w:cs="Arial"/>
                <w:b/>
                <w:bCs/>
                <w:sz w:val="20"/>
                <w:szCs w:val="20"/>
              </w:rPr>
              <w:t xml:space="preserve">Timing:  </w:t>
            </w:r>
            <w:r w:rsidRPr="000419D1">
              <w:rPr>
                <w:rFonts w:cs="Arial"/>
                <w:sz w:val="20"/>
                <w:szCs w:val="20"/>
              </w:rPr>
              <w:t>Years 1 to 3 (2023</w:t>
            </w:r>
            <w:r w:rsidR="00C96CC8" w:rsidRPr="000419D1">
              <w:rPr>
                <w:rFonts w:eastAsia="Calibri" w:cs="Arial"/>
                <w:sz w:val="20"/>
                <w:szCs w:val="20"/>
              </w:rPr>
              <w:t>–</w:t>
            </w:r>
            <w:r w:rsidRPr="000419D1">
              <w:rPr>
                <w:rFonts w:cs="Arial"/>
                <w:sz w:val="20"/>
                <w:szCs w:val="20"/>
              </w:rPr>
              <w:t>2025)</w:t>
            </w:r>
          </w:p>
          <w:p w14:paraId="6C6488CE" w14:textId="73253E05" w:rsidR="00AA751C" w:rsidRPr="000419D1" w:rsidRDefault="00AA751C" w:rsidP="00AA751C">
            <w:pPr>
              <w:spacing w:before="60" w:after="60"/>
              <w:rPr>
                <w:rFonts w:cs="Arial"/>
                <w:sz w:val="20"/>
                <w:szCs w:val="20"/>
              </w:rPr>
            </w:pPr>
            <w:r w:rsidRPr="000419D1">
              <w:rPr>
                <w:rFonts w:cs="Arial"/>
                <w:sz w:val="20"/>
                <w:szCs w:val="20"/>
              </w:rPr>
              <w:t>*Ongoing implementation over the course of Breaking Cycles (2023</w:t>
            </w:r>
            <w:r w:rsidR="00C96CC8" w:rsidRPr="000419D1">
              <w:rPr>
                <w:rFonts w:eastAsia="Calibri" w:cs="Arial"/>
                <w:sz w:val="20"/>
                <w:szCs w:val="20"/>
              </w:rPr>
              <w:t>–</w:t>
            </w:r>
            <w:r w:rsidRPr="000419D1">
              <w:rPr>
                <w:rFonts w:cs="Arial"/>
                <w:sz w:val="20"/>
                <w:szCs w:val="20"/>
              </w:rPr>
              <w:t>2031).</w:t>
            </w:r>
          </w:p>
          <w:p w14:paraId="189FFC09" w14:textId="79A281EB" w:rsidR="00AA751C" w:rsidRPr="000419D1" w:rsidRDefault="00AA751C" w:rsidP="009252D5">
            <w:pPr>
              <w:pStyle w:val="TableTextLeft"/>
              <w:rPr>
                <w:rFonts w:cs="Arial"/>
                <w:b/>
                <w:bCs/>
                <w:szCs w:val="20"/>
              </w:rPr>
            </w:pPr>
          </w:p>
        </w:tc>
        <w:tc>
          <w:tcPr>
            <w:tcW w:w="3685" w:type="dxa"/>
          </w:tcPr>
          <w:p w14:paraId="4B2FE203" w14:textId="3ABC0D2F" w:rsidR="003B666F" w:rsidRPr="000419D1" w:rsidRDefault="003B666F" w:rsidP="009252D5">
            <w:pPr>
              <w:pStyle w:val="TableTextLeft"/>
              <w:rPr>
                <w:rFonts w:cs="Arial"/>
                <w:szCs w:val="20"/>
              </w:rPr>
            </w:pPr>
            <w:r w:rsidRPr="000419D1">
              <w:rPr>
                <w:rFonts w:cs="Arial"/>
                <w:b/>
                <w:bCs/>
                <w:szCs w:val="20"/>
              </w:rPr>
              <w:t>D:</w:t>
            </w:r>
            <w:r w:rsidRPr="000419D1">
              <w:rPr>
                <w:rFonts w:cs="Arial"/>
                <w:szCs w:val="20"/>
              </w:rPr>
              <w:t xml:space="preserve">  </w:t>
            </w:r>
            <w:r w:rsidR="00E74A40" w:rsidRPr="000419D1">
              <w:rPr>
                <w:rFonts w:cs="Arial"/>
                <w:bCs/>
                <w:szCs w:val="20"/>
              </w:rPr>
              <w:t xml:space="preserve"> </w:t>
            </w:r>
            <w:r w:rsidR="00262A1A" w:rsidRPr="000419D1">
              <w:rPr>
                <w:rFonts w:cs="Arial"/>
                <w:szCs w:val="20"/>
              </w:rPr>
              <w:t xml:space="preserve"> Review policies that impact on Aboriginal and Torres Strait Islander families who have contact with the child protection system, including supporting application of the Aboriginal and Torres Strait Islander Child Placement Principle (ATSICPP).</w:t>
            </w:r>
          </w:p>
          <w:p w14:paraId="1F6E6DBE" w14:textId="7C230666" w:rsidR="00262A1A" w:rsidRPr="000419D1" w:rsidRDefault="003B666F" w:rsidP="00262A1A">
            <w:pPr>
              <w:pStyle w:val="TableTextLeft"/>
              <w:rPr>
                <w:rFonts w:cs="Arial"/>
                <w:szCs w:val="20"/>
              </w:rPr>
            </w:pPr>
            <w:r w:rsidRPr="000419D1">
              <w:rPr>
                <w:rFonts w:cs="Arial"/>
                <w:b/>
                <w:bCs/>
                <w:szCs w:val="20"/>
              </w:rPr>
              <w:t>D</w:t>
            </w:r>
            <w:r w:rsidRPr="00811D0E">
              <w:rPr>
                <w:rFonts w:cs="Arial"/>
                <w:szCs w:val="20"/>
              </w:rPr>
              <w:t>:</w:t>
            </w:r>
            <w:r w:rsidRPr="000419D1">
              <w:rPr>
                <w:rFonts w:cs="Arial"/>
                <w:szCs w:val="20"/>
              </w:rPr>
              <w:t xml:space="preserve">  </w:t>
            </w:r>
            <w:r w:rsidR="00E74A40" w:rsidRPr="00811D0E">
              <w:rPr>
                <w:rFonts w:cs="Arial"/>
                <w:szCs w:val="20"/>
              </w:rPr>
              <w:t xml:space="preserve"> </w:t>
            </w:r>
            <w:r w:rsidR="00262A1A" w:rsidRPr="00811D0E">
              <w:rPr>
                <w:rFonts w:cs="Arial"/>
                <w:szCs w:val="20"/>
              </w:rPr>
              <w:t xml:space="preserve"> Collaboratively develop and implement joint </w:t>
            </w:r>
            <w:r w:rsidR="00262A1A" w:rsidRPr="000419D1">
              <w:rPr>
                <w:rFonts w:cs="Arial"/>
                <w:szCs w:val="20"/>
              </w:rPr>
              <w:t xml:space="preserve">assessment processes and a </w:t>
            </w:r>
            <w:r w:rsidR="00262A1A" w:rsidRPr="00811D0E">
              <w:rPr>
                <w:rFonts w:cs="Arial"/>
                <w:szCs w:val="20"/>
              </w:rPr>
              <w:t>practice model</w:t>
            </w:r>
            <w:r w:rsidR="00262A1A" w:rsidRPr="000419D1">
              <w:rPr>
                <w:rFonts w:cs="Arial"/>
                <w:szCs w:val="20"/>
              </w:rPr>
              <w:t xml:space="preserve"> to support timely access to appropriate housing responses and review prioritisation policies.</w:t>
            </w:r>
          </w:p>
          <w:p w14:paraId="1540A613" w14:textId="77777777" w:rsidR="00262A1A" w:rsidRPr="000419D1" w:rsidRDefault="00262A1A" w:rsidP="00262A1A">
            <w:pPr>
              <w:pStyle w:val="Header"/>
              <w:tabs>
                <w:tab w:val="clear" w:pos="4513"/>
                <w:tab w:val="clear" w:pos="9026"/>
              </w:tabs>
              <w:spacing w:after="0" w:line="240" w:lineRule="auto"/>
              <w:rPr>
                <w:rFonts w:cs="Arial"/>
                <w:b/>
                <w:bCs/>
                <w:sz w:val="20"/>
                <w:szCs w:val="20"/>
              </w:rPr>
            </w:pPr>
            <w:r w:rsidRPr="000419D1">
              <w:rPr>
                <w:rFonts w:cs="Arial"/>
                <w:b/>
                <w:bCs/>
                <w:sz w:val="20"/>
                <w:szCs w:val="20"/>
              </w:rPr>
              <w:t xml:space="preserve">D: </w:t>
            </w:r>
            <w:r w:rsidRPr="000419D1">
              <w:rPr>
                <w:rFonts w:cs="Arial"/>
                <w:sz w:val="20"/>
                <w:szCs w:val="20"/>
              </w:rPr>
              <w:t>Enhance proportion of the social housing portfolio targeted for Aboriginal and Torres Strait Islander households.</w:t>
            </w:r>
          </w:p>
          <w:p w14:paraId="66B9668C" w14:textId="6C2FD940" w:rsidR="00262A1A" w:rsidRPr="000419D1" w:rsidRDefault="00262A1A" w:rsidP="00262A1A">
            <w:pPr>
              <w:pStyle w:val="TableTextLeft"/>
              <w:rPr>
                <w:rFonts w:cs="Arial"/>
                <w:b/>
                <w:bCs/>
                <w:szCs w:val="20"/>
              </w:rPr>
            </w:pPr>
          </w:p>
          <w:p w14:paraId="376E4761" w14:textId="6D598B13" w:rsidR="00262A1A" w:rsidRPr="000419D1" w:rsidRDefault="00FF37BF" w:rsidP="00262A1A">
            <w:pPr>
              <w:pStyle w:val="Header"/>
              <w:tabs>
                <w:tab w:val="clear" w:pos="4513"/>
                <w:tab w:val="clear" w:pos="9026"/>
              </w:tabs>
              <w:spacing w:after="0" w:line="240" w:lineRule="auto"/>
              <w:rPr>
                <w:rFonts w:eastAsia="MS Mincho" w:cs="Arial"/>
                <w:sz w:val="20"/>
                <w:szCs w:val="20"/>
              </w:rPr>
            </w:pPr>
            <w:r w:rsidRPr="000419D1">
              <w:rPr>
                <w:rFonts w:cs="Arial"/>
                <w:b/>
                <w:bCs/>
                <w:sz w:val="20"/>
                <w:szCs w:val="20"/>
              </w:rPr>
              <w:t xml:space="preserve">SI: </w:t>
            </w:r>
            <w:r w:rsidRPr="000419D1">
              <w:rPr>
                <w:rFonts w:cs="Arial"/>
                <w:sz w:val="20"/>
                <w:szCs w:val="20"/>
              </w:rPr>
              <w:t xml:space="preserve"> </w:t>
            </w:r>
            <w:r w:rsidR="00262A1A" w:rsidRPr="000419D1">
              <w:rPr>
                <w:rFonts w:eastAsia="MS Mincho" w:cs="Arial"/>
                <w:sz w:val="20"/>
                <w:szCs w:val="20"/>
              </w:rPr>
              <w:t xml:space="preserve"> Improved information exchange processes and collaborative service planning with DCYJMA to support application of the Aboriginal and Torres Strait Islander Child Placement Principle (ATSICPP) for Aboriginal and </w:t>
            </w:r>
            <w:r w:rsidR="00262A1A" w:rsidRPr="000419D1">
              <w:rPr>
                <w:rFonts w:eastAsia="MS Mincho" w:cs="Arial"/>
                <w:sz w:val="20"/>
                <w:szCs w:val="20"/>
              </w:rPr>
              <w:lastRenderedPageBreak/>
              <w:t xml:space="preserve">Torres Strait Islander families who have contact with the child protection system. </w:t>
            </w:r>
          </w:p>
          <w:p w14:paraId="510815DA" w14:textId="722CC40A" w:rsidR="00FF37BF" w:rsidRPr="000419D1" w:rsidRDefault="00FF37BF" w:rsidP="009252D5">
            <w:pPr>
              <w:pStyle w:val="TableTextLeft"/>
              <w:rPr>
                <w:rFonts w:cs="Arial"/>
                <w:szCs w:val="20"/>
              </w:rPr>
            </w:pPr>
          </w:p>
          <w:p w14:paraId="61D867F0" w14:textId="110606DE" w:rsidR="00262A1A" w:rsidRPr="000419D1" w:rsidRDefault="00262A1A" w:rsidP="00262A1A">
            <w:pPr>
              <w:pStyle w:val="TableTextLeft"/>
              <w:rPr>
                <w:rFonts w:cs="Arial"/>
                <w:szCs w:val="20"/>
              </w:rPr>
            </w:pPr>
            <w:r w:rsidRPr="000419D1">
              <w:rPr>
                <w:rFonts w:cs="Arial"/>
                <w:b/>
                <w:bCs/>
                <w:szCs w:val="20"/>
              </w:rPr>
              <w:t xml:space="preserve">SI: </w:t>
            </w:r>
            <w:r w:rsidRPr="000419D1">
              <w:rPr>
                <w:rFonts w:cs="Arial"/>
                <w:szCs w:val="20"/>
              </w:rPr>
              <w:t xml:space="preserve">Number of instances </w:t>
            </w:r>
            <w:r w:rsidR="00DA18C6" w:rsidRPr="000419D1">
              <w:rPr>
                <w:rFonts w:cs="Arial"/>
                <w:szCs w:val="20"/>
              </w:rPr>
              <w:t>where Aboriginal</w:t>
            </w:r>
            <w:r w:rsidRPr="000419D1">
              <w:rPr>
                <w:rFonts w:cs="Arial"/>
                <w:szCs w:val="20"/>
              </w:rPr>
              <w:t xml:space="preserve"> and Torres Strait Islander family reunification is compromised by lack of access to safe and secure housing.</w:t>
            </w:r>
          </w:p>
          <w:p w14:paraId="4C949765" w14:textId="16E2F521" w:rsidR="00FF37BF" w:rsidRPr="00635A7D" w:rsidRDefault="00262A1A" w:rsidP="009252D5">
            <w:pPr>
              <w:pStyle w:val="TableTextLeft"/>
              <w:rPr>
                <w:rFonts w:cs="Arial"/>
                <w:szCs w:val="20"/>
              </w:rPr>
            </w:pPr>
            <w:r w:rsidRPr="000419D1">
              <w:rPr>
                <w:rFonts w:cs="Arial"/>
                <w:b/>
                <w:bCs/>
                <w:szCs w:val="20"/>
              </w:rPr>
              <w:t xml:space="preserve">SI: </w:t>
            </w:r>
            <w:r w:rsidRPr="000419D1">
              <w:rPr>
                <w:rFonts w:cs="Arial"/>
                <w:szCs w:val="20"/>
              </w:rPr>
              <w:t xml:space="preserve"> Number of instances </w:t>
            </w:r>
            <w:r w:rsidR="00DA18C6" w:rsidRPr="000419D1">
              <w:rPr>
                <w:rFonts w:cs="Arial"/>
                <w:szCs w:val="20"/>
              </w:rPr>
              <w:t>where Aboriginal</w:t>
            </w:r>
            <w:r w:rsidRPr="000419D1">
              <w:rPr>
                <w:rFonts w:cs="Arial"/>
                <w:szCs w:val="20"/>
              </w:rPr>
              <w:t xml:space="preserve"> and Torres Strait Islander families subject to a child protection notification have been provided access to housing support including access to priority housing.</w:t>
            </w:r>
          </w:p>
        </w:tc>
        <w:tc>
          <w:tcPr>
            <w:tcW w:w="3118" w:type="dxa"/>
          </w:tcPr>
          <w:p w14:paraId="7B80EB62" w14:textId="3FE2385A" w:rsidR="003B666F" w:rsidRPr="000419D1" w:rsidRDefault="003B666F" w:rsidP="009252D5">
            <w:pPr>
              <w:pStyle w:val="TableTextLeft"/>
              <w:rPr>
                <w:rFonts w:cs="Arial"/>
                <w:szCs w:val="20"/>
              </w:rPr>
            </w:pPr>
            <w:r w:rsidRPr="000419D1">
              <w:rPr>
                <w:rFonts w:cs="Arial"/>
                <w:b/>
                <w:bCs/>
                <w:szCs w:val="20"/>
              </w:rPr>
              <w:lastRenderedPageBreak/>
              <w:t>O:</w:t>
            </w:r>
            <w:r w:rsidRPr="000419D1">
              <w:rPr>
                <w:rFonts w:cs="Arial"/>
                <w:szCs w:val="20"/>
              </w:rPr>
              <w:t xml:space="preserve">  Aboriginal and Torres Strait Islander children grow up in secure and appropriate housing that is aligned with their priorities and needs</w:t>
            </w:r>
            <w:r w:rsidR="00491FCA" w:rsidRPr="000419D1">
              <w:rPr>
                <w:rFonts w:cs="Arial"/>
                <w:szCs w:val="20"/>
              </w:rPr>
              <w:t>.</w:t>
            </w:r>
          </w:p>
        </w:tc>
        <w:tc>
          <w:tcPr>
            <w:tcW w:w="3685" w:type="dxa"/>
          </w:tcPr>
          <w:p w14:paraId="2E594EC1" w14:textId="0D2B0FA5" w:rsidR="003B666F" w:rsidRPr="000419D1" w:rsidRDefault="003B666F" w:rsidP="009252D5">
            <w:pPr>
              <w:pStyle w:val="TableTextLeft"/>
              <w:rPr>
                <w:rFonts w:cs="Arial"/>
                <w:szCs w:val="20"/>
              </w:rPr>
            </w:pPr>
            <w:r w:rsidRPr="000419D1">
              <w:rPr>
                <w:rFonts w:cs="Arial"/>
                <w:szCs w:val="20"/>
              </w:rPr>
              <w:t xml:space="preserve">The impact of insecure housing and overcrowding is a significant driver of Aboriginal and Torres Strait Islander children and families entering the child protection system and contributes to the overrepresentation of Aboriginal and Torres Strait Islander children in care. </w:t>
            </w:r>
          </w:p>
          <w:p w14:paraId="4803F3D3" w14:textId="77777777" w:rsidR="005617D2" w:rsidRPr="000419D1" w:rsidRDefault="005617D2" w:rsidP="009252D5">
            <w:pPr>
              <w:pStyle w:val="TableTextLeft"/>
              <w:rPr>
                <w:rFonts w:cs="Arial"/>
                <w:szCs w:val="20"/>
              </w:rPr>
            </w:pPr>
          </w:p>
          <w:p w14:paraId="2683FB20" w14:textId="7EECE2C3" w:rsidR="003B666F" w:rsidRPr="000419D1" w:rsidRDefault="003B666F" w:rsidP="009252D5">
            <w:pPr>
              <w:pStyle w:val="TableTextLeft"/>
              <w:rPr>
                <w:rFonts w:cs="Arial"/>
                <w:szCs w:val="20"/>
              </w:rPr>
            </w:pPr>
            <w:r w:rsidRPr="000419D1">
              <w:rPr>
                <w:rFonts w:cs="Arial"/>
                <w:szCs w:val="20"/>
              </w:rPr>
              <w:t xml:space="preserve">The Queensland Government, through the </w:t>
            </w:r>
            <w:r w:rsidRPr="000419D1">
              <w:rPr>
                <w:rFonts w:cs="Arial"/>
                <w:i/>
                <w:iCs/>
                <w:szCs w:val="20"/>
              </w:rPr>
              <w:t>Our Way</w:t>
            </w:r>
            <w:r w:rsidRPr="000419D1">
              <w:rPr>
                <w:rFonts w:cs="Arial"/>
                <w:szCs w:val="20"/>
              </w:rPr>
              <w:t xml:space="preserve"> strategy and National Agreement on Closing the Gap, has committed to reduce the overrepresentation of children in care by 45</w:t>
            </w:r>
            <w:r w:rsidR="008410E8">
              <w:rPr>
                <w:rFonts w:cs="Arial"/>
                <w:szCs w:val="20"/>
              </w:rPr>
              <w:t xml:space="preserve"> percent </w:t>
            </w:r>
            <w:r w:rsidRPr="000419D1">
              <w:rPr>
                <w:rFonts w:cs="Arial"/>
                <w:szCs w:val="20"/>
              </w:rPr>
              <w:t>by 2031. This target cannot be realised if the underlying drivers that impact on the ability of families to keep their children safe are not addressed. Housing policy that creates the right conditions to grow the capacity of families to create safety plans, live within kinship structures, and supports reunification will go some way to addressing these issues.</w:t>
            </w:r>
          </w:p>
          <w:p w14:paraId="1BD30BCF" w14:textId="0536B251" w:rsidR="003B666F" w:rsidRPr="000419D1" w:rsidRDefault="003B666F" w:rsidP="009252D5">
            <w:pPr>
              <w:pStyle w:val="TableTextLeft"/>
              <w:rPr>
                <w:rFonts w:cs="Arial"/>
                <w:szCs w:val="20"/>
              </w:rPr>
            </w:pPr>
          </w:p>
        </w:tc>
        <w:tc>
          <w:tcPr>
            <w:tcW w:w="1627" w:type="dxa"/>
          </w:tcPr>
          <w:p w14:paraId="44137886" w14:textId="7C3185F6" w:rsidR="007153E4" w:rsidRPr="00E07195" w:rsidRDefault="006F21BA" w:rsidP="009252D5">
            <w:pPr>
              <w:pStyle w:val="TableTextLeft"/>
              <w:rPr>
                <w:rFonts w:cs="Arial"/>
                <w:szCs w:val="20"/>
              </w:rPr>
            </w:pPr>
            <w:r w:rsidRPr="00E07195">
              <w:rPr>
                <w:rFonts w:cs="Arial"/>
                <w:noProof/>
                <w:szCs w:val="20"/>
              </w:rPr>
              <w:lastRenderedPageBreak/>
              <w:drawing>
                <wp:inline distT="0" distB="0" distL="0" distR="0" wp14:anchorId="12ED1878" wp14:editId="7989EF93">
                  <wp:extent cx="339271" cy="323850"/>
                  <wp:effectExtent l="0" t="0" r="3810" b="0"/>
                  <wp:docPr id="49" name="Picture 49" descr="Building block one - All families enjoy access to quality, culturally safe universal and targeted services necessary for Aboriginal and Torres Strait Islander children to thrive  &#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Building block one - All families enjoy access to quality, culturally safe universal and targeted services necessary for Aboriginal and Torres Strait Islander children to thrive  &#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3940" cy="328307"/>
                          </a:xfrm>
                          <a:prstGeom prst="rect">
                            <a:avLst/>
                          </a:prstGeom>
                        </pic:spPr>
                      </pic:pic>
                    </a:graphicData>
                  </a:graphic>
                </wp:inline>
              </w:drawing>
            </w:r>
          </w:p>
          <w:p w14:paraId="7BA2938B" w14:textId="15700598" w:rsidR="003A7427" w:rsidRPr="00E07195" w:rsidRDefault="009A623A" w:rsidP="009252D5">
            <w:pPr>
              <w:pStyle w:val="TableTextLeft"/>
              <w:rPr>
                <w:rFonts w:cs="Arial"/>
                <w:szCs w:val="20"/>
              </w:rPr>
            </w:pPr>
            <w:r w:rsidRPr="00E07195">
              <w:rPr>
                <w:rFonts w:cs="Arial"/>
                <w:noProof/>
                <w:szCs w:val="20"/>
              </w:rPr>
              <w:drawing>
                <wp:inline distT="0" distB="0" distL="0" distR="0" wp14:anchorId="05935537" wp14:editId="4A893616">
                  <wp:extent cx="342429" cy="323215"/>
                  <wp:effectExtent l="0" t="0" r="635" b="635"/>
                  <wp:docPr id="481490053" name="Picture 481490053" descr="Building block three - Law, policy and practice in child and family welfare are culturally safe and responsive  &#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90053" name="Picture 481490053" descr="Building block three - Law, policy and practice in child and family welfare are culturally safe and responsive  &#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8823" cy="338689"/>
                          </a:xfrm>
                          <a:prstGeom prst="rect">
                            <a:avLst/>
                          </a:prstGeom>
                        </pic:spPr>
                      </pic:pic>
                    </a:graphicData>
                  </a:graphic>
                </wp:inline>
              </w:drawing>
            </w:r>
          </w:p>
          <w:p w14:paraId="2DE425F2" w14:textId="21AA79DE" w:rsidR="003B666F" w:rsidRPr="00E07195" w:rsidRDefault="003B666F" w:rsidP="009252D5">
            <w:pPr>
              <w:pStyle w:val="TableTextLeft"/>
              <w:rPr>
                <w:rFonts w:cs="Arial"/>
                <w:szCs w:val="20"/>
              </w:rPr>
            </w:pPr>
          </w:p>
        </w:tc>
        <w:tc>
          <w:tcPr>
            <w:tcW w:w="1197" w:type="dxa"/>
          </w:tcPr>
          <w:p w14:paraId="0F0CE5ED" w14:textId="4008E311" w:rsidR="003B666F" w:rsidRPr="00453A57" w:rsidRDefault="0092506C" w:rsidP="00453A57">
            <w:pPr>
              <w:pStyle w:val="TableTextLeft"/>
              <w:jc w:val="center"/>
              <w:rPr>
                <w:rFonts w:cs="Arial"/>
                <w:b/>
                <w:bCs/>
                <w:sz w:val="32"/>
                <w:szCs w:val="32"/>
              </w:rPr>
            </w:pPr>
            <w:r w:rsidRPr="00453A57">
              <w:rPr>
                <w:rFonts w:cs="Arial"/>
                <w:b/>
                <w:bCs/>
                <w:sz w:val="32"/>
                <w:szCs w:val="32"/>
                <w:shd w:val="clear" w:color="auto" w:fill="FFFFFF"/>
              </w:rPr>
              <w:t>3</w:t>
            </w:r>
          </w:p>
        </w:tc>
        <w:tc>
          <w:tcPr>
            <w:tcW w:w="1260" w:type="dxa"/>
          </w:tcPr>
          <w:p w14:paraId="73B677EB" w14:textId="76BE20CF" w:rsidR="003B666F" w:rsidRPr="00453A57" w:rsidRDefault="00C22CDE" w:rsidP="00453A57">
            <w:pPr>
              <w:pStyle w:val="TableTextLeft"/>
              <w:jc w:val="center"/>
              <w:rPr>
                <w:rFonts w:cs="Arial"/>
                <w:b/>
                <w:bCs/>
                <w:sz w:val="32"/>
                <w:szCs w:val="32"/>
              </w:rPr>
            </w:pPr>
            <w:r>
              <w:rPr>
                <w:rFonts w:cs="Arial"/>
                <w:b/>
                <w:bCs/>
                <w:sz w:val="32"/>
                <w:szCs w:val="32"/>
              </w:rPr>
              <w:t>5,8</w:t>
            </w:r>
          </w:p>
        </w:tc>
      </w:tr>
      <w:tr w:rsidR="009252D5" w:rsidRPr="00E07195" w14:paraId="32F15FBE" w14:textId="710B50A1" w:rsidTr="25F521CE">
        <w:trPr>
          <w:trHeight w:val="300"/>
        </w:trPr>
        <w:tc>
          <w:tcPr>
            <w:tcW w:w="1847" w:type="dxa"/>
            <w:vMerge/>
          </w:tcPr>
          <w:p w14:paraId="52E1121F" w14:textId="77777777" w:rsidR="003B666F" w:rsidRPr="00E07195" w:rsidRDefault="003B666F" w:rsidP="009252D5">
            <w:pPr>
              <w:pStyle w:val="TableHeadingLeft"/>
              <w:rPr>
                <w:rFonts w:cs="Arial"/>
                <w:szCs w:val="20"/>
              </w:rPr>
            </w:pPr>
          </w:p>
        </w:tc>
        <w:tc>
          <w:tcPr>
            <w:tcW w:w="1928" w:type="dxa"/>
          </w:tcPr>
          <w:p w14:paraId="432503AA" w14:textId="04053BB0" w:rsidR="003B666F" w:rsidRPr="00E07195" w:rsidRDefault="00491FCA" w:rsidP="009252D5">
            <w:pPr>
              <w:pStyle w:val="TableTextLeft"/>
              <w:rPr>
                <w:rFonts w:cs="Arial"/>
                <w:b/>
                <w:bCs/>
                <w:szCs w:val="20"/>
              </w:rPr>
            </w:pPr>
            <w:r w:rsidRPr="00E07195">
              <w:rPr>
                <w:rFonts w:cs="Arial"/>
                <w:b/>
                <w:bCs/>
                <w:szCs w:val="20"/>
              </w:rPr>
              <w:t>DOE</w:t>
            </w:r>
          </w:p>
          <w:p w14:paraId="1F810D60" w14:textId="6C3D0DDD" w:rsidR="003B666F" w:rsidRPr="00E07195" w:rsidRDefault="003B666F" w:rsidP="009252D5">
            <w:pPr>
              <w:pStyle w:val="TableTextLeft"/>
              <w:rPr>
                <w:rFonts w:cs="Arial"/>
                <w:szCs w:val="20"/>
              </w:rPr>
            </w:pPr>
          </w:p>
        </w:tc>
        <w:tc>
          <w:tcPr>
            <w:tcW w:w="3061" w:type="dxa"/>
          </w:tcPr>
          <w:p w14:paraId="30BF812F" w14:textId="07687AF2" w:rsidR="00573CFD" w:rsidRDefault="003A188F" w:rsidP="009252D5">
            <w:pPr>
              <w:pStyle w:val="TableTextLeft"/>
              <w:rPr>
                <w:rFonts w:cs="Arial"/>
                <w:szCs w:val="20"/>
              </w:rPr>
            </w:pPr>
            <w:r w:rsidRPr="00DD60C7">
              <w:rPr>
                <w:rFonts w:cs="Arial"/>
                <w:b/>
                <w:bCs/>
                <w:szCs w:val="20"/>
              </w:rPr>
              <w:t>7.4</w:t>
            </w:r>
            <w:r w:rsidRPr="00DD60C7">
              <w:rPr>
                <w:rFonts w:cs="Arial"/>
                <w:szCs w:val="20"/>
              </w:rPr>
              <w:t xml:space="preserve"> Increase the days of learning for Aboriginal and Torres Strait Islander students by supporting schools to implement culturally responsive approaches to discipline.</w:t>
            </w:r>
          </w:p>
          <w:p w14:paraId="4E413B87" w14:textId="77777777" w:rsidR="003A188F" w:rsidRDefault="003A188F" w:rsidP="009252D5">
            <w:pPr>
              <w:pStyle w:val="TableTextLeft"/>
              <w:rPr>
                <w:rFonts w:cs="Arial"/>
                <w:b/>
                <w:bCs/>
                <w:szCs w:val="20"/>
              </w:rPr>
            </w:pPr>
          </w:p>
          <w:p w14:paraId="34EAD4BF" w14:textId="20009D0D" w:rsidR="003B666F" w:rsidRPr="00E07195" w:rsidRDefault="00034B37" w:rsidP="009252D5">
            <w:pPr>
              <w:pStyle w:val="TableTextLeft"/>
              <w:rPr>
                <w:rFonts w:cs="Arial"/>
                <w:szCs w:val="20"/>
              </w:rPr>
            </w:pPr>
            <w:r w:rsidRPr="00E07195">
              <w:rPr>
                <w:rFonts w:cs="Arial"/>
                <w:b/>
                <w:bCs/>
                <w:szCs w:val="20"/>
              </w:rPr>
              <w:t xml:space="preserve">Timing: </w:t>
            </w:r>
            <w:r w:rsidR="000B3D7A" w:rsidRPr="00E07195">
              <w:rPr>
                <w:rFonts w:cs="Arial"/>
                <w:b/>
                <w:bCs/>
                <w:szCs w:val="20"/>
              </w:rPr>
              <w:t xml:space="preserve"> </w:t>
            </w:r>
            <w:r w:rsidR="000B3D7A" w:rsidRPr="00E07195">
              <w:rPr>
                <w:rFonts w:cs="Arial"/>
                <w:szCs w:val="20"/>
              </w:rPr>
              <w:t>Years 1 to 3 (2023</w:t>
            </w:r>
            <w:r w:rsidR="00C96CC8">
              <w:rPr>
                <w:rFonts w:eastAsia="Calibri"/>
              </w:rPr>
              <w:t>–</w:t>
            </w:r>
            <w:r w:rsidR="000B3D7A" w:rsidRPr="00E07195">
              <w:rPr>
                <w:rFonts w:cs="Arial"/>
                <w:szCs w:val="20"/>
              </w:rPr>
              <w:t>2025)</w:t>
            </w:r>
          </w:p>
        </w:tc>
        <w:tc>
          <w:tcPr>
            <w:tcW w:w="3685" w:type="dxa"/>
          </w:tcPr>
          <w:p w14:paraId="721B2FE4" w14:textId="02F136E1" w:rsidR="003B666F" w:rsidRDefault="00A61D5A" w:rsidP="009252D5">
            <w:pPr>
              <w:pStyle w:val="TableTextLeft"/>
              <w:rPr>
                <w:rFonts w:cs="Arial"/>
                <w:szCs w:val="20"/>
              </w:rPr>
            </w:pPr>
            <w:r w:rsidRPr="00E07195">
              <w:rPr>
                <w:rFonts w:cs="Arial"/>
                <w:b/>
                <w:bCs/>
                <w:szCs w:val="20"/>
              </w:rPr>
              <w:t xml:space="preserve">D: </w:t>
            </w:r>
            <w:r w:rsidRPr="00E07195">
              <w:rPr>
                <w:rFonts w:cs="Arial"/>
                <w:szCs w:val="20"/>
              </w:rPr>
              <w:t xml:space="preserve"> Development of targeted system-wide </w:t>
            </w:r>
            <w:r w:rsidR="1BE62DA4" w:rsidRPr="00E07195">
              <w:rPr>
                <w:rFonts w:cs="Arial"/>
                <w:szCs w:val="20"/>
              </w:rPr>
              <w:t>initiative</w:t>
            </w:r>
            <w:r w:rsidRPr="00E07195">
              <w:rPr>
                <w:rFonts w:cs="Arial"/>
                <w:szCs w:val="20"/>
              </w:rPr>
              <w:t xml:space="preserve"> to maximise learning days for all students through active reduction of reliance on school disciplinary absences</w:t>
            </w:r>
            <w:r w:rsidR="007D6292">
              <w:rPr>
                <w:rFonts w:cs="Arial"/>
                <w:szCs w:val="20"/>
              </w:rPr>
              <w:t xml:space="preserve"> (SDA)</w:t>
            </w:r>
            <w:r w:rsidRPr="00E07195">
              <w:rPr>
                <w:rFonts w:cs="Arial"/>
                <w:szCs w:val="20"/>
              </w:rPr>
              <w:t xml:space="preserve"> (</w:t>
            </w:r>
            <w:proofErr w:type="gramStart"/>
            <w:r w:rsidRPr="00E07195">
              <w:rPr>
                <w:rFonts w:cs="Arial"/>
                <w:szCs w:val="20"/>
              </w:rPr>
              <w:t>e.g.</w:t>
            </w:r>
            <w:proofErr w:type="gramEnd"/>
            <w:r w:rsidRPr="00E07195">
              <w:rPr>
                <w:rFonts w:cs="Arial"/>
                <w:szCs w:val="20"/>
              </w:rPr>
              <w:t xml:space="preserve"> suspensions and exclusions).</w:t>
            </w:r>
          </w:p>
          <w:p w14:paraId="55A0E191" w14:textId="77777777" w:rsidR="005617D2" w:rsidRPr="00E07195" w:rsidRDefault="005617D2" w:rsidP="009252D5">
            <w:pPr>
              <w:pStyle w:val="TableTextLeft"/>
              <w:rPr>
                <w:rFonts w:cs="Arial"/>
                <w:szCs w:val="20"/>
              </w:rPr>
            </w:pPr>
          </w:p>
          <w:p w14:paraId="2FF0780F" w14:textId="6806B590" w:rsidR="00A61D5A" w:rsidRPr="00E07195" w:rsidRDefault="00A61D5A" w:rsidP="009252D5">
            <w:pPr>
              <w:pStyle w:val="TableTextLeft"/>
              <w:rPr>
                <w:rFonts w:cs="Arial"/>
                <w:b/>
                <w:bCs/>
                <w:szCs w:val="20"/>
              </w:rPr>
            </w:pPr>
            <w:r w:rsidRPr="00E07195">
              <w:rPr>
                <w:rFonts w:cs="Arial"/>
                <w:b/>
                <w:bCs/>
                <w:szCs w:val="20"/>
              </w:rPr>
              <w:t xml:space="preserve">SI: </w:t>
            </w:r>
            <w:r w:rsidRPr="00E07195">
              <w:rPr>
                <w:rFonts w:cs="Arial"/>
                <w:szCs w:val="20"/>
              </w:rPr>
              <w:t xml:space="preserve"> Release of Maximising learning days strategy</w:t>
            </w:r>
            <w:r w:rsidR="00491FCA" w:rsidRPr="00E07195">
              <w:rPr>
                <w:rFonts w:cs="Arial"/>
                <w:szCs w:val="20"/>
              </w:rPr>
              <w:t>.</w:t>
            </w:r>
          </w:p>
        </w:tc>
        <w:tc>
          <w:tcPr>
            <w:tcW w:w="3118" w:type="dxa"/>
          </w:tcPr>
          <w:p w14:paraId="373A94AB" w14:textId="0B611D31" w:rsidR="003B666F" w:rsidRPr="00E07195" w:rsidRDefault="00230A42" w:rsidP="009252D5">
            <w:pPr>
              <w:pStyle w:val="TableTextLeft"/>
              <w:rPr>
                <w:rFonts w:cs="Arial"/>
                <w:b/>
                <w:bCs/>
                <w:szCs w:val="20"/>
              </w:rPr>
            </w:pPr>
            <w:r w:rsidRPr="00E07195">
              <w:rPr>
                <w:rFonts w:cs="Arial"/>
                <w:b/>
                <w:bCs/>
                <w:szCs w:val="20"/>
              </w:rPr>
              <w:t>O</w:t>
            </w:r>
            <w:r w:rsidR="005914B2" w:rsidRPr="00E07195">
              <w:rPr>
                <w:rFonts w:cs="Arial"/>
                <w:b/>
                <w:bCs/>
                <w:szCs w:val="20"/>
              </w:rPr>
              <w:t xml:space="preserve">: </w:t>
            </w:r>
            <w:r w:rsidR="005914B2" w:rsidRPr="00E07195">
              <w:rPr>
                <w:rFonts w:cs="Arial"/>
                <w:szCs w:val="20"/>
              </w:rPr>
              <w:t xml:space="preserve"> Aboriginal and Torres Strait Islander children are engaged in education</w:t>
            </w:r>
            <w:r w:rsidR="00491FCA" w:rsidRPr="00E07195">
              <w:rPr>
                <w:rFonts w:cs="Arial"/>
                <w:szCs w:val="20"/>
              </w:rPr>
              <w:t>.</w:t>
            </w:r>
          </w:p>
        </w:tc>
        <w:tc>
          <w:tcPr>
            <w:tcW w:w="3685" w:type="dxa"/>
          </w:tcPr>
          <w:p w14:paraId="5D6626F5" w14:textId="4476F0D3" w:rsidR="003B666F" w:rsidRPr="00E07195" w:rsidRDefault="000B73DB" w:rsidP="00F73909">
            <w:pPr>
              <w:pStyle w:val="TableTextLeft"/>
              <w:rPr>
                <w:rFonts w:cs="Arial"/>
                <w:szCs w:val="20"/>
              </w:rPr>
            </w:pPr>
            <w:r>
              <w:rPr>
                <w:rFonts w:cs="Arial"/>
                <w:szCs w:val="20"/>
              </w:rPr>
              <w:t>DoE</w:t>
            </w:r>
            <w:r w:rsidRPr="00B70D58">
              <w:rPr>
                <w:rFonts w:cs="Arial"/>
                <w:i/>
                <w:iCs/>
                <w:color w:val="020202"/>
                <w:szCs w:val="20"/>
              </w:rPr>
              <w:t xml:space="preserve"> Equity and Excellence: realising the potential of every student</w:t>
            </w:r>
            <w:r w:rsidRPr="00B70D58">
              <w:rPr>
                <w:rFonts w:cs="Arial"/>
                <w:color w:val="020202"/>
                <w:szCs w:val="20"/>
              </w:rPr>
              <w:t xml:space="preserve"> Strategy </w:t>
            </w:r>
            <w:r w:rsidR="00F316B8" w:rsidRPr="00E07195">
              <w:rPr>
                <w:rFonts w:cs="Arial"/>
                <w:szCs w:val="20"/>
              </w:rPr>
              <w:t xml:space="preserve">has committed to </w:t>
            </w:r>
            <w:r w:rsidR="00F316B8" w:rsidRPr="00E07195">
              <w:rPr>
                <w:rFonts w:cs="Arial"/>
                <w:color w:val="333333"/>
                <w:szCs w:val="20"/>
                <w:shd w:val="clear" w:color="auto" w:fill="FFFFFF"/>
              </w:rPr>
              <w:t xml:space="preserve">empowering Aboriginal and Torres Strait Islander children and students to make a </w:t>
            </w:r>
            <w:r>
              <w:rPr>
                <w:rFonts w:cs="Arial"/>
                <w:color w:val="333333"/>
                <w:szCs w:val="20"/>
                <w:shd w:val="clear" w:color="auto" w:fill="FFFFFF"/>
              </w:rPr>
              <w:t>strong</w:t>
            </w:r>
            <w:r w:rsidRPr="00E07195">
              <w:rPr>
                <w:rFonts w:cs="Arial"/>
                <w:color w:val="333333"/>
                <w:szCs w:val="20"/>
                <w:shd w:val="clear" w:color="auto" w:fill="FFFFFF"/>
              </w:rPr>
              <w:t xml:space="preserve"> </w:t>
            </w:r>
            <w:r w:rsidR="00F316B8" w:rsidRPr="00E07195">
              <w:rPr>
                <w:rFonts w:cs="Arial"/>
                <w:color w:val="333333"/>
                <w:szCs w:val="20"/>
                <w:shd w:val="clear" w:color="auto" w:fill="FFFFFF"/>
              </w:rPr>
              <w:t xml:space="preserve">start, achieve their full learning </w:t>
            </w:r>
            <w:proofErr w:type="gramStart"/>
            <w:r w:rsidR="00F316B8" w:rsidRPr="00E07195">
              <w:rPr>
                <w:rFonts w:cs="Arial"/>
                <w:color w:val="333333"/>
                <w:szCs w:val="20"/>
                <w:shd w:val="clear" w:color="auto" w:fill="FFFFFF"/>
              </w:rPr>
              <w:t>potential</w:t>
            </w:r>
            <w:proofErr w:type="gramEnd"/>
            <w:r w:rsidR="00F316B8" w:rsidRPr="00E07195">
              <w:rPr>
                <w:rFonts w:cs="Arial"/>
                <w:color w:val="333333"/>
                <w:szCs w:val="20"/>
                <w:shd w:val="clear" w:color="auto" w:fill="FFFFFF"/>
              </w:rPr>
              <w:t xml:space="preserve"> and shape their own futures.</w:t>
            </w:r>
          </w:p>
        </w:tc>
        <w:tc>
          <w:tcPr>
            <w:tcW w:w="1627" w:type="dxa"/>
          </w:tcPr>
          <w:p w14:paraId="2F9DC45A" w14:textId="48C5F62E" w:rsidR="007153E4" w:rsidRPr="00E07195" w:rsidRDefault="006F21BA" w:rsidP="009252D5">
            <w:pPr>
              <w:pStyle w:val="TableTextLeft"/>
              <w:rPr>
                <w:rFonts w:cs="Arial"/>
                <w:szCs w:val="20"/>
              </w:rPr>
            </w:pPr>
            <w:r w:rsidRPr="00E07195">
              <w:rPr>
                <w:rFonts w:cs="Arial"/>
                <w:noProof/>
                <w:szCs w:val="20"/>
              </w:rPr>
              <w:drawing>
                <wp:inline distT="0" distB="0" distL="0" distR="0" wp14:anchorId="6D822F34" wp14:editId="46B56BF1">
                  <wp:extent cx="339271" cy="323850"/>
                  <wp:effectExtent l="0" t="0" r="3810" b="0"/>
                  <wp:docPr id="50" name="Picture 50" descr="Building block one - All families enjoy access to quality, culturally safe universal and targeted services necessary for Aboriginal and Torres Strait Islander children to thrive  &#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Building block one - All families enjoy access to quality, culturally safe universal and targeted services necessary for Aboriginal and Torres Strait Islander children to thrive  &#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3940" cy="328307"/>
                          </a:xfrm>
                          <a:prstGeom prst="rect">
                            <a:avLst/>
                          </a:prstGeom>
                        </pic:spPr>
                      </pic:pic>
                    </a:graphicData>
                  </a:graphic>
                </wp:inline>
              </w:drawing>
            </w:r>
          </w:p>
          <w:p w14:paraId="2C2648A7" w14:textId="13F76C35" w:rsidR="003A7427" w:rsidRPr="00E07195" w:rsidRDefault="009A623A" w:rsidP="009252D5">
            <w:pPr>
              <w:pStyle w:val="TableTextLeft"/>
              <w:rPr>
                <w:rFonts w:cs="Arial"/>
                <w:szCs w:val="20"/>
              </w:rPr>
            </w:pPr>
            <w:r w:rsidRPr="00E07195">
              <w:rPr>
                <w:rFonts w:cs="Arial"/>
                <w:noProof/>
                <w:szCs w:val="20"/>
              </w:rPr>
              <w:drawing>
                <wp:inline distT="0" distB="0" distL="0" distR="0" wp14:anchorId="15FEE873" wp14:editId="5702FB79">
                  <wp:extent cx="342429" cy="323215"/>
                  <wp:effectExtent l="0" t="0" r="635" b="635"/>
                  <wp:docPr id="481490054" name="Picture 481490054" descr="Building block three - Law, policy and practice in child and family welfare are culturally safe and responsive  &#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90054" name="Picture 481490054" descr="Building block three - Law, policy and practice in child and family welfare are culturally safe and responsive  &#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8823" cy="338689"/>
                          </a:xfrm>
                          <a:prstGeom prst="rect">
                            <a:avLst/>
                          </a:prstGeom>
                        </pic:spPr>
                      </pic:pic>
                    </a:graphicData>
                  </a:graphic>
                </wp:inline>
              </w:drawing>
            </w:r>
          </w:p>
          <w:p w14:paraId="78480A1B" w14:textId="4D55D458" w:rsidR="003B666F" w:rsidRPr="00E07195" w:rsidRDefault="003B666F" w:rsidP="009252D5">
            <w:pPr>
              <w:pStyle w:val="TableTextLeft"/>
              <w:rPr>
                <w:rFonts w:cs="Arial"/>
                <w:szCs w:val="20"/>
              </w:rPr>
            </w:pPr>
          </w:p>
        </w:tc>
        <w:tc>
          <w:tcPr>
            <w:tcW w:w="1197" w:type="dxa"/>
          </w:tcPr>
          <w:p w14:paraId="7061B7DF" w14:textId="743D9393" w:rsidR="003B666F" w:rsidRPr="00453A57" w:rsidRDefault="0092506C" w:rsidP="00453A57">
            <w:pPr>
              <w:pStyle w:val="TableTextLeft"/>
              <w:jc w:val="center"/>
              <w:rPr>
                <w:rFonts w:cs="Arial"/>
                <w:b/>
                <w:bCs/>
                <w:sz w:val="32"/>
                <w:szCs w:val="32"/>
              </w:rPr>
            </w:pPr>
            <w:r w:rsidRPr="00453A57">
              <w:rPr>
                <w:rFonts w:cs="Arial"/>
                <w:b/>
                <w:bCs/>
                <w:sz w:val="32"/>
                <w:szCs w:val="32"/>
                <w:shd w:val="clear" w:color="auto" w:fill="FFFFFF"/>
              </w:rPr>
              <w:t>3</w:t>
            </w:r>
          </w:p>
        </w:tc>
        <w:tc>
          <w:tcPr>
            <w:tcW w:w="1260" w:type="dxa"/>
          </w:tcPr>
          <w:p w14:paraId="5A2127FF" w14:textId="7832DB07" w:rsidR="003B666F" w:rsidRPr="00453A57" w:rsidRDefault="00C22CDE" w:rsidP="00453A57">
            <w:pPr>
              <w:pStyle w:val="TableTextLeft"/>
              <w:jc w:val="center"/>
              <w:rPr>
                <w:rFonts w:cs="Arial"/>
                <w:b/>
                <w:bCs/>
                <w:sz w:val="32"/>
                <w:szCs w:val="32"/>
              </w:rPr>
            </w:pPr>
            <w:r>
              <w:rPr>
                <w:rFonts w:cs="Arial"/>
                <w:b/>
                <w:bCs/>
                <w:sz w:val="32"/>
                <w:szCs w:val="32"/>
              </w:rPr>
              <w:t>5</w:t>
            </w:r>
          </w:p>
        </w:tc>
      </w:tr>
      <w:tr w:rsidR="00C9302E" w:rsidRPr="00E07195" w14:paraId="7B8D9B9B" w14:textId="6472896D" w:rsidTr="25F521CE">
        <w:tc>
          <w:tcPr>
            <w:tcW w:w="1847" w:type="dxa"/>
            <w:shd w:val="clear" w:color="auto" w:fill="FEEFD3" w:themeFill="accent2" w:themeFillTint="33"/>
          </w:tcPr>
          <w:p w14:paraId="2A2C8D63" w14:textId="77777777" w:rsidR="00C9302E" w:rsidRPr="00E07195" w:rsidRDefault="00C9302E" w:rsidP="00C9302E">
            <w:pPr>
              <w:pStyle w:val="TableHeadingLeft"/>
              <w:rPr>
                <w:rFonts w:cs="Arial"/>
                <w:szCs w:val="20"/>
              </w:rPr>
            </w:pPr>
          </w:p>
        </w:tc>
        <w:tc>
          <w:tcPr>
            <w:tcW w:w="1928" w:type="dxa"/>
          </w:tcPr>
          <w:p w14:paraId="0A38D746" w14:textId="06712450" w:rsidR="00C9302E" w:rsidRPr="00B70D58" w:rsidRDefault="00C9302E" w:rsidP="00C9302E">
            <w:pPr>
              <w:pStyle w:val="TableTextLeft"/>
              <w:rPr>
                <w:rFonts w:cs="Arial"/>
                <w:b/>
                <w:bCs/>
                <w:szCs w:val="20"/>
              </w:rPr>
            </w:pPr>
            <w:r w:rsidRPr="00B70D58">
              <w:rPr>
                <w:rFonts w:cs="Arial"/>
                <w:b/>
                <w:bCs/>
                <w:szCs w:val="20"/>
              </w:rPr>
              <w:t>DOE</w:t>
            </w:r>
          </w:p>
        </w:tc>
        <w:tc>
          <w:tcPr>
            <w:tcW w:w="3061" w:type="dxa"/>
          </w:tcPr>
          <w:p w14:paraId="4834F538" w14:textId="75E86DEE" w:rsidR="00C9302E" w:rsidRPr="00B70D58" w:rsidRDefault="003A188F" w:rsidP="00C9302E">
            <w:pPr>
              <w:pStyle w:val="TableTextLeft"/>
              <w:rPr>
                <w:rFonts w:cs="Arial"/>
                <w:szCs w:val="20"/>
              </w:rPr>
            </w:pPr>
            <w:r w:rsidRPr="00B70D58">
              <w:rPr>
                <w:rFonts w:cs="Arial"/>
                <w:b/>
                <w:bCs/>
                <w:szCs w:val="20"/>
              </w:rPr>
              <w:t>7.5</w:t>
            </w:r>
            <w:r w:rsidRPr="00B70D58">
              <w:rPr>
                <w:rFonts w:cs="Arial"/>
                <w:szCs w:val="20"/>
              </w:rPr>
              <w:t xml:space="preserve"> Recognise and value the language varieties which Aboriginal and Torres Strait Islander students, </w:t>
            </w:r>
            <w:proofErr w:type="gramStart"/>
            <w:r w:rsidRPr="00B70D58">
              <w:rPr>
                <w:rFonts w:cs="Arial"/>
                <w:szCs w:val="20"/>
              </w:rPr>
              <w:t>families</w:t>
            </w:r>
            <w:proofErr w:type="gramEnd"/>
            <w:r w:rsidRPr="00B70D58">
              <w:rPr>
                <w:rFonts w:cs="Arial"/>
                <w:szCs w:val="20"/>
              </w:rPr>
              <w:t xml:space="preserve"> and communities’ use. Engage Aboriginal and Torres Strait Islander students learning by supporting the explicit teaching of Standard Australian English (SAE). Actively support the teaching of Aboriginal and Torres Strait Islander languages in schools.</w:t>
            </w:r>
          </w:p>
          <w:p w14:paraId="70CE4B74" w14:textId="77777777" w:rsidR="003A188F" w:rsidRPr="00B70D58" w:rsidRDefault="003A188F" w:rsidP="00C9302E">
            <w:pPr>
              <w:pStyle w:val="TableTextLeft"/>
              <w:rPr>
                <w:rFonts w:cs="Arial"/>
                <w:b/>
                <w:bCs/>
                <w:szCs w:val="20"/>
              </w:rPr>
            </w:pPr>
          </w:p>
          <w:p w14:paraId="13AB2764" w14:textId="57405D3A" w:rsidR="00C9302E" w:rsidRPr="00B70D58" w:rsidRDefault="00C9302E" w:rsidP="00C9302E">
            <w:pPr>
              <w:pStyle w:val="TableTextLeft"/>
              <w:rPr>
                <w:rFonts w:cs="Arial"/>
                <w:color w:val="FF0000"/>
                <w:szCs w:val="20"/>
              </w:rPr>
            </w:pPr>
            <w:r w:rsidRPr="00B70D58">
              <w:rPr>
                <w:rFonts w:cs="Arial"/>
                <w:b/>
                <w:bCs/>
                <w:szCs w:val="20"/>
              </w:rPr>
              <w:t xml:space="preserve">Timing: </w:t>
            </w:r>
            <w:r w:rsidR="000B3D7A" w:rsidRPr="00B70D58">
              <w:rPr>
                <w:rFonts w:cs="Arial"/>
                <w:b/>
                <w:bCs/>
                <w:szCs w:val="20"/>
              </w:rPr>
              <w:t xml:space="preserve"> </w:t>
            </w:r>
            <w:r w:rsidR="000B3D7A" w:rsidRPr="00B70D58">
              <w:rPr>
                <w:rFonts w:cs="Arial"/>
                <w:szCs w:val="20"/>
              </w:rPr>
              <w:t>Years 1 to 3 (2023</w:t>
            </w:r>
            <w:r w:rsidR="00C96CC8" w:rsidRPr="00B70D58">
              <w:rPr>
                <w:rFonts w:eastAsia="Calibri" w:cs="Arial"/>
                <w:szCs w:val="20"/>
              </w:rPr>
              <w:t>–</w:t>
            </w:r>
            <w:r w:rsidR="000B3D7A" w:rsidRPr="00B70D58">
              <w:rPr>
                <w:rFonts w:cs="Arial"/>
                <w:szCs w:val="20"/>
              </w:rPr>
              <w:t>2025)</w:t>
            </w:r>
          </w:p>
          <w:p w14:paraId="41A756C5" w14:textId="23117684" w:rsidR="00C9302E" w:rsidRPr="00B70D58" w:rsidRDefault="00C9302E" w:rsidP="00C9302E">
            <w:pPr>
              <w:pStyle w:val="TableTextLeft"/>
              <w:rPr>
                <w:rFonts w:cs="Arial"/>
                <w:szCs w:val="20"/>
              </w:rPr>
            </w:pPr>
          </w:p>
        </w:tc>
        <w:tc>
          <w:tcPr>
            <w:tcW w:w="3685" w:type="dxa"/>
          </w:tcPr>
          <w:p w14:paraId="187BD326" w14:textId="4A8BB7DF" w:rsidR="00C9302E" w:rsidRPr="00B70D58" w:rsidRDefault="00C9302E" w:rsidP="00C9302E">
            <w:pPr>
              <w:spacing w:before="60" w:after="60"/>
              <w:rPr>
                <w:rFonts w:cs="Arial"/>
                <w:sz w:val="20"/>
                <w:szCs w:val="20"/>
              </w:rPr>
            </w:pPr>
            <w:r w:rsidRPr="00B70D58">
              <w:rPr>
                <w:rFonts w:cs="Arial"/>
                <w:b/>
                <w:bCs/>
                <w:sz w:val="20"/>
                <w:szCs w:val="20"/>
              </w:rPr>
              <w:t xml:space="preserve">D: </w:t>
            </w:r>
            <w:r w:rsidRPr="00B70D58">
              <w:rPr>
                <w:rFonts w:cs="Arial"/>
                <w:sz w:val="20"/>
                <w:szCs w:val="20"/>
              </w:rPr>
              <w:t xml:space="preserve">Students are learning through the Australian Curriculum </w:t>
            </w:r>
            <w:r w:rsidR="154966EE" w:rsidRPr="00B70D58">
              <w:rPr>
                <w:rFonts w:cs="Arial"/>
                <w:sz w:val="20"/>
                <w:szCs w:val="20"/>
              </w:rPr>
              <w:t>in Standard</w:t>
            </w:r>
            <w:r w:rsidRPr="00B70D58">
              <w:rPr>
                <w:rFonts w:cs="Arial"/>
                <w:sz w:val="20"/>
                <w:szCs w:val="20"/>
              </w:rPr>
              <w:t xml:space="preserve"> Australian English (SAE). Many First Nations students do not speak SAE and find it difficult to access the curriculum. Students require: </w:t>
            </w:r>
          </w:p>
          <w:p w14:paraId="61601160" w14:textId="22B41337" w:rsidR="00C9302E" w:rsidRPr="00B70D58" w:rsidRDefault="00C9302E" w:rsidP="00C9302E">
            <w:pPr>
              <w:pStyle w:val="ListParagraph"/>
              <w:numPr>
                <w:ilvl w:val="0"/>
                <w:numId w:val="15"/>
              </w:numPr>
              <w:spacing w:before="60" w:after="60"/>
              <w:rPr>
                <w:rFonts w:ascii="Arial" w:hAnsi="Arial" w:cs="Arial"/>
                <w:sz w:val="20"/>
                <w:szCs w:val="20"/>
              </w:rPr>
            </w:pPr>
            <w:r w:rsidRPr="00B70D58">
              <w:rPr>
                <w:rFonts w:ascii="Arial" w:hAnsi="Arial" w:cs="Arial"/>
                <w:sz w:val="20"/>
                <w:szCs w:val="20"/>
              </w:rPr>
              <w:t xml:space="preserve">explicit EAL/D specialists support to build their knowledge and understanding of SAE to support their learning across all Learning Areas and enable proficiency. </w:t>
            </w:r>
          </w:p>
          <w:p w14:paraId="3D876F09" w14:textId="1E8A40EC" w:rsidR="00C9302E" w:rsidRPr="00B70D58" w:rsidRDefault="00C9302E" w:rsidP="00C9302E">
            <w:pPr>
              <w:pStyle w:val="ListParagraph"/>
              <w:numPr>
                <w:ilvl w:val="0"/>
                <w:numId w:val="15"/>
              </w:numPr>
              <w:spacing w:before="60" w:after="60"/>
              <w:rPr>
                <w:rFonts w:ascii="Arial" w:hAnsi="Arial" w:cs="Arial"/>
                <w:sz w:val="20"/>
                <w:szCs w:val="20"/>
              </w:rPr>
            </w:pPr>
            <w:r w:rsidRPr="00B70D58">
              <w:rPr>
                <w:rFonts w:ascii="Arial" w:hAnsi="Arial" w:cs="Arial"/>
                <w:sz w:val="20"/>
                <w:szCs w:val="20"/>
              </w:rPr>
              <w:t xml:space="preserve">Educators to recognise that Australia is a linguistically and culturally diverse country and value the multilingualism within the education context. </w:t>
            </w:r>
          </w:p>
          <w:p w14:paraId="0FBB79F9" w14:textId="3564C769" w:rsidR="00C9302E" w:rsidRPr="00B70D58" w:rsidRDefault="00C9302E" w:rsidP="00C9302E">
            <w:pPr>
              <w:spacing w:before="60" w:after="60"/>
              <w:rPr>
                <w:rFonts w:cs="Arial"/>
                <w:sz w:val="20"/>
                <w:szCs w:val="20"/>
              </w:rPr>
            </w:pPr>
            <w:r w:rsidRPr="00B70D58">
              <w:rPr>
                <w:rFonts w:cs="Arial"/>
                <w:b/>
                <w:bCs/>
                <w:sz w:val="20"/>
                <w:szCs w:val="20"/>
              </w:rPr>
              <w:t>D:</w:t>
            </w:r>
            <w:r w:rsidRPr="00B70D58">
              <w:rPr>
                <w:rFonts w:cs="Arial"/>
                <w:sz w:val="20"/>
                <w:szCs w:val="20"/>
              </w:rPr>
              <w:t xml:space="preserve"> </w:t>
            </w:r>
            <w:r w:rsidRPr="00B70D58">
              <w:rPr>
                <w:rStyle w:val="ui-provider"/>
                <w:rFonts w:cs="Arial"/>
                <w:sz w:val="20"/>
                <w:szCs w:val="20"/>
              </w:rPr>
              <w:t>Studying a</w:t>
            </w:r>
            <w:r w:rsidR="000B7470" w:rsidRPr="00B70D58">
              <w:rPr>
                <w:rStyle w:val="ui-provider"/>
                <w:rFonts w:cs="Arial"/>
                <w:sz w:val="20"/>
                <w:szCs w:val="20"/>
              </w:rPr>
              <w:t>n</w:t>
            </w:r>
            <w:r w:rsidRPr="00B70D58">
              <w:rPr>
                <w:rStyle w:val="ui-provider"/>
                <w:rFonts w:cs="Arial"/>
                <w:sz w:val="20"/>
                <w:szCs w:val="20"/>
              </w:rPr>
              <w:t xml:space="preserve"> </w:t>
            </w:r>
            <w:r w:rsidR="004A01F3" w:rsidRPr="00B70D58">
              <w:rPr>
                <w:rStyle w:val="ui-provider"/>
                <w:rFonts w:cs="Arial"/>
                <w:sz w:val="20"/>
                <w:szCs w:val="20"/>
              </w:rPr>
              <w:t xml:space="preserve">Aboriginal and Torres Strait Islander </w:t>
            </w:r>
            <w:r w:rsidRPr="00B70D58">
              <w:rPr>
                <w:rStyle w:val="ui-provider"/>
                <w:rFonts w:cs="Arial"/>
                <w:sz w:val="20"/>
                <w:szCs w:val="20"/>
              </w:rPr>
              <w:t xml:space="preserve">language is part of truth telling and righting past injustice. It can enhance cultural knowledge, </w:t>
            </w:r>
            <w:proofErr w:type="gramStart"/>
            <w:r w:rsidRPr="00B70D58">
              <w:rPr>
                <w:rStyle w:val="ui-provider"/>
                <w:rFonts w:cs="Arial"/>
                <w:sz w:val="20"/>
                <w:szCs w:val="20"/>
              </w:rPr>
              <w:t>pride</w:t>
            </w:r>
            <w:proofErr w:type="gramEnd"/>
            <w:r w:rsidRPr="00B70D58">
              <w:rPr>
                <w:rStyle w:val="ui-provider"/>
                <w:rFonts w:cs="Arial"/>
                <w:sz w:val="20"/>
                <w:szCs w:val="20"/>
              </w:rPr>
              <w:t xml:space="preserve"> and identity. The department actively supports schools co-designing with local communities to implement the P–10 </w:t>
            </w:r>
            <w:r w:rsidRPr="00B70D58">
              <w:rPr>
                <w:rStyle w:val="ui-provider"/>
                <w:rFonts w:cs="Arial"/>
                <w:i/>
                <w:iCs/>
                <w:sz w:val="20"/>
                <w:szCs w:val="20"/>
              </w:rPr>
              <w:t xml:space="preserve">Framework for Aboriginal </w:t>
            </w:r>
            <w:r w:rsidRPr="00B70D58">
              <w:rPr>
                <w:rStyle w:val="ui-provider"/>
                <w:rFonts w:cs="Arial"/>
                <w:i/>
                <w:iCs/>
                <w:sz w:val="20"/>
                <w:szCs w:val="20"/>
              </w:rPr>
              <w:lastRenderedPageBreak/>
              <w:t>Languages and Torres Strait Islander Languages</w:t>
            </w:r>
            <w:r w:rsidRPr="00B70D58">
              <w:rPr>
                <w:rStyle w:val="ui-provider"/>
                <w:rFonts w:cs="Arial"/>
                <w:sz w:val="20"/>
                <w:szCs w:val="20"/>
              </w:rPr>
              <w:t>, developed by the Australian Curriculum Assessment and Reporting Authority (ACARA).</w:t>
            </w:r>
          </w:p>
          <w:p w14:paraId="1C4BF0AB" w14:textId="3AD6F2F0" w:rsidR="00C9302E" w:rsidRPr="00B70D58" w:rsidRDefault="00C9302E" w:rsidP="00C9302E">
            <w:pPr>
              <w:spacing w:before="60" w:after="60"/>
              <w:rPr>
                <w:rFonts w:cs="Arial"/>
                <w:sz w:val="20"/>
                <w:szCs w:val="20"/>
              </w:rPr>
            </w:pPr>
            <w:r w:rsidRPr="00B70D58">
              <w:rPr>
                <w:rFonts w:cs="Arial"/>
                <w:b/>
                <w:sz w:val="20"/>
                <w:szCs w:val="20"/>
              </w:rPr>
              <w:t>SI</w:t>
            </w:r>
            <w:r w:rsidRPr="00B70D58">
              <w:rPr>
                <w:rFonts w:cs="Arial"/>
                <w:sz w:val="20"/>
                <w:szCs w:val="20"/>
              </w:rPr>
              <w:t xml:space="preserve">:  Number of schools teaching </w:t>
            </w:r>
            <w:r w:rsidR="004A01F3" w:rsidRPr="00B70D58">
              <w:rPr>
                <w:rFonts w:cs="Arial"/>
                <w:sz w:val="20"/>
                <w:szCs w:val="20"/>
              </w:rPr>
              <w:t xml:space="preserve">Aboriginal and Torres Strait Islander </w:t>
            </w:r>
            <w:r w:rsidRPr="00B70D58">
              <w:rPr>
                <w:rFonts w:cs="Arial"/>
                <w:sz w:val="20"/>
                <w:szCs w:val="20"/>
              </w:rPr>
              <w:t>languages, variety of languages being taught and the number of students learning.</w:t>
            </w:r>
          </w:p>
          <w:p w14:paraId="285C901D" w14:textId="77777777" w:rsidR="00C9302E" w:rsidRPr="00B70D58" w:rsidRDefault="00C9302E" w:rsidP="00C9302E">
            <w:pPr>
              <w:spacing w:before="60" w:after="60"/>
              <w:rPr>
                <w:rFonts w:cs="Arial"/>
                <w:sz w:val="20"/>
                <w:szCs w:val="20"/>
              </w:rPr>
            </w:pPr>
          </w:p>
          <w:p w14:paraId="4BB8A233" w14:textId="327A30A5" w:rsidR="00C9302E" w:rsidRPr="00B70D58" w:rsidRDefault="00C9302E" w:rsidP="6FE4FB69">
            <w:pPr>
              <w:pStyle w:val="TableTextLeft"/>
              <w:rPr>
                <w:rFonts w:cs="Arial"/>
                <w:szCs w:val="20"/>
              </w:rPr>
            </w:pPr>
            <w:r w:rsidRPr="00B70D58">
              <w:rPr>
                <w:rFonts w:cs="Arial"/>
                <w:b/>
                <w:bCs/>
                <w:szCs w:val="20"/>
              </w:rPr>
              <w:t>SI:</w:t>
            </w:r>
            <w:r w:rsidRPr="00B70D58">
              <w:rPr>
                <w:rFonts w:cs="Arial"/>
                <w:szCs w:val="20"/>
              </w:rPr>
              <w:t xml:space="preserve">  </w:t>
            </w:r>
            <w:r w:rsidR="59C06533" w:rsidRPr="00B70D58">
              <w:rPr>
                <w:rFonts w:cs="Arial"/>
                <w:szCs w:val="20"/>
              </w:rPr>
              <w:t>Proportion</w:t>
            </w:r>
            <w:r w:rsidRPr="00B70D58">
              <w:rPr>
                <w:rFonts w:cs="Arial"/>
                <w:szCs w:val="20"/>
              </w:rPr>
              <w:t xml:space="preserve"> of students achieving at English proficiency at level 5 and above on the Queensland band scales.</w:t>
            </w:r>
          </w:p>
        </w:tc>
        <w:tc>
          <w:tcPr>
            <w:tcW w:w="3118" w:type="dxa"/>
          </w:tcPr>
          <w:p w14:paraId="447BDEE2" w14:textId="23708E4D" w:rsidR="00C9302E" w:rsidRPr="00B70D58" w:rsidRDefault="00C9302E" w:rsidP="00C9302E">
            <w:pPr>
              <w:spacing w:before="60" w:after="60"/>
              <w:rPr>
                <w:rFonts w:cs="Arial"/>
                <w:sz w:val="20"/>
                <w:szCs w:val="20"/>
              </w:rPr>
            </w:pPr>
            <w:bookmarkStart w:id="6" w:name="_Hlk132125214"/>
            <w:r w:rsidRPr="00B70D58">
              <w:rPr>
                <w:rFonts w:cs="Arial"/>
                <w:b/>
                <w:sz w:val="20"/>
                <w:szCs w:val="20"/>
              </w:rPr>
              <w:lastRenderedPageBreak/>
              <w:t>O:</w:t>
            </w:r>
            <w:r w:rsidRPr="00B70D58">
              <w:rPr>
                <w:rFonts w:cs="Arial"/>
                <w:sz w:val="20"/>
                <w:szCs w:val="20"/>
              </w:rPr>
              <w:t xml:space="preserve">  Aboriginal and Torres Strait Islander children are engaged in </w:t>
            </w:r>
            <w:proofErr w:type="gramStart"/>
            <w:r w:rsidR="00DA18C6" w:rsidRPr="00B70D58">
              <w:rPr>
                <w:rFonts w:cs="Arial"/>
                <w:sz w:val="20"/>
                <w:szCs w:val="20"/>
              </w:rPr>
              <w:t>education.*</w:t>
            </w:r>
            <w:proofErr w:type="gramEnd"/>
          </w:p>
          <w:p w14:paraId="5F2266B5" w14:textId="290FC8E9" w:rsidR="00C9302E" w:rsidRPr="00B70D58" w:rsidRDefault="00C9302E" w:rsidP="00C9302E">
            <w:pPr>
              <w:spacing w:before="60" w:after="60"/>
              <w:rPr>
                <w:rFonts w:cs="Arial"/>
                <w:sz w:val="20"/>
                <w:szCs w:val="20"/>
              </w:rPr>
            </w:pPr>
            <w:r w:rsidRPr="00B70D58">
              <w:rPr>
                <w:rFonts w:cs="Arial"/>
                <w:b/>
                <w:sz w:val="20"/>
                <w:szCs w:val="20"/>
              </w:rPr>
              <w:t>O:</w:t>
            </w:r>
            <w:r w:rsidRPr="00B70D58">
              <w:rPr>
                <w:rFonts w:cs="Arial"/>
                <w:sz w:val="20"/>
                <w:szCs w:val="20"/>
              </w:rPr>
              <w:t xml:space="preserve">  Aboriginal and Torres Strait Islander children have a strong sense of identity and pride in Aboriginal and Torres Strait Islander cultures and </w:t>
            </w:r>
            <w:proofErr w:type="gramStart"/>
            <w:r w:rsidRPr="00B70D58">
              <w:rPr>
                <w:rFonts w:cs="Arial"/>
                <w:sz w:val="20"/>
                <w:szCs w:val="20"/>
              </w:rPr>
              <w:t>languages.*</w:t>
            </w:r>
            <w:proofErr w:type="gramEnd"/>
          </w:p>
          <w:p w14:paraId="45CB0917" w14:textId="77777777" w:rsidR="00C9302E" w:rsidRPr="00B70D58" w:rsidRDefault="00C9302E" w:rsidP="00C9302E">
            <w:pPr>
              <w:spacing w:before="60" w:after="60"/>
              <w:rPr>
                <w:rFonts w:cs="Arial"/>
                <w:sz w:val="20"/>
                <w:szCs w:val="20"/>
              </w:rPr>
            </w:pPr>
          </w:p>
          <w:p w14:paraId="0FF8F885" w14:textId="7134F44F" w:rsidR="00C9302E" w:rsidRPr="00B70D58" w:rsidRDefault="00C9302E" w:rsidP="00C9302E">
            <w:pPr>
              <w:spacing w:before="60" w:after="60"/>
              <w:rPr>
                <w:rFonts w:cs="Arial"/>
                <w:sz w:val="20"/>
                <w:szCs w:val="20"/>
              </w:rPr>
            </w:pPr>
            <w:r w:rsidRPr="00B70D58">
              <w:rPr>
                <w:rFonts w:cs="Arial"/>
                <w:sz w:val="20"/>
                <w:szCs w:val="20"/>
              </w:rPr>
              <w:t>* Queensland Closing the Gap Implementation Plan outcomes</w:t>
            </w:r>
          </w:p>
          <w:p w14:paraId="5D62C27B" w14:textId="77777777" w:rsidR="00C9302E" w:rsidRPr="00B70D58" w:rsidRDefault="00C9302E" w:rsidP="00C9302E">
            <w:pPr>
              <w:pStyle w:val="TableTextLeft"/>
              <w:rPr>
                <w:rFonts w:cs="Arial"/>
                <w:szCs w:val="20"/>
              </w:rPr>
            </w:pPr>
          </w:p>
          <w:bookmarkEnd w:id="6"/>
          <w:p w14:paraId="0533682E" w14:textId="30CBE36B" w:rsidR="00C9302E" w:rsidRPr="00B70D58" w:rsidRDefault="00C9302E" w:rsidP="00C9302E">
            <w:pPr>
              <w:pStyle w:val="TableTextLeft"/>
              <w:rPr>
                <w:rFonts w:cs="Arial"/>
                <w:szCs w:val="20"/>
              </w:rPr>
            </w:pPr>
            <w:r w:rsidRPr="00B70D58">
              <w:rPr>
                <w:rFonts w:cs="Arial"/>
                <w:szCs w:val="20"/>
              </w:rPr>
              <w:t xml:space="preserve"> </w:t>
            </w:r>
          </w:p>
        </w:tc>
        <w:tc>
          <w:tcPr>
            <w:tcW w:w="3685" w:type="dxa"/>
          </w:tcPr>
          <w:p w14:paraId="4E954A47" w14:textId="77777777" w:rsidR="00C9302E" w:rsidRPr="00B70D58" w:rsidRDefault="00C9302E" w:rsidP="00C9302E">
            <w:pPr>
              <w:pStyle w:val="NormalWeb"/>
              <w:shd w:val="clear" w:color="auto" w:fill="FFFFFF"/>
              <w:spacing w:before="60" w:beforeAutospacing="0" w:after="60" w:afterAutospacing="0"/>
              <w:rPr>
                <w:rFonts w:ascii="Arial" w:hAnsi="Arial" w:cs="Arial"/>
                <w:color w:val="020202"/>
                <w:sz w:val="20"/>
                <w:szCs w:val="20"/>
              </w:rPr>
            </w:pPr>
            <w:r w:rsidRPr="00B70D58">
              <w:rPr>
                <w:rFonts w:ascii="Arial" w:hAnsi="Arial" w:cs="Arial"/>
                <w:color w:val="020202"/>
                <w:sz w:val="20"/>
                <w:szCs w:val="20"/>
              </w:rPr>
              <w:t xml:space="preserve">The Queensland Government, through its commitment to the National Agreement on Closing the Gap, has committed to </w:t>
            </w:r>
            <w:r w:rsidRPr="00B70D58">
              <w:rPr>
                <w:rFonts w:ascii="Arial" w:hAnsi="Arial" w:cs="Arial"/>
                <w:color w:val="333333"/>
                <w:sz w:val="20"/>
                <w:szCs w:val="20"/>
                <w:shd w:val="clear" w:color="auto" w:fill="FFFFFF"/>
              </w:rPr>
              <w:t xml:space="preserve">empowering Aboriginal and Torres Strait Islander children to thrive in their early years and students to achieve their full learning potential and shape their own futures. This is supported by Queensland’s education strategy, </w:t>
            </w:r>
            <w:r w:rsidRPr="00B70D58">
              <w:rPr>
                <w:rFonts w:ascii="Arial" w:hAnsi="Arial" w:cs="Arial"/>
                <w:i/>
                <w:iCs/>
                <w:color w:val="333333"/>
                <w:sz w:val="20"/>
                <w:szCs w:val="20"/>
                <w:shd w:val="clear" w:color="auto" w:fill="FFFFFF"/>
              </w:rPr>
              <w:t>Equity and Excellence: realising the potential of every student.</w:t>
            </w:r>
            <w:r w:rsidRPr="00B70D58">
              <w:rPr>
                <w:rFonts w:ascii="Arial" w:hAnsi="Arial" w:cs="Arial"/>
                <w:color w:val="333333"/>
                <w:sz w:val="20"/>
                <w:szCs w:val="20"/>
                <w:shd w:val="clear" w:color="auto" w:fill="FFFFFF"/>
              </w:rPr>
              <w:t xml:space="preserve">  </w:t>
            </w:r>
            <w:r w:rsidRPr="00B70D58">
              <w:rPr>
                <w:rFonts w:ascii="Arial" w:hAnsi="Arial" w:cs="Arial"/>
                <w:sz w:val="20"/>
                <w:szCs w:val="20"/>
              </w:rPr>
              <w:t xml:space="preserve"> </w:t>
            </w:r>
          </w:p>
          <w:p w14:paraId="504F6BB2" w14:textId="1B0CB308" w:rsidR="00C9302E" w:rsidRPr="00B70D58" w:rsidRDefault="00C9302E" w:rsidP="00C9302E">
            <w:pPr>
              <w:spacing w:before="60" w:after="60"/>
              <w:rPr>
                <w:rFonts w:cs="Arial"/>
                <w:sz w:val="20"/>
                <w:szCs w:val="20"/>
              </w:rPr>
            </w:pPr>
            <w:r w:rsidRPr="00B70D58">
              <w:rPr>
                <w:rFonts w:cs="Arial"/>
                <w:sz w:val="20"/>
                <w:szCs w:val="20"/>
              </w:rPr>
              <w:t>The Australian Curriculum Assessment and Reporting Authority provides the following rationale for the delivery of</w:t>
            </w:r>
            <w:r w:rsidR="009F5E61" w:rsidRPr="00B70D58">
              <w:rPr>
                <w:rFonts w:cs="Arial"/>
                <w:sz w:val="20"/>
                <w:szCs w:val="20"/>
              </w:rPr>
              <w:t xml:space="preserve"> Aboriginal and Torres Strait Islander</w:t>
            </w:r>
            <w:r w:rsidRPr="00B70D58">
              <w:rPr>
                <w:rFonts w:cs="Arial"/>
                <w:sz w:val="20"/>
                <w:szCs w:val="20"/>
              </w:rPr>
              <w:t xml:space="preserve"> Languages in schools - “For </w:t>
            </w:r>
            <w:r w:rsidR="009F5E61" w:rsidRPr="00B70D58">
              <w:rPr>
                <w:rFonts w:cs="Arial"/>
                <w:sz w:val="20"/>
                <w:szCs w:val="20"/>
              </w:rPr>
              <w:t xml:space="preserve">Aboriginal and Torres Strait Islander </w:t>
            </w:r>
            <w:r w:rsidRPr="00B70D58">
              <w:rPr>
                <w:rFonts w:cs="Arial"/>
                <w:sz w:val="20"/>
                <w:szCs w:val="20"/>
              </w:rPr>
              <w:t xml:space="preserve">students, learning their own languages is crucial to overall learning and achievement to develop a sense of identity and recognition, and understanding of language, culture, </w:t>
            </w:r>
            <w:proofErr w:type="gramStart"/>
            <w:r w:rsidRPr="00B70D58">
              <w:rPr>
                <w:rFonts w:cs="Arial"/>
                <w:sz w:val="20"/>
                <w:szCs w:val="20"/>
              </w:rPr>
              <w:t>Country</w:t>
            </w:r>
            <w:proofErr w:type="gramEnd"/>
            <w:r w:rsidRPr="00B70D58">
              <w:rPr>
                <w:rFonts w:cs="Arial"/>
                <w:sz w:val="20"/>
                <w:szCs w:val="20"/>
              </w:rPr>
              <w:t xml:space="preserve"> and Place. For all students, learning Aboriginal languages and Torres Strait Islander languages provides a distinctive means of understanding the country in </w:t>
            </w:r>
            <w:r w:rsidRPr="00B70D58">
              <w:rPr>
                <w:rFonts w:cs="Arial"/>
                <w:sz w:val="20"/>
                <w:szCs w:val="20"/>
              </w:rPr>
              <w:lastRenderedPageBreak/>
              <w:t xml:space="preserve">which they live, including the relationship between land, the </w:t>
            </w:r>
            <w:proofErr w:type="gramStart"/>
            <w:r w:rsidRPr="00B70D58">
              <w:rPr>
                <w:rFonts w:cs="Arial"/>
                <w:sz w:val="20"/>
                <w:szCs w:val="20"/>
              </w:rPr>
              <w:t>environment</w:t>
            </w:r>
            <w:proofErr w:type="gramEnd"/>
            <w:r w:rsidRPr="00B70D58">
              <w:rPr>
                <w:rFonts w:cs="Arial"/>
                <w:sz w:val="20"/>
                <w:szCs w:val="20"/>
              </w:rPr>
              <w:t xml:space="preserve"> and people. Ongoing and necessary reclamation and revitalisation of these languages contribute to reconciliation.”</w:t>
            </w:r>
          </w:p>
          <w:p w14:paraId="11E366B4" w14:textId="77777777" w:rsidR="00C9302E" w:rsidRPr="00B70D58" w:rsidRDefault="00C9302E" w:rsidP="00C9302E">
            <w:pPr>
              <w:pStyle w:val="NormalWeb"/>
              <w:shd w:val="clear" w:color="auto" w:fill="FFFFFF"/>
              <w:spacing w:before="60" w:beforeAutospacing="0" w:after="60" w:afterAutospacing="0"/>
              <w:rPr>
                <w:rFonts w:ascii="Arial" w:hAnsi="Arial" w:cs="Arial"/>
                <w:sz w:val="20"/>
                <w:szCs w:val="20"/>
                <w:lang w:eastAsia="zh-CN"/>
              </w:rPr>
            </w:pPr>
          </w:p>
          <w:p w14:paraId="20306489" w14:textId="5BE7D577" w:rsidR="00C9302E" w:rsidRPr="00B70D58" w:rsidRDefault="00C9302E" w:rsidP="00C9302E">
            <w:pPr>
              <w:pStyle w:val="TableTextLeft"/>
              <w:rPr>
                <w:rFonts w:cs="Arial"/>
                <w:szCs w:val="20"/>
              </w:rPr>
            </w:pPr>
            <w:r w:rsidRPr="00B70D58">
              <w:rPr>
                <w:rFonts w:cs="Arial"/>
                <w:szCs w:val="20"/>
                <w:lang w:eastAsia="zh-CN"/>
              </w:rPr>
              <w:t xml:space="preserve">Aboriginal and Torres Strait Islander families and communities want their children to be strong in English and their own languages. Students can be powerful and proud users of SAE through positive and engaging learning experiences and schooling opportunities. DoE recognises that many Aboriginal and Torres Strait Islander students will be learning English as an additional language. This impacts their learning in all areas. It is crucial to establish their English proficiency level, identify the language demands of that curriculum area and plan for language difference. </w:t>
            </w:r>
          </w:p>
        </w:tc>
        <w:tc>
          <w:tcPr>
            <w:tcW w:w="1627" w:type="dxa"/>
          </w:tcPr>
          <w:p w14:paraId="1857463C" w14:textId="4FC5FC51" w:rsidR="00C9302E" w:rsidRPr="00E07195" w:rsidRDefault="00C9302E" w:rsidP="00C9302E">
            <w:pPr>
              <w:pStyle w:val="TableTextLeft"/>
              <w:rPr>
                <w:rFonts w:cs="Arial"/>
                <w:szCs w:val="20"/>
              </w:rPr>
            </w:pPr>
            <w:r w:rsidRPr="00E07195">
              <w:rPr>
                <w:rFonts w:cs="Arial"/>
                <w:noProof/>
                <w:szCs w:val="20"/>
              </w:rPr>
              <w:lastRenderedPageBreak/>
              <w:drawing>
                <wp:inline distT="0" distB="0" distL="0" distR="0" wp14:anchorId="796D8A89" wp14:editId="0ADA022D">
                  <wp:extent cx="339271" cy="323850"/>
                  <wp:effectExtent l="0" t="0" r="3810" b="0"/>
                  <wp:docPr id="51" name="Picture 51" descr="Building block one - All families enjoy access to quality, culturally safe universal and targeted services necessary for Aboriginal and Torres Strait Islander children to thrive  &#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Building block one - All families enjoy access to quality, culturally safe universal and targeted services necessary for Aboriginal and Torres Strait Islander children to thrive  &#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3940" cy="328307"/>
                          </a:xfrm>
                          <a:prstGeom prst="rect">
                            <a:avLst/>
                          </a:prstGeom>
                        </pic:spPr>
                      </pic:pic>
                    </a:graphicData>
                  </a:graphic>
                </wp:inline>
              </w:drawing>
            </w:r>
          </w:p>
          <w:p w14:paraId="24CD5C62" w14:textId="3F110E50" w:rsidR="00C9302E" w:rsidRPr="00E07195" w:rsidRDefault="00C9302E" w:rsidP="00C9302E">
            <w:pPr>
              <w:pStyle w:val="TableTextLeft"/>
              <w:rPr>
                <w:rFonts w:cs="Arial"/>
                <w:szCs w:val="20"/>
              </w:rPr>
            </w:pPr>
            <w:r w:rsidRPr="00E07195">
              <w:rPr>
                <w:rFonts w:cs="Arial"/>
                <w:noProof/>
                <w:szCs w:val="20"/>
              </w:rPr>
              <w:drawing>
                <wp:inline distT="0" distB="0" distL="0" distR="0" wp14:anchorId="0C5EF61F" wp14:editId="5B14E618">
                  <wp:extent cx="342429" cy="323215"/>
                  <wp:effectExtent l="0" t="0" r="635" b="635"/>
                  <wp:docPr id="481490055" name="Picture 481490055" descr="Building block three - Law, policy and practice in child and family welfare are culturally safe and responsive  &#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90055" name="Picture 481490055" descr="Building block three - Law, policy and practice in child and family welfare are culturally safe and responsive  &#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8823" cy="338689"/>
                          </a:xfrm>
                          <a:prstGeom prst="rect">
                            <a:avLst/>
                          </a:prstGeom>
                        </pic:spPr>
                      </pic:pic>
                    </a:graphicData>
                  </a:graphic>
                </wp:inline>
              </w:drawing>
            </w:r>
          </w:p>
          <w:p w14:paraId="0A410592" w14:textId="4764514D" w:rsidR="00C9302E" w:rsidRPr="00E07195" w:rsidRDefault="00C9302E" w:rsidP="00C9302E">
            <w:pPr>
              <w:pStyle w:val="TableTextLeft"/>
              <w:rPr>
                <w:rFonts w:cs="Arial"/>
                <w:szCs w:val="20"/>
              </w:rPr>
            </w:pPr>
          </w:p>
        </w:tc>
        <w:tc>
          <w:tcPr>
            <w:tcW w:w="1197" w:type="dxa"/>
          </w:tcPr>
          <w:p w14:paraId="441E51FA" w14:textId="522514FE" w:rsidR="00C9302E" w:rsidRPr="00453A57" w:rsidRDefault="00C9302E" w:rsidP="00453A57">
            <w:pPr>
              <w:pStyle w:val="TableTextLeft"/>
              <w:jc w:val="center"/>
              <w:rPr>
                <w:rFonts w:cs="Arial"/>
                <w:b/>
                <w:bCs/>
                <w:sz w:val="32"/>
                <w:szCs w:val="32"/>
              </w:rPr>
            </w:pPr>
            <w:r w:rsidRPr="00453A57">
              <w:rPr>
                <w:rFonts w:cs="Arial"/>
                <w:b/>
                <w:bCs/>
                <w:sz w:val="32"/>
                <w:szCs w:val="32"/>
                <w:shd w:val="clear" w:color="auto" w:fill="FFFFFF"/>
              </w:rPr>
              <w:t>3</w:t>
            </w:r>
          </w:p>
        </w:tc>
        <w:tc>
          <w:tcPr>
            <w:tcW w:w="1260" w:type="dxa"/>
          </w:tcPr>
          <w:p w14:paraId="190EFFAE" w14:textId="5655385F" w:rsidR="00C9302E" w:rsidRPr="00453A57" w:rsidRDefault="00C22CDE" w:rsidP="00453A57">
            <w:pPr>
              <w:pStyle w:val="TableTextLeft"/>
              <w:jc w:val="center"/>
              <w:rPr>
                <w:rFonts w:cs="Arial"/>
                <w:b/>
                <w:bCs/>
                <w:sz w:val="32"/>
                <w:szCs w:val="32"/>
              </w:rPr>
            </w:pPr>
            <w:r w:rsidRPr="452F2E5F">
              <w:rPr>
                <w:rFonts w:cs="Arial"/>
                <w:b/>
                <w:bCs/>
                <w:sz w:val="32"/>
                <w:szCs w:val="32"/>
              </w:rPr>
              <w:t>7</w:t>
            </w:r>
          </w:p>
        </w:tc>
      </w:tr>
      <w:tr w:rsidR="00C9302E" w:rsidRPr="00E07195" w14:paraId="709A6D41" w14:textId="77777777" w:rsidTr="25F521CE">
        <w:trPr>
          <w:trHeight w:val="300"/>
        </w:trPr>
        <w:tc>
          <w:tcPr>
            <w:tcW w:w="1847" w:type="dxa"/>
            <w:tcBorders>
              <w:bottom w:val="single" w:sz="12" w:space="0" w:color="auto"/>
            </w:tcBorders>
            <w:shd w:val="clear" w:color="auto" w:fill="FEEFD3" w:themeFill="accent2" w:themeFillTint="33"/>
          </w:tcPr>
          <w:p w14:paraId="791A0435" w14:textId="10124634" w:rsidR="00C9302E" w:rsidRPr="00E07195" w:rsidRDefault="00C9302E" w:rsidP="00C9302E">
            <w:pPr>
              <w:pStyle w:val="TableHeadingLeft"/>
              <w:rPr>
                <w:rFonts w:cs="Arial"/>
                <w:szCs w:val="20"/>
              </w:rPr>
            </w:pPr>
          </w:p>
        </w:tc>
        <w:tc>
          <w:tcPr>
            <w:tcW w:w="1928" w:type="dxa"/>
            <w:tcBorders>
              <w:bottom w:val="single" w:sz="12" w:space="0" w:color="auto"/>
            </w:tcBorders>
          </w:tcPr>
          <w:p w14:paraId="700BFA40" w14:textId="36135352" w:rsidR="00C9302E" w:rsidRPr="00B70D58" w:rsidRDefault="00C9302E" w:rsidP="00C9302E">
            <w:pPr>
              <w:pStyle w:val="TableTextLeft"/>
              <w:rPr>
                <w:rFonts w:cs="Arial"/>
                <w:b/>
                <w:bCs/>
                <w:szCs w:val="20"/>
              </w:rPr>
            </w:pPr>
            <w:r w:rsidRPr="00B70D58">
              <w:rPr>
                <w:rFonts w:cs="Arial"/>
                <w:b/>
                <w:bCs/>
                <w:szCs w:val="20"/>
              </w:rPr>
              <w:t>DOE</w:t>
            </w:r>
          </w:p>
        </w:tc>
        <w:tc>
          <w:tcPr>
            <w:tcW w:w="3061" w:type="dxa"/>
            <w:tcBorders>
              <w:bottom w:val="single" w:sz="12" w:space="0" w:color="auto"/>
            </w:tcBorders>
          </w:tcPr>
          <w:p w14:paraId="2599E0D2" w14:textId="0BB8871E" w:rsidR="00C9302E" w:rsidRPr="00B70D58" w:rsidRDefault="000535B8" w:rsidP="006D6D28">
            <w:pPr>
              <w:spacing w:line="252" w:lineRule="auto"/>
              <w:rPr>
                <w:rFonts w:eastAsia="Arial" w:cs="Arial"/>
                <w:sz w:val="20"/>
                <w:szCs w:val="20"/>
              </w:rPr>
            </w:pPr>
            <w:bookmarkStart w:id="7" w:name="_Hlk134603519"/>
            <w:r w:rsidRPr="00B70D58">
              <w:rPr>
                <w:rFonts w:cs="Arial"/>
                <w:b/>
                <w:bCs/>
                <w:sz w:val="20"/>
                <w:szCs w:val="20"/>
              </w:rPr>
              <w:t>7.6</w:t>
            </w:r>
            <w:r w:rsidRPr="00B70D58">
              <w:rPr>
                <w:rFonts w:cs="Arial"/>
                <w:sz w:val="20"/>
                <w:szCs w:val="20"/>
              </w:rPr>
              <w:t xml:space="preserve"> </w:t>
            </w:r>
            <w:r w:rsidRPr="00B70D58">
              <w:rPr>
                <w:rFonts w:eastAsia="Arial" w:cs="Arial"/>
                <w:sz w:val="20"/>
                <w:szCs w:val="20"/>
              </w:rPr>
              <w:t>Increase the retention of Aboriginal and Torres Strait Islander students until the end of Year 12 through supporting and monitoring the progress of Aboriginal and Torres Strait Islander students.</w:t>
            </w:r>
            <w:bookmarkEnd w:id="7"/>
          </w:p>
          <w:p w14:paraId="57903592" w14:textId="105D048A" w:rsidR="00C9302E" w:rsidRPr="00B70D58" w:rsidRDefault="00C9302E" w:rsidP="00C9302E">
            <w:pPr>
              <w:pStyle w:val="TableTextLeft"/>
              <w:rPr>
                <w:rFonts w:cs="Arial"/>
                <w:color w:val="FF0000"/>
                <w:szCs w:val="20"/>
              </w:rPr>
            </w:pPr>
            <w:r w:rsidRPr="00B70D58">
              <w:rPr>
                <w:rFonts w:cs="Arial"/>
                <w:b/>
                <w:bCs/>
                <w:szCs w:val="20"/>
              </w:rPr>
              <w:t xml:space="preserve">Timing: </w:t>
            </w:r>
            <w:r w:rsidR="000B3D7A" w:rsidRPr="00B70D58">
              <w:rPr>
                <w:rFonts w:cs="Arial"/>
                <w:b/>
                <w:bCs/>
                <w:szCs w:val="20"/>
              </w:rPr>
              <w:t xml:space="preserve"> </w:t>
            </w:r>
            <w:r w:rsidR="000B3D7A" w:rsidRPr="00B70D58">
              <w:rPr>
                <w:rFonts w:cs="Arial"/>
                <w:szCs w:val="20"/>
              </w:rPr>
              <w:t>Years 1 to 3 (2023</w:t>
            </w:r>
            <w:r w:rsidR="00C96CC8" w:rsidRPr="00B70D58">
              <w:rPr>
                <w:rFonts w:eastAsia="Calibri" w:cs="Arial"/>
                <w:szCs w:val="20"/>
              </w:rPr>
              <w:t>–</w:t>
            </w:r>
            <w:r w:rsidR="000B3D7A" w:rsidRPr="00B70D58">
              <w:rPr>
                <w:rFonts w:cs="Arial"/>
                <w:szCs w:val="20"/>
              </w:rPr>
              <w:t>2025)</w:t>
            </w:r>
          </w:p>
        </w:tc>
        <w:tc>
          <w:tcPr>
            <w:tcW w:w="3685" w:type="dxa"/>
            <w:tcBorders>
              <w:bottom w:val="single" w:sz="12" w:space="0" w:color="auto"/>
            </w:tcBorders>
          </w:tcPr>
          <w:p w14:paraId="64C703E2" w14:textId="1D52BF15" w:rsidR="00DE3843" w:rsidRPr="00B70D58" w:rsidRDefault="00DE3843" w:rsidP="00DE3843">
            <w:pPr>
              <w:pStyle w:val="xmsonormal"/>
              <w:spacing w:before="0" w:beforeAutospacing="0" w:after="60" w:afterAutospacing="0"/>
              <w:rPr>
                <w:rFonts w:ascii="Arial" w:hAnsi="Arial" w:cs="Arial"/>
                <w:sz w:val="20"/>
                <w:szCs w:val="20"/>
              </w:rPr>
            </w:pPr>
            <w:r w:rsidRPr="00B70D58">
              <w:rPr>
                <w:rFonts w:ascii="Arial" w:hAnsi="Arial" w:cs="Arial"/>
                <w:b/>
                <w:bCs/>
                <w:sz w:val="20"/>
                <w:szCs w:val="20"/>
              </w:rPr>
              <w:t>D:</w:t>
            </w:r>
            <w:r w:rsidRPr="00B70D58">
              <w:rPr>
                <w:rFonts w:ascii="Arial" w:hAnsi="Arial" w:cs="Arial"/>
                <w:sz w:val="20"/>
                <w:szCs w:val="20"/>
              </w:rPr>
              <w:t xml:space="preserve"> Improved cultural appropriate support services, monitor student progress and providing study support. </w:t>
            </w:r>
          </w:p>
          <w:p w14:paraId="41ECECFD" w14:textId="77777777" w:rsidR="00DE3843" w:rsidRPr="00B70D58" w:rsidRDefault="00DE3843" w:rsidP="00DE3843">
            <w:pPr>
              <w:pStyle w:val="xmsonormal"/>
              <w:spacing w:before="0" w:beforeAutospacing="0" w:after="60" w:afterAutospacing="0"/>
              <w:rPr>
                <w:rFonts w:ascii="Arial" w:hAnsi="Arial" w:cs="Arial"/>
                <w:sz w:val="20"/>
                <w:szCs w:val="20"/>
              </w:rPr>
            </w:pPr>
            <w:r w:rsidRPr="00B70D58">
              <w:rPr>
                <w:rFonts w:ascii="Arial" w:hAnsi="Arial" w:cs="Arial"/>
                <w:sz w:val="20"/>
                <w:szCs w:val="20"/>
              </w:rPr>
              <w:t> </w:t>
            </w:r>
          </w:p>
          <w:p w14:paraId="30ACD560" w14:textId="55CB4FDD" w:rsidR="66D4B5FC" w:rsidRPr="00B70D58" w:rsidRDefault="66D4B5FC" w:rsidP="6FE4FB69">
            <w:pPr>
              <w:pStyle w:val="xmsonormal"/>
              <w:spacing w:before="0" w:beforeAutospacing="0" w:after="60" w:afterAutospacing="0"/>
              <w:rPr>
                <w:rFonts w:ascii="Arial" w:hAnsi="Arial" w:cs="Arial"/>
                <w:sz w:val="20"/>
                <w:szCs w:val="20"/>
              </w:rPr>
            </w:pPr>
            <w:r w:rsidRPr="00B70D58">
              <w:rPr>
                <w:rFonts w:ascii="Arial" w:hAnsi="Arial" w:cs="Arial"/>
                <w:b/>
                <w:bCs/>
                <w:sz w:val="20"/>
                <w:szCs w:val="20"/>
              </w:rPr>
              <w:t>SI</w:t>
            </w:r>
            <w:r w:rsidRPr="00B70D58">
              <w:rPr>
                <w:rFonts w:ascii="Arial" w:hAnsi="Arial" w:cs="Arial"/>
                <w:sz w:val="20"/>
                <w:szCs w:val="20"/>
              </w:rPr>
              <w:t>: Improvement in the proportion of</w:t>
            </w:r>
            <w:r w:rsidR="6E24A1DD" w:rsidRPr="00B70D58">
              <w:rPr>
                <w:rFonts w:ascii="Arial" w:hAnsi="Arial" w:cs="Arial"/>
                <w:sz w:val="20"/>
                <w:szCs w:val="20"/>
              </w:rPr>
              <w:t xml:space="preserve"> Aboriginal and Torres Strait Islander:</w:t>
            </w:r>
          </w:p>
          <w:p w14:paraId="1094FFD3" w14:textId="2B0C6032" w:rsidR="66D4B5FC" w:rsidRPr="00B70D58" w:rsidRDefault="66D4B5FC" w:rsidP="00F55CDD">
            <w:pPr>
              <w:pStyle w:val="xmsonormal"/>
              <w:numPr>
                <w:ilvl w:val="0"/>
                <w:numId w:val="1"/>
              </w:numPr>
              <w:spacing w:before="0" w:beforeAutospacing="0" w:after="60" w:afterAutospacing="0"/>
              <w:rPr>
                <w:rFonts w:ascii="Arial" w:hAnsi="Arial" w:cs="Arial"/>
                <w:sz w:val="20"/>
                <w:szCs w:val="20"/>
              </w:rPr>
            </w:pPr>
            <w:r w:rsidRPr="00B70D58">
              <w:rPr>
                <w:rFonts w:ascii="Arial" w:hAnsi="Arial" w:cs="Arial"/>
                <w:sz w:val="20"/>
                <w:szCs w:val="20"/>
              </w:rPr>
              <w:t xml:space="preserve">school leavers in education, </w:t>
            </w:r>
            <w:proofErr w:type="gramStart"/>
            <w:r w:rsidRPr="00B70D58">
              <w:rPr>
                <w:rFonts w:ascii="Arial" w:hAnsi="Arial" w:cs="Arial"/>
                <w:sz w:val="20"/>
                <w:szCs w:val="20"/>
              </w:rPr>
              <w:t>training</w:t>
            </w:r>
            <w:proofErr w:type="gramEnd"/>
            <w:r w:rsidRPr="00B70D58">
              <w:rPr>
                <w:rFonts w:ascii="Arial" w:hAnsi="Arial" w:cs="Arial"/>
                <w:sz w:val="20"/>
                <w:szCs w:val="20"/>
              </w:rPr>
              <w:t xml:space="preserve"> or employment</w:t>
            </w:r>
          </w:p>
          <w:p w14:paraId="7B95D76B" w14:textId="670EA8D5" w:rsidR="66D4B5FC" w:rsidRPr="00B70D58" w:rsidRDefault="66D4B5FC" w:rsidP="00F55CDD">
            <w:pPr>
              <w:pStyle w:val="xmsonormal"/>
              <w:numPr>
                <w:ilvl w:val="0"/>
                <w:numId w:val="1"/>
              </w:numPr>
              <w:spacing w:before="0" w:beforeAutospacing="0" w:after="60" w:afterAutospacing="0"/>
              <w:rPr>
                <w:rFonts w:ascii="Arial" w:hAnsi="Arial" w:cs="Arial"/>
                <w:sz w:val="20"/>
                <w:szCs w:val="20"/>
              </w:rPr>
            </w:pPr>
            <w:r w:rsidRPr="00B70D58">
              <w:rPr>
                <w:rFonts w:ascii="Arial" w:hAnsi="Arial" w:cs="Arial"/>
                <w:sz w:val="20"/>
                <w:szCs w:val="20"/>
              </w:rPr>
              <w:t>Years 10 to 12 retention</w:t>
            </w:r>
          </w:p>
          <w:p w14:paraId="22AA74D4" w14:textId="7A8E56AD" w:rsidR="66D4B5FC" w:rsidRPr="00B70D58" w:rsidRDefault="66D4B5FC" w:rsidP="00F55CDD">
            <w:pPr>
              <w:pStyle w:val="xmsonormal"/>
              <w:numPr>
                <w:ilvl w:val="0"/>
                <w:numId w:val="1"/>
              </w:numPr>
              <w:spacing w:before="0" w:beforeAutospacing="0" w:after="60" w:afterAutospacing="0"/>
              <w:rPr>
                <w:rFonts w:ascii="Arial" w:hAnsi="Arial" w:cs="Arial"/>
                <w:sz w:val="20"/>
                <w:szCs w:val="20"/>
              </w:rPr>
            </w:pPr>
            <w:r w:rsidRPr="00B70D58">
              <w:rPr>
                <w:rFonts w:ascii="Arial" w:hAnsi="Arial" w:cs="Arial"/>
                <w:sz w:val="20"/>
                <w:szCs w:val="20"/>
              </w:rPr>
              <w:t>students with Queensland Certificate of Education/Queensland Certificate of Attainment</w:t>
            </w:r>
          </w:p>
          <w:p w14:paraId="394C715D" w14:textId="3BAD53A1" w:rsidR="00DE3843" w:rsidRPr="00B70D58" w:rsidRDefault="00DE3843" w:rsidP="6FE4FB69">
            <w:pPr>
              <w:pStyle w:val="xmsonormal"/>
              <w:spacing w:before="0" w:beforeAutospacing="0" w:after="60" w:afterAutospacing="0"/>
              <w:rPr>
                <w:rFonts w:ascii="Arial" w:hAnsi="Arial" w:cs="Arial"/>
                <w:sz w:val="20"/>
                <w:szCs w:val="20"/>
              </w:rPr>
            </w:pPr>
            <w:r w:rsidRPr="00B70D58">
              <w:rPr>
                <w:rFonts w:ascii="Arial" w:hAnsi="Arial" w:cs="Arial"/>
                <w:b/>
                <w:bCs/>
                <w:sz w:val="20"/>
                <w:szCs w:val="20"/>
              </w:rPr>
              <w:t xml:space="preserve">SI: </w:t>
            </w:r>
            <w:r w:rsidRPr="00B70D58">
              <w:rPr>
                <w:rFonts w:ascii="Arial" w:hAnsi="Arial" w:cs="Arial"/>
                <w:sz w:val="20"/>
                <w:szCs w:val="20"/>
              </w:rPr>
              <w:t xml:space="preserve">Reduction in the </w:t>
            </w:r>
            <w:r w:rsidR="25DFCDF6" w:rsidRPr="00B70D58">
              <w:rPr>
                <w:rFonts w:ascii="Arial" w:hAnsi="Arial" w:cs="Arial"/>
                <w:sz w:val="20"/>
                <w:szCs w:val="20"/>
              </w:rPr>
              <w:t xml:space="preserve">proportion </w:t>
            </w:r>
            <w:r w:rsidR="00DA18C6" w:rsidRPr="00B70D58">
              <w:rPr>
                <w:rFonts w:ascii="Arial" w:hAnsi="Arial" w:cs="Arial"/>
                <w:sz w:val="20"/>
                <w:szCs w:val="20"/>
              </w:rPr>
              <w:t>of Aboriginal</w:t>
            </w:r>
            <w:r w:rsidR="00E16EE0" w:rsidRPr="00B70D58">
              <w:rPr>
                <w:rFonts w:ascii="Arial" w:hAnsi="Arial" w:cs="Arial"/>
                <w:sz w:val="20"/>
                <w:szCs w:val="20"/>
              </w:rPr>
              <w:t xml:space="preserve"> and Torres Strait Islander </w:t>
            </w:r>
            <w:r w:rsidRPr="00B70D58">
              <w:rPr>
                <w:rFonts w:ascii="Arial" w:hAnsi="Arial" w:cs="Arial"/>
                <w:sz w:val="20"/>
                <w:szCs w:val="20"/>
              </w:rPr>
              <w:t>students</w:t>
            </w:r>
            <w:r w:rsidR="79406BC6" w:rsidRPr="00B70D58">
              <w:rPr>
                <w:rFonts w:ascii="Arial" w:hAnsi="Arial" w:cs="Arial"/>
                <w:sz w:val="20"/>
                <w:szCs w:val="20"/>
              </w:rPr>
              <w:t xml:space="preserve"> who receive a School Disciplinary Absence (rate)</w:t>
            </w:r>
          </w:p>
          <w:p w14:paraId="0A3E84B4" w14:textId="26DCB960" w:rsidR="00C9302E" w:rsidRPr="00B70D58" w:rsidRDefault="00C9302E" w:rsidP="6FE4FB69">
            <w:pPr>
              <w:pStyle w:val="TableTextLeft"/>
              <w:rPr>
                <w:rFonts w:cs="Arial"/>
                <w:b/>
                <w:bCs/>
                <w:szCs w:val="20"/>
              </w:rPr>
            </w:pPr>
          </w:p>
        </w:tc>
        <w:tc>
          <w:tcPr>
            <w:tcW w:w="3118" w:type="dxa"/>
            <w:tcBorders>
              <w:bottom w:val="single" w:sz="12" w:space="0" w:color="auto"/>
            </w:tcBorders>
          </w:tcPr>
          <w:p w14:paraId="29273359" w14:textId="28852D57" w:rsidR="006D6D28" w:rsidRPr="00B70D58" w:rsidRDefault="006D6D28" w:rsidP="006D6D28">
            <w:pPr>
              <w:rPr>
                <w:rFonts w:cs="Arial"/>
                <w:sz w:val="20"/>
                <w:szCs w:val="20"/>
              </w:rPr>
            </w:pPr>
            <w:r w:rsidRPr="00B70D58">
              <w:rPr>
                <w:rFonts w:cs="Arial"/>
                <w:b/>
                <w:bCs/>
                <w:sz w:val="20"/>
                <w:szCs w:val="20"/>
              </w:rPr>
              <w:t>O:</w:t>
            </w:r>
            <w:r w:rsidRPr="00B70D58">
              <w:rPr>
                <w:rFonts w:cs="Arial"/>
                <w:sz w:val="20"/>
                <w:szCs w:val="20"/>
              </w:rPr>
              <w:t xml:space="preserve"> Aboriginal and Torres Strait Islander students reach their full potential through further education pathways*</w:t>
            </w:r>
          </w:p>
          <w:p w14:paraId="61F7DB86" w14:textId="5FE9A9D5" w:rsidR="00C9302E" w:rsidRPr="00B70D58" w:rsidRDefault="006D6D28" w:rsidP="006D6D28">
            <w:pPr>
              <w:pStyle w:val="TableTextLeft"/>
              <w:rPr>
                <w:rFonts w:cs="Arial"/>
                <w:szCs w:val="20"/>
              </w:rPr>
            </w:pPr>
            <w:r w:rsidRPr="00B70D58">
              <w:rPr>
                <w:rFonts w:cs="Arial"/>
                <w:szCs w:val="20"/>
              </w:rPr>
              <w:t>* Queensland Closing the Gap Implementation Plan outcomes</w:t>
            </w:r>
          </w:p>
        </w:tc>
        <w:tc>
          <w:tcPr>
            <w:tcW w:w="3685" w:type="dxa"/>
            <w:tcBorders>
              <w:bottom w:val="single" w:sz="12" w:space="0" w:color="auto"/>
            </w:tcBorders>
          </w:tcPr>
          <w:p w14:paraId="0C0FFA6C" w14:textId="7C708BFA" w:rsidR="00F646B4" w:rsidRPr="00B70D58" w:rsidRDefault="79E6F570" w:rsidP="6FE4FB69">
            <w:pPr>
              <w:pStyle w:val="NormalWeb"/>
              <w:shd w:val="clear" w:color="auto" w:fill="FFFFFF" w:themeFill="background1"/>
              <w:spacing w:before="60" w:beforeAutospacing="0" w:after="60" w:afterAutospacing="0"/>
              <w:rPr>
                <w:rFonts w:ascii="Arial" w:hAnsi="Arial" w:cs="Arial"/>
                <w:color w:val="020202"/>
                <w:sz w:val="20"/>
                <w:szCs w:val="20"/>
              </w:rPr>
            </w:pPr>
            <w:r w:rsidRPr="00B70D58">
              <w:rPr>
                <w:rFonts w:ascii="Arial" w:hAnsi="Arial" w:cs="Arial"/>
                <w:color w:val="020202"/>
                <w:sz w:val="20"/>
                <w:szCs w:val="20"/>
              </w:rPr>
              <w:t xml:space="preserve">DoE’s </w:t>
            </w:r>
            <w:r w:rsidRPr="00B70D58">
              <w:rPr>
                <w:rFonts w:ascii="Arial" w:hAnsi="Arial" w:cs="Arial"/>
                <w:i/>
                <w:iCs/>
                <w:color w:val="020202"/>
                <w:sz w:val="20"/>
                <w:szCs w:val="20"/>
              </w:rPr>
              <w:t>Equity and Excellence: realising the potential of every student</w:t>
            </w:r>
            <w:r w:rsidRPr="00B70D58">
              <w:rPr>
                <w:rFonts w:ascii="Arial" w:hAnsi="Arial" w:cs="Arial"/>
                <w:color w:val="020202"/>
                <w:sz w:val="20"/>
                <w:szCs w:val="20"/>
              </w:rPr>
              <w:t xml:space="preserve"> Strategy</w:t>
            </w:r>
            <w:r w:rsidR="00F646B4" w:rsidRPr="00B70D58">
              <w:rPr>
                <w:rFonts w:ascii="Arial" w:hAnsi="Arial" w:cs="Arial"/>
                <w:color w:val="020202"/>
                <w:sz w:val="20"/>
                <w:szCs w:val="20"/>
              </w:rPr>
              <w:t xml:space="preserve"> has committed to </w:t>
            </w:r>
            <w:r w:rsidR="00F646B4" w:rsidRPr="00B70D58">
              <w:rPr>
                <w:rFonts w:ascii="Arial" w:hAnsi="Arial" w:cs="Arial"/>
                <w:color w:val="333333"/>
                <w:sz w:val="20"/>
                <w:szCs w:val="20"/>
                <w:shd w:val="clear" w:color="auto" w:fill="FFFFFF"/>
              </w:rPr>
              <w:t xml:space="preserve">empowering Aboriginal and Torres Strait Islander children and students to make a </w:t>
            </w:r>
            <w:r w:rsidR="000B73DB">
              <w:rPr>
                <w:rFonts w:ascii="Arial" w:hAnsi="Arial" w:cs="Arial"/>
                <w:color w:val="333333"/>
                <w:sz w:val="20"/>
                <w:szCs w:val="20"/>
                <w:shd w:val="clear" w:color="auto" w:fill="FFFFFF"/>
              </w:rPr>
              <w:t xml:space="preserve">strong </w:t>
            </w:r>
            <w:r w:rsidR="00F646B4" w:rsidRPr="00B70D58">
              <w:rPr>
                <w:rFonts w:ascii="Arial" w:hAnsi="Arial" w:cs="Arial"/>
                <w:color w:val="333333"/>
                <w:sz w:val="20"/>
                <w:szCs w:val="20"/>
                <w:shd w:val="clear" w:color="auto" w:fill="FFFFFF"/>
              </w:rPr>
              <w:t xml:space="preserve">start, achieve their full learning </w:t>
            </w:r>
            <w:proofErr w:type="gramStart"/>
            <w:r w:rsidR="00F646B4" w:rsidRPr="00B70D58">
              <w:rPr>
                <w:rFonts w:ascii="Arial" w:hAnsi="Arial" w:cs="Arial"/>
                <w:color w:val="333333"/>
                <w:sz w:val="20"/>
                <w:szCs w:val="20"/>
                <w:shd w:val="clear" w:color="auto" w:fill="FFFFFF"/>
              </w:rPr>
              <w:t>potential</w:t>
            </w:r>
            <w:proofErr w:type="gramEnd"/>
            <w:r w:rsidR="00F646B4" w:rsidRPr="00B70D58">
              <w:rPr>
                <w:rFonts w:ascii="Arial" w:hAnsi="Arial" w:cs="Arial"/>
                <w:color w:val="333333"/>
                <w:sz w:val="20"/>
                <w:szCs w:val="20"/>
                <w:shd w:val="clear" w:color="auto" w:fill="FFFFFF"/>
              </w:rPr>
              <w:t xml:space="preserve"> and shape their own futures.</w:t>
            </w:r>
          </w:p>
          <w:p w14:paraId="3B4726D2" w14:textId="5C06BA41" w:rsidR="00C9302E" w:rsidRPr="00B70D58" w:rsidRDefault="00F646B4" w:rsidP="00F646B4">
            <w:pPr>
              <w:pStyle w:val="TableTextLeft"/>
              <w:rPr>
                <w:rFonts w:cs="Arial"/>
                <w:szCs w:val="20"/>
              </w:rPr>
            </w:pPr>
            <w:r w:rsidRPr="00B70D58">
              <w:rPr>
                <w:rFonts w:cs="Arial"/>
                <w:szCs w:val="20"/>
              </w:rPr>
              <w:t>However, too many Aboriginal and Torres Strait Islander children and young people continue to have negative educational experiences and are suspended or excluded from their school. The realignment of the existing action plan to focus on many of the issues that are negatively impacting on Aboriginal and Torres Strait Islander children is central to ensuring the Closing the Gap targets can be met.</w:t>
            </w:r>
          </w:p>
        </w:tc>
        <w:tc>
          <w:tcPr>
            <w:tcW w:w="1627" w:type="dxa"/>
            <w:tcBorders>
              <w:bottom w:val="single" w:sz="12" w:space="0" w:color="auto"/>
            </w:tcBorders>
          </w:tcPr>
          <w:p w14:paraId="78B2CC67" w14:textId="4FC81C47" w:rsidR="00C9302E" w:rsidRPr="00E07195" w:rsidRDefault="00C9302E" w:rsidP="00C9302E">
            <w:pPr>
              <w:pStyle w:val="TableTextLeft"/>
              <w:rPr>
                <w:rFonts w:cs="Arial"/>
                <w:szCs w:val="20"/>
              </w:rPr>
            </w:pPr>
            <w:r w:rsidRPr="00E07195">
              <w:rPr>
                <w:rFonts w:cs="Arial"/>
                <w:noProof/>
                <w:szCs w:val="20"/>
              </w:rPr>
              <w:drawing>
                <wp:inline distT="0" distB="0" distL="0" distR="0" wp14:anchorId="44342E69" wp14:editId="49A55AF7">
                  <wp:extent cx="339271" cy="323850"/>
                  <wp:effectExtent l="0" t="0" r="3810" b="0"/>
                  <wp:docPr id="52" name="Picture 52" descr="Building block one - All families enjoy access to quality, culturally safe universal and targeted services necessary for Aboriginal and Torres Strait Islander children to thrive  &#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uilding block one - All families enjoy access to quality, culturally safe universal and targeted services necessary for Aboriginal and Torres Strait Islander children to thrive  &#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3940" cy="328307"/>
                          </a:xfrm>
                          <a:prstGeom prst="rect">
                            <a:avLst/>
                          </a:prstGeom>
                        </pic:spPr>
                      </pic:pic>
                    </a:graphicData>
                  </a:graphic>
                </wp:inline>
              </w:drawing>
            </w:r>
          </w:p>
          <w:p w14:paraId="35050721" w14:textId="5F2751E5" w:rsidR="00C9302E" w:rsidRPr="00E07195" w:rsidRDefault="00C9302E" w:rsidP="00C9302E">
            <w:pPr>
              <w:pStyle w:val="TableTextLeft"/>
              <w:rPr>
                <w:rFonts w:cs="Arial"/>
                <w:szCs w:val="20"/>
              </w:rPr>
            </w:pPr>
            <w:r w:rsidRPr="00E07195">
              <w:rPr>
                <w:rFonts w:cs="Arial"/>
                <w:noProof/>
                <w:szCs w:val="20"/>
              </w:rPr>
              <w:drawing>
                <wp:inline distT="0" distB="0" distL="0" distR="0" wp14:anchorId="027D970F" wp14:editId="6D53F5D6">
                  <wp:extent cx="342429" cy="323215"/>
                  <wp:effectExtent l="0" t="0" r="635" b="635"/>
                  <wp:docPr id="481490056" name="Picture 481490056" descr="Building block three - Law, policy and practice in child and family welfare are culturally safe and responsive  &#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90056" name="Picture 481490056" descr="Building block three - Law, policy and practice in child and family welfare are culturally safe and responsive  &#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8823" cy="338689"/>
                          </a:xfrm>
                          <a:prstGeom prst="rect">
                            <a:avLst/>
                          </a:prstGeom>
                        </pic:spPr>
                      </pic:pic>
                    </a:graphicData>
                  </a:graphic>
                </wp:inline>
              </w:drawing>
            </w:r>
          </w:p>
          <w:p w14:paraId="044B4DCC" w14:textId="3086A76E" w:rsidR="00C9302E" w:rsidRPr="00E07195" w:rsidRDefault="00C9302E" w:rsidP="00C9302E">
            <w:pPr>
              <w:pStyle w:val="TableTextLeft"/>
              <w:rPr>
                <w:rFonts w:cs="Arial"/>
                <w:szCs w:val="20"/>
              </w:rPr>
            </w:pPr>
          </w:p>
        </w:tc>
        <w:tc>
          <w:tcPr>
            <w:tcW w:w="1197" w:type="dxa"/>
            <w:tcBorders>
              <w:bottom w:val="single" w:sz="12" w:space="0" w:color="auto"/>
            </w:tcBorders>
          </w:tcPr>
          <w:p w14:paraId="42870EC4" w14:textId="33B547A9" w:rsidR="00C9302E" w:rsidRPr="00453A57" w:rsidRDefault="00C9302E" w:rsidP="00453A57">
            <w:pPr>
              <w:pStyle w:val="TableTextLeft"/>
              <w:jc w:val="center"/>
              <w:rPr>
                <w:rFonts w:cs="Arial"/>
                <w:b/>
                <w:bCs/>
                <w:sz w:val="32"/>
                <w:szCs w:val="32"/>
              </w:rPr>
            </w:pPr>
            <w:r w:rsidRPr="00453A57">
              <w:rPr>
                <w:rFonts w:cs="Arial"/>
                <w:b/>
                <w:bCs/>
                <w:sz w:val="32"/>
                <w:szCs w:val="32"/>
                <w:shd w:val="clear" w:color="auto" w:fill="FFFFFF"/>
              </w:rPr>
              <w:t>3</w:t>
            </w:r>
          </w:p>
        </w:tc>
        <w:tc>
          <w:tcPr>
            <w:tcW w:w="1260" w:type="dxa"/>
            <w:tcBorders>
              <w:bottom w:val="single" w:sz="12" w:space="0" w:color="auto"/>
            </w:tcBorders>
          </w:tcPr>
          <w:p w14:paraId="2FB10557" w14:textId="78A0B462" w:rsidR="00C9302E" w:rsidRPr="00453A57" w:rsidRDefault="00C22CDE" w:rsidP="00453A57">
            <w:pPr>
              <w:pStyle w:val="TableTextLeft"/>
              <w:jc w:val="center"/>
              <w:rPr>
                <w:rFonts w:cs="Arial"/>
                <w:b/>
                <w:bCs/>
                <w:sz w:val="32"/>
                <w:szCs w:val="32"/>
              </w:rPr>
            </w:pPr>
            <w:r>
              <w:rPr>
                <w:rFonts w:cs="Arial"/>
                <w:b/>
                <w:bCs/>
                <w:sz w:val="32"/>
                <w:szCs w:val="32"/>
              </w:rPr>
              <w:t>8</w:t>
            </w:r>
          </w:p>
        </w:tc>
      </w:tr>
      <w:tr w:rsidR="00C9302E" w:rsidRPr="00E07195" w14:paraId="15A20504" w14:textId="29768047" w:rsidTr="25F521CE">
        <w:tc>
          <w:tcPr>
            <w:tcW w:w="1847" w:type="dxa"/>
            <w:vMerge w:val="restart"/>
            <w:tcBorders>
              <w:top w:val="single" w:sz="12" w:space="0" w:color="auto"/>
            </w:tcBorders>
            <w:shd w:val="clear" w:color="auto" w:fill="FEEFD3" w:themeFill="accent2" w:themeFillTint="33"/>
          </w:tcPr>
          <w:p w14:paraId="70CE961F" w14:textId="7D8F03A6" w:rsidR="00C9302E" w:rsidRPr="00E07195" w:rsidRDefault="00C9302E" w:rsidP="00C9302E">
            <w:pPr>
              <w:pStyle w:val="TableHeadingLeft"/>
              <w:rPr>
                <w:rFonts w:cs="Arial"/>
                <w:szCs w:val="20"/>
              </w:rPr>
            </w:pPr>
            <w:r w:rsidRPr="00E07195">
              <w:rPr>
                <w:rFonts w:cs="Arial"/>
                <w:szCs w:val="20"/>
              </w:rPr>
              <w:t>8:</w:t>
            </w:r>
          </w:p>
          <w:p w14:paraId="630F2616" w14:textId="78E015A5" w:rsidR="00C9302E" w:rsidRPr="00E07195" w:rsidRDefault="00C9302E" w:rsidP="00C9302E">
            <w:pPr>
              <w:pStyle w:val="TableHeadingLeft"/>
              <w:rPr>
                <w:rFonts w:cs="Arial"/>
                <w:szCs w:val="20"/>
              </w:rPr>
            </w:pPr>
            <w:r w:rsidRPr="00E07195">
              <w:rPr>
                <w:rFonts w:cs="Arial"/>
                <w:szCs w:val="20"/>
              </w:rPr>
              <w:t xml:space="preserve">Voice, </w:t>
            </w:r>
            <w:proofErr w:type="gramStart"/>
            <w:r w:rsidRPr="00E07195">
              <w:rPr>
                <w:rFonts w:cs="Arial"/>
                <w:szCs w:val="20"/>
              </w:rPr>
              <w:t>accountability</w:t>
            </w:r>
            <w:proofErr w:type="gramEnd"/>
            <w:r w:rsidRPr="00E07195">
              <w:rPr>
                <w:rFonts w:cs="Arial"/>
                <w:szCs w:val="20"/>
              </w:rPr>
              <w:t xml:space="preserve"> and oversight</w:t>
            </w:r>
          </w:p>
        </w:tc>
        <w:tc>
          <w:tcPr>
            <w:tcW w:w="1928" w:type="dxa"/>
            <w:tcBorders>
              <w:top w:val="single" w:sz="12" w:space="0" w:color="auto"/>
            </w:tcBorders>
          </w:tcPr>
          <w:p w14:paraId="20ADB7A5" w14:textId="77777777" w:rsidR="00C9302E" w:rsidRPr="00B70D58" w:rsidRDefault="00C9302E" w:rsidP="00C9302E">
            <w:pPr>
              <w:pStyle w:val="TableTextLeft"/>
              <w:rPr>
                <w:rFonts w:cs="Arial"/>
                <w:b/>
                <w:bCs/>
                <w:szCs w:val="20"/>
              </w:rPr>
            </w:pPr>
            <w:r w:rsidRPr="00B70D58">
              <w:rPr>
                <w:rFonts w:cs="Arial"/>
                <w:b/>
                <w:bCs/>
                <w:szCs w:val="20"/>
              </w:rPr>
              <w:t xml:space="preserve">DCSSDS </w:t>
            </w:r>
          </w:p>
          <w:p w14:paraId="772F64DE" w14:textId="77777777" w:rsidR="00C9302E" w:rsidRPr="00B70D58" w:rsidRDefault="00C9302E" w:rsidP="00C9302E">
            <w:pPr>
              <w:pStyle w:val="TableTextLeft"/>
              <w:rPr>
                <w:rFonts w:cs="Arial"/>
                <w:szCs w:val="20"/>
              </w:rPr>
            </w:pPr>
          </w:p>
          <w:p w14:paraId="1FA96228" w14:textId="436AE712" w:rsidR="00C9302E" w:rsidRPr="00B70D58" w:rsidRDefault="00C9302E" w:rsidP="00C9302E">
            <w:pPr>
              <w:pStyle w:val="TableTextLeft"/>
              <w:rPr>
                <w:rFonts w:cs="Arial"/>
                <w:szCs w:val="20"/>
              </w:rPr>
            </w:pPr>
            <w:r w:rsidRPr="00B70D58">
              <w:rPr>
                <w:rFonts w:cs="Arial"/>
                <w:szCs w:val="20"/>
              </w:rPr>
              <w:t>QFCFB</w:t>
            </w:r>
          </w:p>
          <w:p w14:paraId="05AABA1E" w14:textId="77777777" w:rsidR="00C9302E" w:rsidRPr="00B70D58" w:rsidRDefault="00C9302E" w:rsidP="00C9302E">
            <w:pPr>
              <w:pStyle w:val="TableTextLeft"/>
              <w:rPr>
                <w:rFonts w:cs="Arial"/>
                <w:szCs w:val="20"/>
              </w:rPr>
            </w:pPr>
            <w:r w:rsidRPr="00B70D58">
              <w:rPr>
                <w:rFonts w:cs="Arial"/>
                <w:szCs w:val="20"/>
              </w:rPr>
              <w:t xml:space="preserve">FMQ </w:t>
            </w:r>
          </w:p>
          <w:p w14:paraId="57350D9B" w14:textId="6E301820" w:rsidR="00C9302E" w:rsidRPr="00B70D58" w:rsidRDefault="00C9302E" w:rsidP="00C9302E">
            <w:pPr>
              <w:pStyle w:val="TableTextLeft"/>
              <w:rPr>
                <w:rFonts w:cs="Arial"/>
                <w:szCs w:val="20"/>
              </w:rPr>
            </w:pPr>
            <w:r w:rsidRPr="00B70D58">
              <w:rPr>
                <w:rFonts w:cs="Arial"/>
                <w:szCs w:val="20"/>
              </w:rPr>
              <w:t>DTATSIPCA</w:t>
            </w:r>
          </w:p>
        </w:tc>
        <w:tc>
          <w:tcPr>
            <w:tcW w:w="3061" w:type="dxa"/>
            <w:tcBorders>
              <w:top w:val="single" w:sz="12" w:space="0" w:color="auto"/>
            </w:tcBorders>
          </w:tcPr>
          <w:p w14:paraId="311B213A" w14:textId="1A9FBAA2" w:rsidR="00C9302E" w:rsidRPr="00B70D58" w:rsidRDefault="000535B8" w:rsidP="00C9302E">
            <w:pPr>
              <w:pStyle w:val="TableTextLeft"/>
              <w:rPr>
                <w:rFonts w:cs="Arial"/>
                <w:b/>
                <w:bCs/>
                <w:szCs w:val="20"/>
              </w:rPr>
            </w:pPr>
            <w:r w:rsidRPr="00B70D58">
              <w:rPr>
                <w:rFonts w:cs="Arial"/>
                <w:b/>
                <w:bCs/>
                <w:szCs w:val="20"/>
              </w:rPr>
              <w:t>8.1</w:t>
            </w:r>
            <w:r w:rsidRPr="00B70D58">
              <w:rPr>
                <w:rFonts w:cs="Arial"/>
                <w:szCs w:val="20"/>
              </w:rPr>
              <w:t xml:space="preserve"> Continue to support the QFCFB to oversee, guide and advise on the implementation of </w:t>
            </w:r>
            <w:r w:rsidRPr="00B70D58">
              <w:rPr>
                <w:rFonts w:cs="Arial"/>
                <w:i/>
                <w:iCs/>
                <w:szCs w:val="20"/>
              </w:rPr>
              <w:t>Our Way</w:t>
            </w:r>
            <w:r w:rsidRPr="00B70D58">
              <w:rPr>
                <w:rFonts w:cs="Arial"/>
                <w:szCs w:val="20"/>
              </w:rPr>
              <w:t xml:space="preserve"> and accompanying action plans.</w:t>
            </w:r>
          </w:p>
          <w:p w14:paraId="61879A54" w14:textId="37E103FB" w:rsidR="00C9302E" w:rsidRPr="00B70D58" w:rsidRDefault="00C9302E" w:rsidP="00C9302E">
            <w:pPr>
              <w:pStyle w:val="TableTextLeft"/>
              <w:rPr>
                <w:rFonts w:cs="Arial"/>
                <w:szCs w:val="20"/>
              </w:rPr>
            </w:pPr>
            <w:r w:rsidRPr="00B70D58">
              <w:rPr>
                <w:rFonts w:cs="Arial"/>
                <w:b/>
                <w:bCs/>
                <w:szCs w:val="20"/>
              </w:rPr>
              <w:t>Timing:</w:t>
            </w:r>
            <w:r w:rsidRPr="00B70D58">
              <w:rPr>
                <w:rFonts w:cs="Arial"/>
                <w:szCs w:val="20"/>
              </w:rPr>
              <w:t xml:space="preserve">  Years 1 to 3 (2023</w:t>
            </w:r>
            <w:r w:rsidR="00D74699" w:rsidRPr="00B70D58">
              <w:rPr>
                <w:rFonts w:eastAsia="Calibri" w:cs="Arial"/>
                <w:szCs w:val="20"/>
              </w:rPr>
              <w:t>–</w:t>
            </w:r>
            <w:r w:rsidRPr="00B70D58">
              <w:rPr>
                <w:rFonts w:cs="Arial"/>
                <w:szCs w:val="20"/>
              </w:rPr>
              <w:t>2025)</w:t>
            </w:r>
          </w:p>
          <w:p w14:paraId="2957D790" w14:textId="33D2E62A" w:rsidR="00C9302E" w:rsidRPr="00B70D58" w:rsidRDefault="00C9302E" w:rsidP="00C9302E">
            <w:pPr>
              <w:pStyle w:val="TableTextLeft"/>
              <w:rPr>
                <w:rFonts w:cs="Arial"/>
                <w:szCs w:val="20"/>
              </w:rPr>
            </w:pPr>
            <w:r w:rsidRPr="00B70D58">
              <w:rPr>
                <w:rFonts w:cs="Arial"/>
                <w:szCs w:val="20"/>
              </w:rPr>
              <w:lastRenderedPageBreak/>
              <w:t>*Ongoing implementation over the course of Breaking Cycles (2023</w:t>
            </w:r>
            <w:r w:rsidR="00D74699" w:rsidRPr="00B70D58">
              <w:rPr>
                <w:rFonts w:eastAsia="Calibri" w:cs="Arial"/>
                <w:szCs w:val="20"/>
              </w:rPr>
              <w:t>–</w:t>
            </w:r>
            <w:r w:rsidRPr="00B70D58">
              <w:rPr>
                <w:rFonts w:cs="Arial"/>
                <w:szCs w:val="20"/>
              </w:rPr>
              <w:t>2031)</w:t>
            </w:r>
          </w:p>
        </w:tc>
        <w:tc>
          <w:tcPr>
            <w:tcW w:w="3685" w:type="dxa"/>
            <w:tcBorders>
              <w:top w:val="single" w:sz="12" w:space="0" w:color="auto"/>
            </w:tcBorders>
          </w:tcPr>
          <w:p w14:paraId="495B07B2" w14:textId="6FFF2466" w:rsidR="00C9302E" w:rsidRPr="00B70D58" w:rsidRDefault="00C9302E" w:rsidP="00C9302E">
            <w:pPr>
              <w:pStyle w:val="TableTextLeft"/>
              <w:rPr>
                <w:rFonts w:cs="Arial"/>
                <w:b/>
                <w:bCs/>
                <w:szCs w:val="20"/>
              </w:rPr>
            </w:pPr>
            <w:r w:rsidRPr="00B70D58">
              <w:rPr>
                <w:rFonts w:cs="Arial"/>
                <w:b/>
                <w:bCs/>
                <w:szCs w:val="20"/>
              </w:rPr>
              <w:lastRenderedPageBreak/>
              <w:t xml:space="preserve">D:  </w:t>
            </w:r>
            <w:r w:rsidRPr="00B70D58">
              <w:rPr>
                <w:rFonts w:cs="Arial"/>
                <w:szCs w:val="20"/>
              </w:rPr>
              <w:t>Quarterly meetings of the QFCFB.</w:t>
            </w:r>
            <w:r w:rsidRPr="00B70D58">
              <w:rPr>
                <w:rFonts w:cs="Arial"/>
                <w:b/>
                <w:bCs/>
                <w:szCs w:val="20"/>
              </w:rPr>
              <w:t xml:space="preserve"> </w:t>
            </w:r>
          </w:p>
          <w:p w14:paraId="37F9CEB6" w14:textId="77777777" w:rsidR="00C9302E" w:rsidRPr="00B70D58" w:rsidRDefault="00C9302E" w:rsidP="00C9302E">
            <w:pPr>
              <w:pStyle w:val="TableTextLeft"/>
              <w:rPr>
                <w:rFonts w:cs="Arial"/>
                <w:szCs w:val="20"/>
              </w:rPr>
            </w:pPr>
          </w:p>
          <w:p w14:paraId="606D1CB2" w14:textId="203CEE02" w:rsidR="00C9302E" w:rsidRPr="00B70D58" w:rsidRDefault="00C9302E" w:rsidP="00C9302E">
            <w:pPr>
              <w:pStyle w:val="TableTextLeft"/>
              <w:rPr>
                <w:rFonts w:cs="Arial"/>
                <w:szCs w:val="20"/>
              </w:rPr>
            </w:pPr>
            <w:r w:rsidRPr="00B70D58">
              <w:rPr>
                <w:rFonts w:cs="Arial"/>
                <w:b/>
                <w:bCs/>
                <w:szCs w:val="20"/>
              </w:rPr>
              <w:t xml:space="preserve">SI: </w:t>
            </w:r>
            <w:r w:rsidRPr="00B70D58">
              <w:rPr>
                <w:rFonts w:cs="Arial"/>
                <w:szCs w:val="20"/>
              </w:rPr>
              <w:t xml:space="preserve"> Review of Breaking Cycles implementation with Aboriginal and Torres Strait Islander communities, sector workers and leaders indicate confidence in and visibility of the </w:t>
            </w:r>
            <w:r w:rsidRPr="00B70D58">
              <w:rPr>
                <w:rFonts w:cs="Arial"/>
                <w:szCs w:val="20"/>
              </w:rPr>
              <w:lastRenderedPageBreak/>
              <w:t xml:space="preserve">QFCFB’s critical role in leading the </w:t>
            </w:r>
            <w:r w:rsidRPr="00B70D58">
              <w:rPr>
                <w:rFonts w:cs="Arial"/>
                <w:i/>
                <w:iCs/>
                <w:szCs w:val="20"/>
              </w:rPr>
              <w:t xml:space="preserve">Our Way </w:t>
            </w:r>
            <w:r w:rsidRPr="00B70D58">
              <w:rPr>
                <w:rFonts w:cs="Arial"/>
                <w:szCs w:val="20"/>
              </w:rPr>
              <w:t>reforms.</w:t>
            </w:r>
          </w:p>
          <w:p w14:paraId="29F58A80" w14:textId="5F905801" w:rsidR="00C9302E" w:rsidRPr="00B70D58" w:rsidRDefault="00C9302E" w:rsidP="00C9302E">
            <w:pPr>
              <w:pStyle w:val="TableTextLeft"/>
              <w:rPr>
                <w:rFonts w:cs="Arial"/>
                <w:b/>
                <w:bCs/>
                <w:szCs w:val="20"/>
              </w:rPr>
            </w:pPr>
            <w:r w:rsidRPr="00B70D58">
              <w:rPr>
                <w:rFonts w:cs="Arial"/>
                <w:b/>
                <w:bCs/>
                <w:szCs w:val="20"/>
              </w:rPr>
              <w:t xml:space="preserve">SI: </w:t>
            </w:r>
            <w:r w:rsidRPr="00B70D58">
              <w:rPr>
                <w:rFonts w:cs="Arial"/>
                <w:szCs w:val="20"/>
              </w:rPr>
              <w:t xml:space="preserve"> Reports from action leaders to the QFCFB indicate progress across the Breaking cycles action plan.</w:t>
            </w:r>
          </w:p>
        </w:tc>
        <w:tc>
          <w:tcPr>
            <w:tcW w:w="3118" w:type="dxa"/>
            <w:tcBorders>
              <w:top w:val="single" w:sz="12" w:space="0" w:color="auto"/>
            </w:tcBorders>
          </w:tcPr>
          <w:p w14:paraId="1F7860A4" w14:textId="214A0C17" w:rsidR="00C9302E" w:rsidRPr="00B70D58" w:rsidRDefault="00C9302E" w:rsidP="00C9302E">
            <w:pPr>
              <w:pStyle w:val="TableTextLeft"/>
              <w:rPr>
                <w:rFonts w:cs="Arial"/>
                <w:szCs w:val="20"/>
              </w:rPr>
            </w:pPr>
            <w:r w:rsidRPr="00B70D58">
              <w:rPr>
                <w:rFonts w:cs="Arial"/>
                <w:b/>
                <w:bCs/>
                <w:szCs w:val="20"/>
              </w:rPr>
              <w:lastRenderedPageBreak/>
              <w:t>O:</w:t>
            </w:r>
            <w:r w:rsidRPr="00B70D58">
              <w:rPr>
                <w:rFonts w:cs="Arial"/>
                <w:szCs w:val="20"/>
              </w:rPr>
              <w:t xml:space="preserve">  Strengthened accountability mechanisms at all levels to ensure the service needs of Aboriginal and Torres Strait Islander peoples are met.</w:t>
            </w:r>
          </w:p>
          <w:p w14:paraId="682040AD" w14:textId="17A738A2" w:rsidR="00C9302E" w:rsidRPr="00B70D58" w:rsidRDefault="00C9302E" w:rsidP="00C9302E">
            <w:pPr>
              <w:pStyle w:val="TableTextLeft"/>
              <w:rPr>
                <w:rFonts w:cs="Arial"/>
                <w:szCs w:val="20"/>
              </w:rPr>
            </w:pPr>
            <w:r w:rsidRPr="00B70D58">
              <w:rPr>
                <w:rFonts w:cs="Arial"/>
                <w:b/>
                <w:bCs/>
                <w:szCs w:val="20"/>
              </w:rPr>
              <w:t>O:</w:t>
            </w:r>
            <w:r w:rsidRPr="00B70D58">
              <w:rPr>
                <w:rFonts w:cs="Arial"/>
                <w:szCs w:val="20"/>
              </w:rPr>
              <w:t xml:space="preserve">  All government agencies and service providers change governance arrangements to </w:t>
            </w:r>
            <w:r w:rsidRPr="00B70D58">
              <w:rPr>
                <w:rFonts w:cs="Arial"/>
                <w:szCs w:val="20"/>
              </w:rPr>
              <w:lastRenderedPageBreak/>
              <w:t>reflect the genuine partnership with the ATSICCO sector.</w:t>
            </w:r>
          </w:p>
          <w:p w14:paraId="4BCF2C83" w14:textId="422A9EFE" w:rsidR="00C9302E" w:rsidRPr="00B70D58" w:rsidRDefault="00C9302E" w:rsidP="00C9302E">
            <w:pPr>
              <w:pStyle w:val="TableTextLeft"/>
              <w:rPr>
                <w:rFonts w:cs="Arial"/>
                <w:szCs w:val="20"/>
              </w:rPr>
            </w:pPr>
            <w:r w:rsidRPr="00B70D58">
              <w:rPr>
                <w:rFonts w:cs="Arial"/>
                <w:b/>
                <w:bCs/>
                <w:szCs w:val="20"/>
              </w:rPr>
              <w:t>O:</w:t>
            </w:r>
            <w:r w:rsidRPr="00B70D58">
              <w:rPr>
                <w:rFonts w:cs="Arial"/>
                <w:szCs w:val="20"/>
              </w:rPr>
              <w:t xml:space="preserve">  All government agencies and service providers elevate Indigenous voice, leadership and governance in its strategic planning, policy development and practice.</w:t>
            </w:r>
          </w:p>
        </w:tc>
        <w:tc>
          <w:tcPr>
            <w:tcW w:w="3685" w:type="dxa"/>
            <w:tcBorders>
              <w:top w:val="single" w:sz="12" w:space="0" w:color="auto"/>
            </w:tcBorders>
          </w:tcPr>
          <w:p w14:paraId="65EB7986" w14:textId="307B4F88" w:rsidR="00C9302E" w:rsidRPr="00B70D58" w:rsidRDefault="00C9302E" w:rsidP="00C9302E">
            <w:pPr>
              <w:pStyle w:val="TableTextLeft"/>
              <w:rPr>
                <w:rFonts w:cs="Arial"/>
                <w:szCs w:val="20"/>
              </w:rPr>
            </w:pPr>
            <w:r w:rsidRPr="00B70D58">
              <w:rPr>
                <w:rFonts w:cs="Arial"/>
                <w:szCs w:val="20"/>
              </w:rPr>
              <w:lastRenderedPageBreak/>
              <w:t xml:space="preserve">The QFCFB was established to guide and oversee the </w:t>
            </w:r>
            <w:r w:rsidRPr="00B70D58">
              <w:rPr>
                <w:rFonts w:cs="Arial"/>
                <w:i/>
                <w:iCs/>
                <w:szCs w:val="20"/>
              </w:rPr>
              <w:t>Our Way</w:t>
            </w:r>
            <w:r w:rsidRPr="00B70D58">
              <w:rPr>
                <w:rFonts w:cs="Arial"/>
                <w:szCs w:val="20"/>
              </w:rPr>
              <w:t xml:space="preserve"> strategy and associated action plans. The QFCFB provides independent advice and guidance, as well as operating as an authorising and oversight body to hold the Queensland Government and partners accountable.</w:t>
            </w:r>
          </w:p>
        </w:tc>
        <w:tc>
          <w:tcPr>
            <w:tcW w:w="1627" w:type="dxa"/>
            <w:tcBorders>
              <w:top w:val="single" w:sz="12" w:space="0" w:color="auto"/>
            </w:tcBorders>
          </w:tcPr>
          <w:p w14:paraId="4F885917" w14:textId="5AD56BEE" w:rsidR="00C9302E" w:rsidRPr="00E07195" w:rsidRDefault="00C9302E" w:rsidP="00C9302E">
            <w:pPr>
              <w:pStyle w:val="TableTextLeft"/>
              <w:rPr>
                <w:rFonts w:cs="Arial"/>
                <w:szCs w:val="20"/>
              </w:rPr>
            </w:pPr>
            <w:r w:rsidRPr="00E07195">
              <w:rPr>
                <w:rFonts w:cs="Arial"/>
                <w:noProof/>
                <w:szCs w:val="20"/>
              </w:rPr>
              <w:drawing>
                <wp:inline distT="0" distB="0" distL="0" distR="0" wp14:anchorId="489A6B9E" wp14:editId="2E2EF749">
                  <wp:extent cx="340408" cy="333375"/>
                  <wp:effectExtent l="0" t="0" r="2540" b="0"/>
                  <wp:docPr id="63" name="Picture 63" descr="Building block two - Aboriginal and Torres Strait Islander peoples and organisations participate in and have control over decisions that affect their children  &#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Building block two - Aboriginal and Torres Strait Islander peoples and organisations participate in and have control over decisions that affect their children  &#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5371" cy="338235"/>
                          </a:xfrm>
                          <a:prstGeom prst="rect">
                            <a:avLst/>
                          </a:prstGeom>
                        </pic:spPr>
                      </pic:pic>
                    </a:graphicData>
                  </a:graphic>
                </wp:inline>
              </w:drawing>
            </w:r>
          </w:p>
          <w:p w14:paraId="648B2669" w14:textId="48C9C5ED" w:rsidR="00C9302E" w:rsidRPr="00E07195" w:rsidRDefault="00C9302E" w:rsidP="00C9302E">
            <w:pPr>
              <w:pStyle w:val="TableTextLeft"/>
              <w:rPr>
                <w:rFonts w:cs="Arial"/>
                <w:szCs w:val="20"/>
              </w:rPr>
            </w:pPr>
            <w:r w:rsidRPr="00E07195">
              <w:rPr>
                <w:rFonts w:cs="Arial"/>
                <w:noProof/>
                <w:szCs w:val="20"/>
              </w:rPr>
              <w:drawing>
                <wp:inline distT="0" distB="0" distL="0" distR="0" wp14:anchorId="7FBAFC6C" wp14:editId="17C6476A">
                  <wp:extent cx="355600" cy="351929"/>
                  <wp:effectExtent l="0" t="0" r="6350" b="0"/>
                  <wp:docPr id="54" name="Picture 54" descr="Building block four - Governments and services are accountable to Aboriginal and Torres Strait Islander peoples &#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Building block four - Governments and services are accountable to Aboriginal and Torres Strait Islander peoples &#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7636" cy="363841"/>
                          </a:xfrm>
                          <a:prstGeom prst="rect">
                            <a:avLst/>
                          </a:prstGeom>
                        </pic:spPr>
                      </pic:pic>
                    </a:graphicData>
                  </a:graphic>
                </wp:inline>
              </w:drawing>
            </w:r>
          </w:p>
        </w:tc>
        <w:tc>
          <w:tcPr>
            <w:tcW w:w="1197" w:type="dxa"/>
            <w:tcBorders>
              <w:top w:val="single" w:sz="12" w:space="0" w:color="auto"/>
            </w:tcBorders>
          </w:tcPr>
          <w:p w14:paraId="3E6F6A85" w14:textId="3722BD04" w:rsidR="00C9302E" w:rsidRPr="00453A57" w:rsidRDefault="00C9302E" w:rsidP="00453A57">
            <w:pPr>
              <w:pStyle w:val="TableTextLeft"/>
              <w:jc w:val="center"/>
              <w:rPr>
                <w:rFonts w:cs="Arial"/>
                <w:b/>
                <w:bCs/>
                <w:sz w:val="32"/>
                <w:szCs w:val="32"/>
              </w:rPr>
            </w:pPr>
            <w:r w:rsidRPr="00453A57">
              <w:rPr>
                <w:rFonts w:cs="Arial"/>
                <w:b/>
                <w:bCs/>
                <w:sz w:val="32"/>
                <w:szCs w:val="32"/>
                <w:shd w:val="clear" w:color="auto" w:fill="FFFFFF"/>
              </w:rPr>
              <w:t>1</w:t>
            </w:r>
          </w:p>
        </w:tc>
        <w:tc>
          <w:tcPr>
            <w:tcW w:w="1260" w:type="dxa"/>
            <w:tcBorders>
              <w:top w:val="single" w:sz="12" w:space="0" w:color="auto"/>
            </w:tcBorders>
          </w:tcPr>
          <w:p w14:paraId="4223FF5B" w14:textId="380BEE96" w:rsidR="00C9302E" w:rsidRPr="00453A57" w:rsidRDefault="00C22CDE" w:rsidP="00453A57">
            <w:pPr>
              <w:pStyle w:val="TableTextLeft"/>
              <w:jc w:val="center"/>
              <w:rPr>
                <w:rFonts w:cs="Arial"/>
                <w:b/>
                <w:bCs/>
                <w:sz w:val="32"/>
                <w:szCs w:val="32"/>
              </w:rPr>
            </w:pPr>
            <w:r>
              <w:rPr>
                <w:rFonts w:cs="Arial"/>
                <w:b/>
                <w:bCs/>
                <w:sz w:val="32"/>
                <w:szCs w:val="32"/>
              </w:rPr>
              <w:t>7</w:t>
            </w:r>
          </w:p>
        </w:tc>
      </w:tr>
      <w:tr w:rsidR="00C9302E" w:rsidRPr="00E07195" w14:paraId="213431A1" w14:textId="2F68F46E" w:rsidTr="25F521CE">
        <w:trPr>
          <w:trHeight w:val="300"/>
        </w:trPr>
        <w:tc>
          <w:tcPr>
            <w:tcW w:w="1847" w:type="dxa"/>
            <w:vMerge/>
          </w:tcPr>
          <w:p w14:paraId="1C286FFF" w14:textId="77777777" w:rsidR="00C9302E" w:rsidRPr="00E07195" w:rsidRDefault="00C9302E" w:rsidP="00C9302E">
            <w:pPr>
              <w:pStyle w:val="TableHeadingLeft"/>
              <w:rPr>
                <w:rFonts w:cs="Arial"/>
                <w:szCs w:val="20"/>
              </w:rPr>
            </w:pPr>
          </w:p>
        </w:tc>
        <w:tc>
          <w:tcPr>
            <w:tcW w:w="1928" w:type="dxa"/>
          </w:tcPr>
          <w:p w14:paraId="565AA31A" w14:textId="246041C3" w:rsidR="00C9302E" w:rsidRPr="00B70D58" w:rsidRDefault="00C9302E" w:rsidP="00C9302E">
            <w:pPr>
              <w:pStyle w:val="TableTextLeft"/>
              <w:rPr>
                <w:rFonts w:cs="Arial"/>
                <w:b/>
                <w:bCs/>
                <w:szCs w:val="20"/>
              </w:rPr>
            </w:pPr>
            <w:r w:rsidRPr="00B70D58">
              <w:rPr>
                <w:rFonts w:cs="Arial"/>
                <w:b/>
                <w:bCs/>
                <w:szCs w:val="20"/>
              </w:rPr>
              <w:t>QATSICPP</w:t>
            </w:r>
          </w:p>
          <w:p w14:paraId="1BC79FCC" w14:textId="77777777" w:rsidR="00C9302E" w:rsidRPr="00B70D58" w:rsidRDefault="00C9302E" w:rsidP="00C9302E">
            <w:pPr>
              <w:pStyle w:val="TableTextLeft"/>
              <w:rPr>
                <w:rFonts w:cs="Arial"/>
                <w:szCs w:val="20"/>
              </w:rPr>
            </w:pPr>
          </w:p>
          <w:p w14:paraId="2DA93D9C" w14:textId="77777777" w:rsidR="00C9302E" w:rsidRPr="00B70D58" w:rsidRDefault="00C9302E" w:rsidP="00C9302E">
            <w:pPr>
              <w:pStyle w:val="TableTextLeft"/>
              <w:rPr>
                <w:rFonts w:cs="Arial"/>
                <w:szCs w:val="20"/>
              </w:rPr>
            </w:pPr>
            <w:r w:rsidRPr="00B70D58">
              <w:rPr>
                <w:rFonts w:cs="Arial"/>
                <w:szCs w:val="20"/>
              </w:rPr>
              <w:t xml:space="preserve">QFCFB </w:t>
            </w:r>
          </w:p>
          <w:p w14:paraId="565D461A" w14:textId="221540B6" w:rsidR="00C9302E" w:rsidRPr="00B70D58" w:rsidRDefault="00C9302E" w:rsidP="00C9302E">
            <w:pPr>
              <w:pStyle w:val="TableTextLeft"/>
              <w:rPr>
                <w:rFonts w:cs="Arial"/>
                <w:szCs w:val="20"/>
              </w:rPr>
            </w:pPr>
            <w:r w:rsidRPr="00B70D58">
              <w:rPr>
                <w:rFonts w:cs="Arial"/>
                <w:szCs w:val="20"/>
              </w:rPr>
              <w:t>DCSSDS</w:t>
            </w:r>
          </w:p>
        </w:tc>
        <w:tc>
          <w:tcPr>
            <w:tcW w:w="3061" w:type="dxa"/>
          </w:tcPr>
          <w:p w14:paraId="45408430" w14:textId="5A245E1C" w:rsidR="00B220AD" w:rsidRPr="00B70D58" w:rsidRDefault="00B220AD" w:rsidP="00C9302E">
            <w:pPr>
              <w:pStyle w:val="TableTextLeft"/>
              <w:rPr>
                <w:rFonts w:cs="Arial"/>
                <w:szCs w:val="20"/>
              </w:rPr>
            </w:pPr>
            <w:r w:rsidRPr="00B70D58">
              <w:rPr>
                <w:rFonts w:cs="Arial"/>
                <w:b/>
                <w:bCs/>
                <w:szCs w:val="20"/>
              </w:rPr>
              <w:t xml:space="preserve">8.2 </w:t>
            </w:r>
            <w:r w:rsidRPr="00B70D58">
              <w:rPr>
                <w:rFonts w:cs="Arial"/>
                <w:szCs w:val="20"/>
              </w:rPr>
              <w:t xml:space="preserve">Establish an ongoing mechanism for Aboriginal and Torres Strait Islander young people to have voice and shape the implementation of </w:t>
            </w:r>
            <w:r w:rsidRPr="00B70D58">
              <w:rPr>
                <w:rFonts w:cs="Arial"/>
                <w:i/>
                <w:iCs/>
                <w:szCs w:val="20"/>
              </w:rPr>
              <w:t xml:space="preserve">Our Way </w:t>
            </w:r>
            <w:r w:rsidRPr="00B70D58">
              <w:rPr>
                <w:rFonts w:cs="Arial"/>
                <w:szCs w:val="20"/>
              </w:rPr>
              <w:t>and accompanying action plans.</w:t>
            </w:r>
          </w:p>
          <w:p w14:paraId="403B4019" w14:textId="77777777" w:rsidR="00B220AD" w:rsidRPr="00B70D58" w:rsidRDefault="00B220AD" w:rsidP="00C9302E">
            <w:pPr>
              <w:pStyle w:val="TableTextLeft"/>
              <w:rPr>
                <w:rFonts w:cs="Arial"/>
                <w:b/>
                <w:bCs/>
                <w:szCs w:val="20"/>
              </w:rPr>
            </w:pPr>
          </w:p>
          <w:p w14:paraId="535743B0" w14:textId="47F5CB99" w:rsidR="00C9302E" w:rsidRPr="00B70D58" w:rsidRDefault="00C9302E" w:rsidP="00C9302E">
            <w:pPr>
              <w:pStyle w:val="TableTextLeft"/>
              <w:rPr>
                <w:rFonts w:cs="Arial"/>
                <w:szCs w:val="20"/>
              </w:rPr>
            </w:pPr>
            <w:r w:rsidRPr="00B70D58">
              <w:rPr>
                <w:rFonts w:cs="Arial"/>
                <w:b/>
                <w:bCs/>
                <w:szCs w:val="20"/>
              </w:rPr>
              <w:t>Timing:</w:t>
            </w:r>
            <w:r w:rsidRPr="00B70D58">
              <w:rPr>
                <w:rFonts w:cs="Arial"/>
                <w:szCs w:val="20"/>
              </w:rPr>
              <w:t xml:space="preserve">  Years 1 to 3 (2023</w:t>
            </w:r>
            <w:r w:rsidR="00D74699" w:rsidRPr="00B70D58">
              <w:rPr>
                <w:rFonts w:eastAsia="Calibri" w:cs="Arial"/>
                <w:szCs w:val="20"/>
              </w:rPr>
              <w:t>–</w:t>
            </w:r>
            <w:r w:rsidRPr="00B70D58">
              <w:rPr>
                <w:rFonts w:cs="Arial"/>
                <w:szCs w:val="20"/>
              </w:rPr>
              <w:t>2025)</w:t>
            </w:r>
          </w:p>
        </w:tc>
        <w:tc>
          <w:tcPr>
            <w:tcW w:w="3685" w:type="dxa"/>
          </w:tcPr>
          <w:p w14:paraId="6C10FDC3" w14:textId="25450DB2" w:rsidR="00C9302E" w:rsidRPr="00B70D58" w:rsidRDefault="00C9302E" w:rsidP="00C9302E">
            <w:pPr>
              <w:pStyle w:val="TableTextLeft"/>
              <w:rPr>
                <w:rFonts w:cs="Arial"/>
                <w:szCs w:val="20"/>
              </w:rPr>
            </w:pPr>
            <w:r w:rsidRPr="00B70D58">
              <w:rPr>
                <w:rFonts w:cs="Arial"/>
                <w:b/>
                <w:bCs/>
                <w:szCs w:val="20"/>
              </w:rPr>
              <w:t>D:</w:t>
            </w:r>
            <w:r w:rsidRPr="00B70D58">
              <w:rPr>
                <w:rFonts w:cs="Arial"/>
                <w:szCs w:val="20"/>
              </w:rPr>
              <w:t xml:space="preserve">  Implementation plan to establish a Youth Advisory Group to the QFCFB to ensure reform of the child protection system is grounded in and shaped by the diverse realities, needs and aspirations of Aboriginal and Torres Strait Islander young people.</w:t>
            </w:r>
          </w:p>
          <w:p w14:paraId="07EFF4DB" w14:textId="7197EB81" w:rsidR="00C9302E" w:rsidRPr="00B70D58" w:rsidRDefault="00C9302E" w:rsidP="00C9302E">
            <w:pPr>
              <w:pStyle w:val="TableTextLeft"/>
              <w:rPr>
                <w:rFonts w:cs="Arial"/>
                <w:szCs w:val="20"/>
              </w:rPr>
            </w:pPr>
            <w:r w:rsidRPr="00B70D58">
              <w:rPr>
                <w:rFonts w:cs="Arial"/>
                <w:b/>
                <w:bCs/>
                <w:szCs w:val="20"/>
              </w:rPr>
              <w:t>D:</w:t>
            </w:r>
            <w:r w:rsidRPr="00B70D58">
              <w:rPr>
                <w:rFonts w:cs="Arial"/>
                <w:szCs w:val="20"/>
              </w:rPr>
              <w:t xml:space="preserve"> Establish the Youth Advisory Group.</w:t>
            </w:r>
          </w:p>
          <w:p w14:paraId="4605768A" w14:textId="77777777" w:rsidR="00C9302E" w:rsidRPr="00B70D58" w:rsidRDefault="00C9302E" w:rsidP="00C9302E">
            <w:pPr>
              <w:pStyle w:val="TableTextLeft"/>
              <w:rPr>
                <w:rFonts w:cs="Arial"/>
                <w:szCs w:val="20"/>
              </w:rPr>
            </w:pPr>
          </w:p>
          <w:p w14:paraId="0260E0BB" w14:textId="022C5D94" w:rsidR="00C9302E" w:rsidRPr="00B70D58" w:rsidRDefault="00C9302E" w:rsidP="00C9302E">
            <w:pPr>
              <w:pStyle w:val="TableTextLeft"/>
              <w:rPr>
                <w:rFonts w:cs="Arial"/>
                <w:szCs w:val="20"/>
              </w:rPr>
            </w:pPr>
            <w:r w:rsidRPr="00B70D58">
              <w:rPr>
                <w:rFonts w:cs="Arial"/>
                <w:b/>
                <w:bCs/>
                <w:szCs w:val="20"/>
              </w:rPr>
              <w:t xml:space="preserve">SI: </w:t>
            </w:r>
            <w:r w:rsidRPr="00B70D58">
              <w:rPr>
                <w:rFonts w:cs="Arial"/>
                <w:szCs w:val="20"/>
              </w:rPr>
              <w:t xml:space="preserve">The Youth Advisory Group provides regular input, </w:t>
            </w:r>
            <w:proofErr w:type="gramStart"/>
            <w:r w:rsidRPr="00B70D58">
              <w:rPr>
                <w:rFonts w:cs="Arial"/>
                <w:szCs w:val="20"/>
              </w:rPr>
              <w:t>advice</w:t>
            </w:r>
            <w:proofErr w:type="gramEnd"/>
            <w:r w:rsidRPr="00B70D58">
              <w:rPr>
                <w:rFonts w:cs="Arial"/>
                <w:szCs w:val="20"/>
              </w:rPr>
              <w:t xml:space="preserve"> and feedback to the QFCFB.</w:t>
            </w:r>
          </w:p>
          <w:p w14:paraId="55CC9486" w14:textId="2FA6583D" w:rsidR="00C9302E" w:rsidRPr="00B70D58" w:rsidRDefault="00C9302E" w:rsidP="00C9302E">
            <w:pPr>
              <w:pStyle w:val="TableTextLeft"/>
              <w:rPr>
                <w:rFonts w:cs="Arial"/>
                <w:b/>
                <w:bCs/>
                <w:szCs w:val="20"/>
              </w:rPr>
            </w:pPr>
            <w:r w:rsidRPr="00B70D58">
              <w:rPr>
                <w:rFonts w:cs="Arial"/>
                <w:b/>
                <w:bCs/>
                <w:szCs w:val="20"/>
              </w:rPr>
              <w:t>SI:</w:t>
            </w:r>
            <w:r w:rsidRPr="00B70D58">
              <w:rPr>
                <w:rFonts w:cs="Arial"/>
                <w:szCs w:val="20"/>
              </w:rPr>
              <w:t xml:space="preserve">  Feedback from young people about their experiences participating in the Youth Advisory Group against agreed measures.</w:t>
            </w:r>
          </w:p>
        </w:tc>
        <w:tc>
          <w:tcPr>
            <w:tcW w:w="3118" w:type="dxa"/>
          </w:tcPr>
          <w:p w14:paraId="54A845A2" w14:textId="553D732A" w:rsidR="00C9302E" w:rsidRPr="00B70D58" w:rsidRDefault="00C9302E" w:rsidP="00C9302E">
            <w:pPr>
              <w:pStyle w:val="TableTextLeft"/>
              <w:rPr>
                <w:rFonts w:cs="Arial"/>
                <w:szCs w:val="20"/>
              </w:rPr>
            </w:pPr>
            <w:r w:rsidRPr="00B70D58">
              <w:rPr>
                <w:rFonts w:cs="Arial"/>
                <w:b/>
                <w:bCs/>
                <w:szCs w:val="20"/>
              </w:rPr>
              <w:t>O:</w:t>
            </w:r>
            <w:r w:rsidRPr="00B70D58">
              <w:rPr>
                <w:rFonts w:cs="Arial"/>
                <w:szCs w:val="20"/>
              </w:rPr>
              <w:t xml:space="preserve">  Strengthened accountability mechanisms at all levels to ensure the service needs of Aboriginal and Torres Strait Islander peoples are met.</w:t>
            </w:r>
          </w:p>
          <w:p w14:paraId="246AAD80" w14:textId="64D0DCE7" w:rsidR="00C9302E" w:rsidRPr="00B70D58" w:rsidRDefault="00C9302E" w:rsidP="00C9302E">
            <w:pPr>
              <w:pStyle w:val="TableTextLeft"/>
              <w:rPr>
                <w:rFonts w:cs="Arial"/>
                <w:szCs w:val="20"/>
              </w:rPr>
            </w:pPr>
            <w:r w:rsidRPr="00B70D58">
              <w:rPr>
                <w:rFonts w:cs="Arial"/>
                <w:b/>
                <w:bCs/>
                <w:szCs w:val="20"/>
              </w:rPr>
              <w:t>O:</w:t>
            </w:r>
            <w:r w:rsidRPr="00B70D58">
              <w:rPr>
                <w:rFonts w:cs="Arial"/>
                <w:szCs w:val="20"/>
              </w:rPr>
              <w:t xml:space="preserve">  All government agencies and service providers elevate Indigenous voice, leadership and governance in its strategic planning, policy development and practice.</w:t>
            </w:r>
          </w:p>
        </w:tc>
        <w:tc>
          <w:tcPr>
            <w:tcW w:w="3685" w:type="dxa"/>
          </w:tcPr>
          <w:p w14:paraId="30F2CB18" w14:textId="77777777" w:rsidR="00C9302E" w:rsidRPr="00B70D58" w:rsidRDefault="00C9302E" w:rsidP="00C9302E">
            <w:pPr>
              <w:pStyle w:val="TableTextLeft"/>
              <w:rPr>
                <w:rFonts w:cs="Arial"/>
                <w:szCs w:val="20"/>
                <w:lang w:val="en-GB"/>
              </w:rPr>
            </w:pPr>
          </w:p>
          <w:p w14:paraId="2339446F" w14:textId="6105A75F" w:rsidR="00C9302E" w:rsidRPr="00B70D58" w:rsidRDefault="00C9302E" w:rsidP="00C9302E">
            <w:pPr>
              <w:pStyle w:val="TableTextLeft"/>
              <w:rPr>
                <w:rFonts w:cs="Arial"/>
                <w:szCs w:val="20"/>
                <w:lang w:val="en-GB"/>
              </w:rPr>
            </w:pPr>
            <w:r w:rsidRPr="00B70D58">
              <w:rPr>
                <w:rFonts w:cs="Arial"/>
                <w:szCs w:val="20"/>
                <w:lang w:val="en-GB"/>
              </w:rPr>
              <w:t xml:space="preserve">Establishing a Youth Advisory Group to the QFCFB would empower young people to actively engage and influence child protection policy and practice and develop the leadership skills. </w:t>
            </w:r>
          </w:p>
          <w:p w14:paraId="513B0A44" w14:textId="77777777" w:rsidR="00C9302E" w:rsidRPr="00B70D58" w:rsidRDefault="00C9302E" w:rsidP="00C9302E">
            <w:pPr>
              <w:pStyle w:val="TableTextLeft"/>
              <w:rPr>
                <w:rFonts w:cs="Arial"/>
                <w:szCs w:val="20"/>
                <w:lang w:val="en-GB"/>
              </w:rPr>
            </w:pPr>
          </w:p>
          <w:p w14:paraId="2B8ED2A8" w14:textId="64DD7C09" w:rsidR="00C9302E" w:rsidRPr="00B70D58" w:rsidRDefault="00C9302E" w:rsidP="00C9302E">
            <w:pPr>
              <w:pStyle w:val="TableTextLeft"/>
              <w:rPr>
                <w:rFonts w:cs="Arial"/>
                <w:szCs w:val="20"/>
              </w:rPr>
            </w:pPr>
            <w:r w:rsidRPr="00B70D58">
              <w:rPr>
                <w:rFonts w:cs="Arial"/>
                <w:szCs w:val="20"/>
              </w:rPr>
              <w:t>This action aligns with Recommendation 7 of the Family Matters Report 2022.</w:t>
            </w:r>
          </w:p>
        </w:tc>
        <w:tc>
          <w:tcPr>
            <w:tcW w:w="1627" w:type="dxa"/>
          </w:tcPr>
          <w:p w14:paraId="151AA634" w14:textId="199E53E9" w:rsidR="00C9302E" w:rsidRPr="00E07195" w:rsidRDefault="00C9302E" w:rsidP="00C9302E">
            <w:pPr>
              <w:pStyle w:val="TableTextLeft"/>
              <w:rPr>
                <w:rFonts w:cs="Arial"/>
                <w:szCs w:val="20"/>
                <w:lang w:val="en-GB"/>
              </w:rPr>
            </w:pPr>
            <w:r w:rsidRPr="00E07195">
              <w:rPr>
                <w:rFonts w:cs="Arial"/>
                <w:noProof/>
                <w:szCs w:val="20"/>
              </w:rPr>
              <w:drawing>
                <wp:inline distT="0" distB="0" distL="0" distR="0" wp14:anchorId="6A05D9A6" wp14:editId="7D7BA47F">
                  <wp:extent cx="340408" cy="333375"/>
                  <wp:effectExtent l="0" t="0" r="2540" b="0"/>
                  <wp:docPr id="481490048" name="Picture 481490048" descr="A blue and white 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057787" name="Picture 2" descr="A blue and white circl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5371" cy="338235"/>
                          </a:xfrm>
                          <a:prstGeom prst="rect">
                            <a:avLst/>
                          </a:prstGeom>
                        </pic:spPr>
                      </pic:pic>
                    </a:graphicData>
                  </a:graphic>
                </wp:inline>
              </w:drawing>
            </w:r>
          </w:p>
          <w:p w14:paraId="3E42CFB2" w14:textId="41CD4BFF" w:rsidR="00C9302E" w:rsidRPr="00E07195" w:rsidRDefault="00C9302E" w:rsidP="00C9302E">
            <w:pPr>
              <w:pStyle w:val="TableTextLeft"/>
              <w:rPr>
                <w:rFonts w:cs="Arial"/>
                <w:szCs w:val="20"/>
                <w:lang w:val="en-GB"/>
              </w:rPr>
            </w:pPr>
            <w:r w:rsidRPr="00E07195">
              <w:rPr>
                <w:rFonts w:cs="Arial"/>
                <w:noProof/>
                <w:szCs w:val="20"/>
              </w:rPr>
              <w:drawing>
                <wp:inline distT="0" distB="0" distL="0" distR="0" wp14:anchorId="7BE94821" wp14:editId="39CB49B6">
                  <wp:extent cx="355600" cy="351929"/>
                  <wp:effectExtent l="0" t="0" r="6350" b="0"/>
                  <wp:docPr id="55" name="Picture 55" descr="Building block four - Governments and services are accountable to Aboriginal and Torres Strait Islander peoples &#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Building block four - Governments and services are accountable to Aboriginal and Torres Strait Islander peoples &#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7636" cy="363841"/>
                          </a:xfrm>
                          <a:prstGeom prst="rect">
                            <a:avLst/>
                          </a:prstGeom>
                        </pic:spPr>
                      </pic:pic>
                    </a:graphicData>
                  </a:graphic>
                </wp:inline>
              </w:drawing>
            </w:r>
          </w:p>
        </w:tc>
        <w:tc>
          <w:tcPr>
            <w:tcW w:w="1197" w:type="dxa"/>
          </w:tcPr>
          <w:p w14:paraId="2E3A0B4B" w14:textId="30907FE3" w:rsidR="00C9302E" w:rsidRPr="00453A57" w:rsidRDefault="00C9302E" w:rsidP="00453A57">
            <w:pPr>
              <w:pStyle w:val="TableTextLeft"/>
              <w:jc w:val="center"/>
              <w:rPr>
                <w:rFonts w:cs="Arial"/>
                <w:b/>
                <w:bCs/>
                <w:sz w:val="32"/>
                <w:szCs w:val="32"/>
                <w:lang w:val="en-GB"/>
              </w:rPr>
            </w:pPr>
            <w:r w:rsidRPr="00453A57">
              <w:rPr>
                <w:rFonts w:cs="Arial"/>
                <w:b/>
                <w:bCs/>
                <w:sz w:val="32"/>
                <w:szCs w:val="32"/>
                <w:shd w:val="clear" w:color="auto" w:fill="FFFFFF"/>
              </w:rPr>
              <w:t>1</w:t>
            </w:r>
          </w:p>
        </w:tc>
        <w:tc>
          <w:tcPr>
            <w:tcW w:w="1260" w:type="dxa"/>
          </w:tcPr>
          <w:p w14:paraId="6875E771" w14:textId="150B2C9E" w:rsidR="00C9302E" w:rsidRPr="00453A57" w:rsidRDefault="00C22CDE" w:rsidP="00453A57">
            <w:pPr>
              <w:pStyle w:val="TableTextLeft"/>
              <w:jc w:val="center"/>
              <w:rPr>
                <w:rFonts w:cs="Arial"/>
                <w:b/>
                <w:bCs/>
                <w:sz w:val="32"/>
                <w:szCs w:val="32"/>
                <w:lang w:val="en-GB"/>
              </w:rPr>
            </w:pPr>
            <w:r>
              <w:rPr>
                <w:rFonts w:cs="Arial"/>
                <w:b/>
                <w:bCs/>
                <w:sz w:val="32"/>
                <w:szCs w:val="32"/>
                <w:lang w:val="en-GB"/>
              </w:rPr>
              <w:t>7</w:t>
            </w:r>
          </w:p>
        </w:tc>
      </w:tr>
      <w:tr w:rsidR="00C9302E" w:rsidRPr="00E07195" w14:paraId="748ECBFD" w14:textId="639182ED" w:rsidTr="25F521CE">
        <w:trPr>
          <w:trHeight w:val="300"/>
        </w:trPr>
        <w:tc>
          <w:tcPr>
            <w:tcW w:w="1847" w:type="dxa"/>
            <w:vMerge/>
          </w:tcPr>
          <w:p w14:paraId="2150A9E2" w14:textId="77777777" w:rsidR="00C9302E" w:rsidRPr="00E07195" w:rsidRDefault="00C9302E" w:rsidP="00C9302E">
            <w:pPr>
              <w:pStyle w:val="TableHeadingLeft"/>
              <w:rPr>
                <w:rFonts w:cs="Arial"/>
                <w:szCs w:val="20"/>
              </w:rPr>
            </w:pPr>
          </w:p>
        </w:tc>
        <w:tc>
          <w:tcPr>
            <w:tcW w:w="1928" w:type="dxa"/>
          </w:tcPr>
          <w:p w14:paraId="6801FB11" w14:textId="544A134D" w:rsidR="00C9302E" w:rsidRPr="00B70D58" w:rsidRDefault="00C9302E" w:rsidP="00C9302E">
            <w:pPr>
              <w:pStyle w:val="TableTextLeft"/>
              <w:rPr>
                <w:rFonts w:cs="Arial"/>
                <w:b/>
                <w:bCs/>
                <w:szCs w:val="20"/>
              </w:rPr>
            </w:pPr>
            <w:r w:rsidRPr="00B70D58">
              <w:rPr>
                <w:rFonts w:cs="Arial"/>
                <w:b/>
                <w:bCs/>
                <w:szCs w:val="20"/>
              </w:rPr>
              <w:t>QATSICPP</w:t>
            </w:r>
          </w:p>
          <w:p w14:paraId="38D341AC" w14:textId="77777777" w:rsidR="00C9302E" w:rsidRPr="00B70D58" w:rsidRDefault="00C9302E" w:rsidP="00C9302E">
            <w:pPr>
              <w:pStyle w:val="TableTextLeft"/>
              <w:rPr>
                <w:rFonts w:cs="Arial"/>
                <w:b/>
                <w:bCs/>
                <w:szCs w:val="20"/>
              </w:rPr>
            </w:pPr>
          </w:p>
          <w:p w14:paraId="783ED0A1" w14:textId="448C1832" w:rsidR="00C9302E" w:rsidRPr="00B70D58" w:rsidRDefault="00C9302E" w:rsidP="00C9302E">
            <w:pPr>
              <w:pStyle w:val="TableTextLeft"/>
              <w:rPr>
                <w:rFonts w:cs="Arial"/>
                <w:szCs w:val="20"/>
              </w:rPr>
            </w:pPr>
            <w:r w:rsidRPr="00B70D58">
              <w:rPr>
                <w:rFonts w:cs="Arial"/>
                <w:szCs w:val="20"/>
              </w:rPr>
              <w:t>QTSIC</w:t>
            </w:r>
          </w:p>
          <w:p w14:paraId="2F09A55A" w14:textId="2857FF67" w:rsidR="00C9302E" w:rsidRPr="00B70D58" w:rsidRDefault="00C9302E" w:rsidP="00C9302E">
            <w:pPr>
              <w:pStyle w:val="TableTextLeft"/>
              <w:rPr>
                <w:rFonts w:cs="Arial"/>
                <w:szCs w:val="20"/>
              </w:rPr>
            </w:pPr>
            <w:r w:rsidRPr="00B70D58">
              <w:rPr>
                <w:rFonts w:cs="Arial"/>
                <w:szCs w:val="20"/>
              </w:rPr>
              <w:t>DTATSIPCA</w:t>
            </w:r>
          </w:p>
          <w:p w14:paraId="2E91F767" w14:textId="77777777" w:rsidR="00C9302E" w:rsidRPr="00B70D58" w:rsidRDefault="00C9302E" w:rsidP="00C9302E">
            <w:pPr>
              <w:pStyle w:val="TableTextLeft"/>
              <w:rPr>
                <w:rFonts w:cs="Arial"/>
                <w:szCs w:val="20"/>
              </w:rPr>
            </w:pPr>
          </w:p>
        </w:tc>
        <w:tc>
          <w:tcPr>
            <w:tcW w:w="3061" w:type="dxa"/>
          </w:tcPr>
          <w:p w14:paraId="5C3F35C4" w14:textId="77777777" w:rsidR="00B220AD" w:rsidRPr="00B70D58" w:rsidRDefault="00B220AD" w:rsidP="00B220AD">
            <w:pPr>
              <w:rPr>
                <w:rFonts w:cs="Arial"/>
                <w:sz w:val="20"/>
                <w:szCs w:val="20"/>
              </w:rPr>
            </w:pPr>
            <w:r w:rsidRPr="00B70D58">
              <w:rPr>
                <w:rFonts w:cs="Arial"/>
                <w:b/>
                <w:bCs/>
                <w:sz w:val="20"/>
                <w:szCs w:val="20"/>
              </w:rPr>
              <w:t xml:space="preserve">8.3 </w:t>
            </w:r>
            <w:r w:rsidRPr="00B70D58">
              <w:rPr>
                <w:rFonts w:cs="Arial"/>
                <w:sz w:val="20"/>
                <w:szCs w:val="20"/>
              </w:rPr>
              <w:t>Through a coordinated approach with Queensland Aboriginal and Torres Strait Islander Coalition (QATSIC) members, identify opportunities to embed the voice, needs and aspirations of children and families into Queensland’s implementation of the Closing the Gap priority reforms, outcomes and targets.</w:t>
            </w:r>
          </w:p>
          <w:p w14:paraId="73A181FE" w14:textId="0B56B05C" w:rsidR="00C9302E" w:rsidRPr="00B70D58" w:rsidRDefault="00C9302E" w:rsidP="00C9302E">
            <w:pPr>
              <w:pStyle w:val="TableTextLeft"/>
              <w:rPr>
                <w:rFonts w:cs="Arial"/>
                <w:szCs w:val="20"/>
              </w:rPr>
            </w:pPr>
            <w:r w:rsidRPr="00B70D58">
              <w:rPr>
                <w:rFonts w:cs="Arial"/>
                <w:b/>
                <w:bCs/>
                <w:szCs w:val="20"/>
              </w:rPr>
              <w:t>Timing:</w:t>
            </w:r>
            <w:r w:rsidRPr="00B70D58">
              <w:rPr>
                <w:rFonts w:cs="Arial"/>
                <w:szCs w:val="20"/>
              </w:rPr>
              <w:t xml:space="preserve">  Years 1 to 3 (2023</w:t>
            </w:r>
            <w:r w:rsidR="00D74699" w:rsidRPr="00B70D58">
              <w:rPr>
                <w:rFonts w:eastAsia="Calibri" w:cs="Arial"/>
                <w:szCs w:val="20"/>
              </w:rPr>
              <w:t>–</w:t>
            </w:r>
            <w:r w:rsidRPr="00B70D58">
              <w:rPr>
                <w:rFonts w:cs="Arial"/>
                <w:szCs w:val="20"/>
              </w:rPr>
              <w:t xml:space="preserve"> 2025)</w:t>
            </w:r>
          </w:p>
          <w:p w14:paraId="5D6E2DD2" w14:textId="17E9143B" w:rsidR="00C9302E" w:rsidRPr="00B70D58" w:rsidRDefault="00C9302E" w:rsidP="00C9302E">
            <w:pPr>
              <w:pStyle w:val="TableTextLeft"/>
              <w:rPr>
                <w:rFonts w:cs="Arial"/>
                <w:szCs w:val="20"/>
              </w:rPr>
            </w:pPr>
            <w:r w:rsidRPr="00B70D58">
              <w:rPr>
                <w:rFonts w:cs="Arial"/>
                <w:szCs w:val="20"/>
              </w:rPr>
              <w:t xml:space="preserve"> *Ongoing implementation over the course of Breaking Cycles (2023</w:t>
            </w:r>
            <w:r w:rsidR="00D74699" w:rsidRPr="00B70D58">
              <w:rPr>
                <w:rFonts w:eastAsia="Calibri" w:cs="Arial"/>
                <w:szCs w:val="20"/>
              </w:rPr>
              <w:t>–</w:t>
            </w:r>
            <w:r w:rsidRPr="00B70D58">
              <w:rPr>
                <w:rFonts w:cs="Arial"/>
                <w:szCs w:val="20"/>
              </w:rPr>
              <w:t>2031).</w:t>
            </w:r>
          </w:p>
          <w:p w14:paraId="0AF413F1" w14:textId="77777777" w:rsidR="00C9302E" w:rsidRPr="00B70D58" w:rsidRDefault="00C9302E" w:rsidP="00C9302E">
            <w:pPr>
              <w:pStyle w:val="TableTextLeft"/>
              <w:rPr>
                <w:rFonts w:cs="Arial"/>
                <w:szCs w:val="20"/>
              </w:rPr>
            </w:pPr>
          </w:p>
          <w:p w14:paraId="30CCFC04" w14:textId="1D55494C" w:rsidR="00C9302E" w:rsidRPr="00B70D58" w:rsidRDefault="00C9302E" w:rsidP="00C9302E">
            <w:pPr>
              <w:pStyle w:val="TableTextLeft"/>
              <w:rPr>
                <w:rFonts w:cs="Arial"/>
                <w:szCs w:val="20"/>
              </w:rPr>
            </w:pPr>
          </w:p>
        </w:tc>
        <w:tc>
          <w:tcPr>
            <w:tcW w:w="3685" w:type="dxa"/>
          </w:tcPr>
          <w:p w14:paraId="3C26F84B" w14:textId="411C8EB8" w:rsidR="00C9302E" w:rsidRPr="00B70D58" w:rsidRDefault="00C9302E" w:rsidP="00C9302E">
            <w:pPr>
              <w:pStyle w:val="TableTextLeft"/>
              <w:rPr>
                <w:rFonts w:cs="Arial"/>
                <w:szCs w:val="20"/>
              </w:rPr>
            </w:pPr>
            <w:r w:rsidRPr="00B70D58">
              <w:rPr>
                <w:rFonts w:cs="Arial"/>
                <w:b/>
                <w:bCs/>
                <w:szCs w:val="20"/>
              </w:rPr>
              <w:t>D</w:t>
            </w:r>
            <w:r w:rsidRPr="00B70D58">
              <w:rPr>
                <w:rFonts w:cs="Arial"/>
                <w:szCs w:val="20"/>
              </w:rPr>
              <w:t xml:space="preserve">: The Close the Gap implementation plan for Queensland includes the actions identified in both the breaking cycles action plan and safe and supported action plan to ensure that accountability and investment is embedded, and a coordinated effort is undertaken to support Queensland can meeting its close the gap targets. </w:t>
            </w:r>
          </w:p>
          <w:p w14:paraId="7B3AD4AC" w14:textId="2D70D36C" w:rsidR="00C9302E" w:rsidRPr="00B70D58" w:rsidRDefault="00C9302E" w:rsidP="00C9302E">
            <w:pPr>
              <w:pStyle w:val="TableTextLeft"/>
              <w:rPr>
                <w:rFonts w:cs="Arial"/>
                <w:szCs w:val="20"/>
              </w:rPr>
            </w:pPr>
            <w:r w:rsidRPr="00B70D58">
              <w:rPr>
                <w:rFonts w:cs="Arial"/>
                <w:b/>
                <w:bCs/>
                <w:szCs w:val="20"/>
              </w:rPr>
              <w:t>D</w:t>
            </w:r>
            <w:r w:rsidRPr="00B70D58">
              <w:rPr>
                <w:rFonts w:cs="Arial"/>
                <w:szCs w:val="20"/>
              </w:rPr>
              <w:t>: The Close the Gap implementation plan includes additional actions that meet the aspirations of communities as identified in the community consultation report including increased investment in ATSICCO services.</w:t>
            </w:r>
          </w:p>
          <w:p w14:paraId="33753473" w14:textId="77777777" w:rsidR="00C9302E" w:rsidRPr="00B70D58" w:rsidRDefault="00C9302E" w:rsidP="00C9302E">
            <w:pPr>
              <w:pStyle w:val="TableTextLeft"/>
              <w:rPr>
                <w:rFonts w:cs="Arial"/>
                <w:szCs w:val="20"/>
              </w:rPr>
            </w:pPr>
          </w:p>
          <w:p w14:paraId="1E41C148" w14:textId="5A5BBE56" w:rsidR="00C9302E" w:rsidRPr="00B70D58" w:rsidRDefault="00C9302E" w:rsidP="452F2E5F">
            <w:pPr>
              <w:pStyle w:val="TableTextLeft"/>
              <w:rPr>
                <w:rFonts w:cs="Arial"/>
                <w:szCs w:val="20"/>
              </w:rPr>
            </w:pPr>
            <w:r w:rsidRPr="00B70D58">
              <w:rPr>
                <w:rFonts w:cs="Arial"/>
                <w:b/>
                <w:bCs/>
                <w:szCs w:val="20"/>
              </w:rPr>
              <w:t xml:space="preserve">SI: </w:t>
            </w:r>
            <w:r w:rsidRPr="00B70D58">
              <w:rPr>
                <w:rFonts w:cs="Arial"/>
                <w:szCs w:val="20"/>
              </w:rPr>
              <w:t xml:space="preserve"> Review of progress with </w:t>
            </w:r>
            <w:r w:rsidRPr="00B70D58">
              <w:rPr>
                <w:rFonts w:cs="Arial"/>
                <w:i/>
                <w:iCs/>
                <w:szCs w:val="20"/>
              </w:rPr>
              <w:t>Our Way</w:t>
            </w:r>
            <w:r w:rsidRPr="00B70D58">
              <w:rPr>
                <w:rFonts w:cs="Arial"/>
                <w:szCs w:val="20"/>
              </w:rPr>
              <w:t xml:space="preserve"> reform stakeholders (Queensland Government, ATSICCOs, QFCC, QCFCB, Aboriginal and Torres Strait Islander community) indicates Closing the Gap implementation is aligned with the community’s vision.</w:t>
            </w:r>
          </w:p>
          <w:p w14:paraId="508D3485" w14:textId="1C8F1590" w:rsidR="00C9302E" w:rsidRPr="00B70D58" w:rsidRDefault="00C9302E" w:rsidP="00C9302E">
            <w:pPr>
              <w:pStyle w:val="TableTextLeft"/>
              <w:rPr>
                <w:rFonts w:cs="Arial"/>
                <w:b/>
                <w:bCs/>
                <w:szCs w:val="20"/>
              </w:rPr>
            </w:pPr>
            <w:r w:rsidRPr="00B70D58">
              <w:rPr>
                <w:rFonts w:cs="Arial"/>
                <w:b/>
                <w:bCs/>
                <w:szCs w:val="20"/>
              </w:rPr>
              <w:t xml:space="preserve">SI: </w:t>
            </w:r>
            <w:r w:rsidRPr="00B70D58">
              <w:rPr>
                <w:rFonts w:cs="Arial"/>
                <w:szCs w:val="20"/>
              </w:rPr>
              <w:t xml:space="preserve">Increased government funding for Aboriginal and Torres Strait Islander </w:t>
            </w:r>
            <w:r w:rsidRPr="00B70D58">
              <w:rPr>
                <w:rFonts w:cs="Arial"/>
                <w:szCs w:val="20"/>
              </w:rPr>
              <w:lastRenderedPageBreak/>
              <w:t>programs and services is going to ATICCOs.</w:t>
            </w:r>
          </w:p>
          <w:p w14:paraId="42ECF7E0" w14:textId="78EC2262" w:rsidR="00C9302E" w:rsidRPr="00B70D58" w:rsidRDefault="00C9302E" w:rsidP="00C9302E">
            <w:pPr>
              <w:pStyle w:val="TableTextLeft"/>
              <w:rPr>
                <w:rFonts w:cs="Arial"/>
                <w:b/>
                <w:bCs/>
                <w:szCs w:val="20"/>
              </w:rPr>
            </w:pPr>
            <w:r w:rsidRPr="00B70D58">
              <w:rPr>
                <w:rFonts w:cs="Arial"/>
                <w:b/>
                <w:bCs/>
                <w:szCs w:val="20"/>
              </w:rPr>
              <w:t>SI:</w:t>
            </w:r>
            <w:r w:rsidRPr="00B70D58">
              <w:rPr>
                <w:rFonts w:cs="Arial"/>
                <w:szCs w:val="20"/>
              </w:rPr>
              <w:t xml:space="preserve"> Increased commitment across Housing, Justice, Health to build a collective focus on outcomes </w:t>
            </w:r>
            <w:proofErr w:type="gramStart"/>
            <w:r w:rsidRPr="00B70D58">
              <w:rPr>
                <w:rFonts w:cs="Arial"/>
                <w:szCs w:val="20"/>
              </w:rPr>
              <w:t>for  Aboriginal</w:t>
            </w:r>
            <w:proofErr w:type="gramEnd"/>
            <w:r w:rsidRPr="00B70D58">
              <w:rPr>
                <w:rFonts w:cs="Arial"/>
                <w:szCs w:val="20"/>
              </w:rPr>
              <w:t xml:space="preserve"> and Torres Strait Islander families in contact with child protection systems.</w:t>
            </w:r>
          </w:p>
        </w:tc>
        <w:tc>
          <w:tcPr>
            <w:tcW w:w="3118" w:type="dxa"/>
          </w:tcPr>
          <w:p w14:paraId="499713C1" w14:textId="06DF4B1E" w:rsidR="00C9302E" w:rsidRPr="00B70D58" w:rsidRDefault="00C9302E" w:rsidP="00C9302E">
            <w:pPr>
              <w:pStyle w:val="TableTextLeft"/>
              <w:rPr>
                <w:rFonts w:cs="Arial"/>
                <w:szCs w:val="20"/>
              </w:rPr>
            </w:pPr>
            <w:r w:rsidRPr="00B70D58">
              <w:rPr>
                <w:rFonts w:cs="Arial"/>
                <w:b/>
                <w:bCs/>
                <w:szCs w:val="20"/>
              </w:rPr>
              <w:lastRenderedPageBreak/>
              <w:t>O:</w:t>
            </w:r>
            <w:r w:rsidRPr="00B70D58">
              <w:rPr>
                <w:rFonts w:cs="Arial"/>
                <w:szCs w:val="20"/>
              </w:rPr>
              <w:t xml:space="preserve">  Strengthened accountability mechanisms at all levels to ensure the service needs of Aboriginal and Torres Strait Islander peoples are met.</w:t>
            </w:r>
          </w:p>
          <w:p w14:paraId="43DDB7AB" w14:textId="308E9789" w:rsidR="00C9302E" w:rsidRPr="00B70D58" w:rsidRDefault="00C9302E" w:rsidP="00C9302E">
            <w:pPr>
              <w:pStyle w:val="TableTextLeft"/>
              <w:rPr>
                <w:rFonts w:cs="Arial"/>
                <w:szCs w:val="20"/>
              </w:rPr>
            </w:pPr>
            <w:r w:rsidRPr="00B70D58">
              <w:rPr>
                <w:rFonts w:cs="Arial"/>
                <w:b/>
                <w:bCs/>
                <w:szCs w:val="20"/>
              </w:rPr>
              <w:t>O:</w:t>
            </w:r>
            <w:r w:rsidRPr="00B70D58">
              <w:rPr>
                <w:rFonts w:cs="Arial"/>
                <w:szCs w:val="20"/>
              </w:rPr>
              <w:t xml:space="preserve">  All government agencies and service providers change governance arrangements to reflect the genuine partnership with the ATSICCO sector.</w:t>
            </w:r>
          </w:p>
          <w:p w14:paraId="17EE1EB9" w14:textId="74CA3000" w:rsidR="00C9302E" w:rsidRPr="00B70D58" w:rsidRDefault="00C9302E" w:rsidP="00C9302E">
            <w:pPr>
              <w:pStyle w:val="TableTextLeft"/>
              <w:rPr>
                <w:rFonts w:cs="Arial"/>
                <w:szCs w:val="20"/>
              </w:rPr>
            </w:pPr>
            <w:r w:rsidRPr="00B70D58">
              <w:rPr>
                <w:rFonts w:cs="Arial"/>
                <w:b/>
                <w:bCs/>
                <w:szCs w:val="20"/>
              </w:rPr>
              <w:t>O:</w:t>
            </w:r>
            <w:r w:rsidRPr="00B70D58">
              <w:rPr>
                <w:rFonts w:cs="Arial"/>
                <w:szCs w:val="20"/>
              </w:rPr>
              <w:t xml:space="preserve">  All government agencies and service providers elevate Indigenous voice, leadership and governance in its strategic planning, policy development and practice.</w:t>
            </w:r>
          </w:p>
        </w:tc>
        <w:tc>
          <w:tcPr>
            <w:tcW w:w="3685" w:type="dxa"/>
          </w:tcPr>
          <w:p w14:paraId="0CF51861" w14:textId="7F9C0ED1" w:rsidR="00C9302E" w:rsidRPr="00B70D58" w:rsidRDefault="00C9302E" w:rsidP="00C9302E">
            <w:pPr>
              <w:pStyle w:val="TableTextLeft"/>
              <w:rPr>
                <w:rFonts w:cs="Arial"/>
                <w:szCs w:val="20"/>
              </w:rPr>
            </w:pPr>
            <w:r w:rsidRPr="00B70D58">
              <w:rPr>
                <w:rFonts w:cs="Arial"/>
                <w:szCs w:val="20"/>
              </w:rPr>
              <w:t xml:space="preserve">The Queensland Government has committed to supporting an overarching process to implement the National Agreement on Closing the Gap, including development of </w:t>
            </w:r>
            <w:proofErr w:type="spellStart"/>
            <w:r w:rsidRPr="00B70D58">
              <w:rPr>
                <w:rFonts w:cs="Arial"/>
                <w:szCs w:val="20"/>
              </w:rPr>
              <w:t>statewide</w:t>
            </w:r>
            <w:proofErr w:type="spellEnd"/>
            <w:r w:rsidRPr="00B70D58">
              <w:rPr>
                <w:rFonts w:cs="Arial"/>
                <w:szCs w:val="20"/>
              </w:rPr>
              <w:t xml:space="preserve"> implementation plans and progress reports. </w:t>
            </w:r>
          </w:p>
          <w:p w14:paraId="20F1704C" w14:textId="77777777" w:rsidR="00C9302E" w:rsidRPr="00B70D58" w:rsidRDefault="00C9302E" w:rsidP="00C9302E">
            <w:pPr>
              <w:pStyle w:val="TableTextLeft"/>
              <w:rPr>
                <w:rFonts w:cs="Arial"/>
                <w:szCs w:val="20"/>
              </w:rPr>
            </w:pPr>
          </w:p>
          <w:p w14:paraId="65941314" w14:textId="696DDD90" w:rsidR="00C9302E" w:rsidRPr="00B70D58" w:rsidRDefault="00C9302E" w:rsidP="00C9302E">
            <w:pPr>
              <w:pStyle w:val="TableTextLeft"/>
              <w:rPr>
                <w:rFonts w:cs="Arial"/>
                <w:szCs w:val="20"/>
              </w:rPr>
            </w:pPr>
            <w:r w:rsidRPr="00B70D58">
              <w:rPr>
                <w:rFonts w:cs="Arial"/>
                <w:szCs w:val="20"/>
              </w:rPr>
              <w:t xml:space="preserve">The Queensland Aboriginal and Torres Strait Islander Coalition is united in their efforts to hold the state and federal governments accountable to their commitments to fully implement the four priority reforms and develop, </w:t>
            </w:r>
            <w:proofErr w:type="gramStart"/>
            <w:r w:rsidRPr="00B70D58">
              <w:rPr>
                <w:rFonts w:cs="Arial"/>
                <w:szCs w:val="20"/>
              </w:rPr>
              <w:t>resource</w:t>
            </w:r>
            <w:proofErr w:type="gramEnd"/>
            <w:r w:rsidRPr="00B70D58">
              <w:rPr>
                <w:rFonts w:cs="Arial"/>
                <w:szCs w:val="20"/>
              </w:rPr>
              <w:t xml:space="preserve"> and implement actions to meet the 19 socioeconomic targets. </w:t>
            </w:r>
          </w:p>
          <w:p w14:paraId="36D9C1DE" w14:textId="77777777" w:rsidR="00C9302E" w:rsidRPr="00B70D58" w:rsidRDefault="00C9302E" w:rsidP="00C9302E">
            <w:pPr>
              <w:pStyle w:val="TableTextLeft"/>
              <w:rPr>
                <w:rFonts w:cs="Arial"/>
                <w:szCs w:val="20"/>
              </w:rPr>
            </w:pPr>
          </w:p>
          <w:p w14:paraId="251D6A96" w14:textId="08FFFC41" w:rsidR="00C9302E" w:rsidRPr="00B70D58" w:rsidRDefault="00C9302E" w:rsidP="00C9302E">
            <w:pPr>
              <w:pStyle w:val="TableTextLeft"/>
              <w:rPr>
                <w:rFonts w:cs="Arial"/>
                <w:szCs w:val="20"/>
              </w:rPr>
            </w:pPr>
            <w:r w:rsidRPr="00B70D58">
              <w:rPr>
                <w:rFonts w:cs="Arial"/>
                <w:szCs w:val="20"/>
              </w:rPr>
              <w:t xml:space="preserve">The collective action of Coalition members will elevate the voice of Aboriginal and Torres Strait Islander peoples and communities across whole-of- government to ensure improved outcomes for Aboriginal and Torres Strait Islander children, young people, </w:t>
            </w:r>
            <w:proofErr w:type="gramStart"/>
            <w:r w:rsidRPr="00B70D58">
              <w:rPr>
                <w:rFonts w:cs="Arial"/>
                <w:szCs w:val="20"/>
              </w:rPr>
              <w:t>families</w:t>
            </w:r>
            <w:proofErr w:type="gramEnd"/>
            <w:r w:rsidRPr="00B70D58">
              <w:rPr>
                <w:rFonts w:cs="Arial"/>
                <w:szCs w:val="20"/>
              </w:rPr>
              <w:t xml:space="preserve"> and communities.</w:t>
            </w:r>
          </w:p>
        </w:tc>
        <w:tc>
          <w:tcPr>
            <w:tcW w:w="1627" w:type="dxa"/>
          </w:tcPr>
          <w:p w14:paraId="356AC584" w14:textId="4BD3BE5E" w:rsidR="00C9302E" w:rsidRPr="00E07195" w:rsidRDefault="00C9302E" w:rsidP="00C9302E">
            <w:pPr>
              <w:pStyle w:val="TableTextLeft"/>
              <w:rPr>
                <w:rFonts w:cs="Arial"/>
                <w:szCs w:val="20"/>
              </w:rPr>
            </w:pPr>
            <w:r w:rsidRPr="00E07195">
              <w:rPr>
                <w:rFonts w:cs="Arial"/>
                <w:noProof/>
                <w:szCs w:val="20"/>
              </w:rPr>
              <w:drawing>
                <wp:inline distT="0" distB="0" distL="0" distR="0" wp14:anchorId="153B007B" wp14:editId="469F043C">
                  <wp:extent cx="340408" cy="333375"/>
                  <wp:effectExtent l="0" t="0" r="2540" b="0"/>
                  <wp:docPr id="481490050" name="Picture 481490050" descr="Building block two - Aboriginal and Torres Strait Islander peoples and organisations participate in and have control over decisions that affect their children  &#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90050" name="Picture 481490050" descr="Building block two - Aboriginal and Torres Strait Islander peoples and organisations participate in and have control over decisions that affect their children  &#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5371" cy="338235"/>
                          </a:xfrm>
                          <a:prstGeom prst="rect">
                            <a:avLst/>
                          </a:prstGeom>
                        </pic:spPr>
                      </pic:pic>
                    </a:graphicData>
                  </a:graphic>
                </wp:inline>
              </w:drawing>
            </w:r>
          </w:p>
          <w:p w14:paraId="7B03AE6A" w14:textId="73D0F509" w:rsidR="00C9302E" w:rsidRPr="00E07195" w:rsidRDefault="00C9302E" w:rsidP="00C9302E">
            <w:pPr>
              <w:pStyle w:val="TableTextLeft"/>
              <w:rPr>
                <w:rFonts w:cs="Arial"/>
                <w:szCs w:val="20"/>
              </w:rPr>
            </w:pPr>
            <w:r w:rsidRPr="00E07195">
              <w:rPr>
                <w:rFonts w:cs="Arial"/>
                <w:noProof/>
                <w:szCs w:val="20"/>
              </w:rPr>
              <w:drawing>
                <wp:inline distT="0" distB="0" distL="0" distR="0" wp14:anchorId="32555C7F" wp14:editId="5695E291">
                  <wp:extent cx="355600" cy="351929"/>
                  <wp:effectExtent l="0" t="0" r="6350" b="0"/>
                  <wp:docPr id="56" name="Picture 56" descr="Building block four - Governments and services are accountable to Aboriginal and Torres Strait Islander peoples &#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Building block four - Governments and services are accountable to Aboriginal and Torres Strait Islander peoples &#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7636" cy="363841"/>
                          </a:xfrm>
                          <a:prstGeom prst="rect">
                            <a:avLst/>
                          </a:prstGeom>
                        </pic:spPr>
                      </pic:pic>
                    </a:graphicData>
                  </a:graphic>
                </wp:inline>
              </w:drawing>
            </w:r>
          </w:p>
        </w:tc>
        <w:tc>
          <w:tcPr>
            <w:tcW w:w="1197" w:type="dxa"/>
          </w:tcPr>
          <w:p w14:paraId="5FEF270B" w14:textId="35258A24" w:rsidR="00C9302E" w:rsidRPr="00453A57" w:rsidRDefault="00C9302E" w:rsidP="00453A57">
            <w:pPr>
              <w:pStyle w:val="TableTextLeft"/>
              <w:jc w:val="center"/>
              <w:rPr>
                <w:rFonts w:cs="Arial"/>
                <w:b/>
                <w:bCs/>
                <w:sz w:val="32"/>
                <w:szCs w:val="32"/>
              </w:rPr>
            </w:pPr>
            <w:r w:rsidRPr="00453A57">
              <w:rPr>
                <w:rFonts w:cs="Arial"/>
                <w:b/>
                <w:bCs/>
                <w:sz w:val="32"/>
                <w:szCs w:val="32"/>
                <w:shd w:val="clear" w:color="auto" w:fill="FFFFFF"/>
              </w:rPr>
              <w:t>1</w:t>
            </w:r>
            <w:r w:rsidRPr="00453A57">
              <w:rPr>
                <w:rFonts w:cs="Arial"/>
                <w:b/>
                <w:bCs/>
                <w:sz w:val="32"/>
                <w:szCs w:val="32"/>
              </w:rPr>
              <w:t>,</w:t>
            </w:r>
            <w:r w:rsidRPr="00453A57">
              <w:rPr>
                <w:rFonts w:cs="Arial"/>
                <w:b/>
                <w:bCs/>
                <w:sz w:val="32"/>
                <w:szCs w:val="32"/>
                <w:shd w:val="clear" w:color="auto" w:fill="FFFFFF"/>
              </w:rPr>
              <w:t>2</w:t>
            </w:r>
          </w:p>
        </w:tc>
        <w:tc>
          <w:tcPr>
            <w:tcW w:w="1260" w:type="dxa"/>
          </w:tcPr>
          <w:p w14:paraId="60589CA8" w14:textId="789E9B42" w:rsidR="00C9302E" w:rsidRPr="00453A57" w:rsidRDefault="00C22CDE" w:rsidP="00453A57">
            <w:pPr>
              <w:pStyle w:val="TableTextLeft"/>
              <w:jc w:val="center"/>
              <w:rPr>
                <w:rFonts w:cs="Arial"/>
                <w:b/>
                <w:bCs/>
                <w:sz w:val="32"/>
                <w:szCs w:val="32"/>
              </w:rPr>
            </w:pPr>
            <w:r>
              <w:rPr>
                <w:rFonts w:cs="Arial"/>
                <w:b/>
                <w:bCs/>
                <w:sz w:val="32"/>
                <w:szCs w:val="32"/>
              </w:rPr>
              <w:t>7</w:t>
            </w:r>
          </w:p>
        </w:tc>
      </w:tr>
      <w:tr w:rsidR="00C9302E" w:rsidRPr="00E07195" w14:paraId="7B8652B6" w14:textId="39337010" w:rsidTr="25F521CE">
        <w:trPr>
          <w:trHeight w:val="300"/>
        </w:trPr>
        <w:tc>
          <w:tcPr>
            <w:tcW w:w="1847" w:type="dxa"/>
            <w:vMerge/>
          </w:tcPr>
          <w:p w14:paraId="6F352F24" w14:textId="77777777" w:rsidR="00C9302E" w:rsidRPr="00E07195" w:rsidRDefault="00C9302E" w:rsidP="00C9302E">
            <w:pPr>
              <w:pStyle w:val="TableHeadingLeft"/>
              <w:rPr>
                <w:rFonts w:cs="Arial"/>
                <w:szCs w:val="20"/>
              </w:rPr>
            </w:pPr>
          </w:p>
        </w:tc>
        <w:tc>
          <w:tcPr>
            <w:tcW w:w="1928" w:type="dxa"/>
          </w:tcPr>
          <w:p w14:paraId="665E76EE" w14:textId="1F114B85" w:rsidR="00C9302E" w:rsidRPr="00B70D58" w:rsidRDefault="00C9302E" w:rsidP="00C9302E">
            <w:pPr>
              <w:pStyle w:val="TableTextLeft"/>
              <w:rPr>
                <w:rFonts w:cs="Arial"/>
                <w:b/>
                <w:bCs/>
                <w:szCs w:val="20"/>
              </w:rPr>
            </w:pPr>
            <w:r w:rsidRPr="00B70D58">
              <w:rPr>
                <w:rFonts w:cs="Arial"/>
                <w:b/>
                <w:bCs/>
                <w:szCs w:val="20"/>
              </w:rPr>
              <w:t>QFCC</w:t>
            </w:r>
          </w:p>
        </w:tc>
        <w:tc>
          <w:tcPr>
            <w:tcW w:w="3061" w:type="dxa"/>
          </w:tcPr>
          <w:p w14:paraId="36DE06DB" w14:textId="6196CF9B" w:rsidR="00C9302E" w:rsidRPr="00B70D58" w:rsidRDefault="00B220AD" w:rsidP="00C9302E">
            <w:pPr>
              <w:pStyle w:val="TableTextLeft"/>
              <w:rPr>
                <w:rFonts w:cs="Arial"/>
                <w:szCs w:val="20"/>
              </w:rPr>
            </w:pPr>
            <w:r w:rsidRPr="00B70D58">
              <w:rPr>
                <w:rFonts w:cs="Arial"/>
                <w:b/>
                <w:bCs/>
                <w:szCs w:val="20"/>
              </w:rPr>
              <w:t xml:space="preserve">8.4 </w:t>
            </w:r>
            <w:r w:rsidRPr="00B70D58">
              <w:rPr>
                <w:rFonts w:cs="Arial"/>
                <w:szCs w:val="20"/>
              </w:rPr>
              <w:t xml:space="preserve">  Develop and implement a Child Rights monitoring and reporting framework to ensure the application of a child rights approach to systemic accountability across the child protection system.</w:t>
            </w:r>
          </w:p>
          <w:p w14:paraId="349A4B0B" w14:textId="77777777" w:rsidR="00B220AD" w:rsidRPr="00B70D58" w:rsidRDefault="00B220AD" w:rsidP="00C9302E">
            <w:pPr>
              <w:pStyle w:val="TableTextLeft"/>
              <w:rPr>
                <w:rFonts w:cs="Arial"/>
                <w:b/>
                <w:bCs/>
                <w:szCs w:val="20"/>
              </w:rPr>
            </w:pPr>
          </w:p>
          <w:p w14:paraId="5105763B" w14:textId="6CD8B492" w:rsidR="00C9302E" w:rsidRPr="00B70D58" w:rsidRDefault="00C9302E" w:rsidP="00C9302E">
            <w:pPr>
              <w:pStyle w:val="TableTextLeft"/>
              <w:rPr>
                <w:rFonts w:cs="Arial"/>
                <w:szCs w:val="20"/>
              </w:rPr>
            </w:pPr>
            <w:r w:rsidRPr="00B70D58">
              <w:rPr>
                <w:rFonts w:cs="Arial"/>
                <w:b/>
                <w:bCs/>
                <w:szCs w:val="20"/>
              </w:rPr>
              <w:t>Timing:</w:t>
            </w:r>
            <w:r w:rsidRPr="00B70D58">
              <w:rPr>
                <w:rFonts w:cs="Arial"/>
                <w:szCs w:val="20"/>
              </w:rPr>
              <w:t xml:space="preserve">  Years 1 to 3 (2023</w:t>
            </w:r>
            <w:r w:rsidR="00D74699" w:rsidRPr="00B70D58">
              <w:rPr>
                <w:rFonts w:eastAsia="Calibri" w:cs="Arial"/>
                <w:szCs w:val="20"/>
              </w:rPr>
              <w:t>–</w:t>
            </w:r>
            <w:r w:rsidRPr="00B70D58">
              <w:rPr>
                <w:rFonts w:cs="Arial"/>
                <w:szCs w:val="20"/>
              </w:rPr>
              <w:t>2025)</w:t>
            </w:r>
          </w:p>
        </w:tc>
        <w:tc>
          <w:tcPr>
            <w:tcW w:w="3685" w:type="dxa"/>
          </w:tcPr>
          <w:p w14:paraId="172418E6" w14:textId="391B4C0D" w:rsidR="00C9302E" w:rsidRPr="00B70D58" w:rsidRDefault="00C9302E" w:rsidP="00C9302E">
            <w:pPr>
              <w:pStyle w:val="TableTextLeft"/>
              <w:rPr>
                <w:rFonts w:cs="Arial"/>
                <w:szCs w:val="20"/>
              </w:rPr>
            </w:pPr>
            <w:r w:rsidRPr="00B70D58">
              <w:rPr>
                <w:rFonts w:cs="Arial"/>
                <w:b/>
                <w:bCs/>
                <w:szCs w:val="20"/>
              </w:rPr>
              <w:t>D:</w:t>
            </w:r>
            <w:r w:rsidRPr="00B70D58">
              <w:rPr>
                <w:rFonts w:cs="Arial"/>
                <w:szCs w:val="20"/>
              </w:rPr>
              <w:t xml:space="preserve">  Annual publication of the Queensland Child Rights Monitoring Report, the Queensland First Nations Children and Young People Report, and the </w:t>
            </w:r>
            <w:proofErr w:type="gramStart"/>
            <w:r w:rsidRPr="00B70D58">
              <w:rPr>
                <w:rFonts w:cs="Arial"/>
                <w:szCs w:val="20"/>
              </w:rPr>
              <w:t>Principle</w:t>
            </w:r>
            <w:proofErr w:type="gramEnd"/>
            <w:r w:rsidRPr="00B70D58">
              <w:rPr>
                <w:rFonts w:cs="Arial"/>
                <w:szCs w:val="20"/>
              </w:rPr>
              <w:t xml:space="preserve"> Focus Snapshots.</w:t>
            </w:r>
          </w:p>
          <w:p w14:paraId="0664B59C" w14:textId="77777777" w:rsidR="00C9302E" w:rsidRPr="00B70D58" w:rsidRDefault="00C9302E" w:rsidP="00C9302E">
            <w:pPr>
              <w:pStyle w:val="TableTextLeft"/>
              <w:rPr>
                <w:rFonts w:cs="Arial"/>
                <w:szCs w:val="20"/>
              </w:rPr>
            </w:pPr>
          </w:p>
          <w:p w14:paraId="155C288F" w14:textId="77777777" w:rsidR="00631F7D" w:rsidRPr="00B70D58" w:rsidRDefault="00C9302E" w:rsidP="00C9302E">
            <w:pPr>
              <w:pStyle w:val="TableTextLeft"/>
              <w:rPr>
                <w:rFonts w:cs="Arial"/>
                <w:szCs w:val="20"/>
              </w:rPr>
            </w:pPr>
            <w:r w:rsidRPr="00B70D58">
              <w:rPr>
                <w:rFonts w:cs="Arial"/>
                <w:b/>
                <w:bCs/>
                <w:szCs w:val="20"/>
              </w:rPr>
              <w:t xml:space="preserve">SI:  </w:t>
            </w:r>
            <w:r w:rsidRPr="00B70D58">
              <w:rPr>
                <w:rFonts w:cs="Arial"/>
                <w:szCs w:val="20"/>
              </w:rPr>
              <w:t>Rates of awareness of child rights.</w:t>
            </w:r>
          </w:p>
          <w:p w14:paraId="7A34283A" w14:textId="5A0BE4FA" w:rsidR="00C9302E" w:rsidRPr="00B70D58" w:rsidRDefault="00C9302E" w:rsidP="00C9302E">
            <w:pPr>
              <w:pStyle w:val="TableTextLeft"/>
              <w:rPr>
                <w:rFonts w:cs="Arial"/>
                <w:szCs w:val="20"/>
              </w:rPr>
            </w:pPr>
            <w:r w:rsidRPr="00B70D58">
              <w:rPr>
                <w:rFonts w:cs="Arial"/>
                <w:b/>
                <w:bCs/>
                <w:szCs w:val="20"/>
              </w:rPr>
              <w:t xml:space="preserve">SI:  </w:t>
            </w:r>
            <w:proofErr w:type="spellStart"/>
            <w:r w:rsidRPr="00B70D58">
              <w:rPr>
                <w:rFonts w:cs="Arial"/>
                <w:szCs w:val="20"/>
              </w:rPr>
              <w:t>Statewide</w:t>
            </w:r>
            <w:proofErr w:type="spellEnd"/>
            <w:r w:rsidRPr="00B70D58">
              <w:rPr>
                <w:rFonts w:cs="Arial"/>
                <w:szCs w:val="20"/>
              </w:rPr>
              <w:t xml:space="preserve"> systems use a child rights approach to the development of policy and structural changes.</w:t>
            </w:r>
          </w:p>
          <w:p w14:paraId="5995933E" w14:textId="208487DA" w:rsidR="00C55F5E" w:rsidRPr="00B70D58" w:rsidRDefault="00C55F5E" w:rsidP="00C9302E">
            <w:pPr>
              <w:pStyle w:val="TableTextLeft"/>
              <w:rPr>
                <w:rFonts w:cs="Arial"/>
                <w:szCs w:val="20"/>
              </w:rPr>
            </w:pPr>
            <w:r w:rsidRPr="00B70D58">
              <w:rPr>
                <w:rFonts w:cs="Arial"/>
                <w:b/>
                <w:bCs/>
                <w:szCs w:val="20"/>
              </w:rPr>
              <w:t xml:space="preserve">SI: </w:t>
            </w:r>
            <w:r w:rsidRPr="00B70D58">
              <w:rPr>
                <w:rFonts w:cs="Arial"/>
                <w:szCs w:val="20"/>
              </w:rPr>
              <w:t>Trends of what works and what doesn’t work in creating outcomes for Aboriginal and Torres Strait Islander families in contact with child protection systems.</w:t>
            </w:r>
          </w:p>
        </w:tc>
        <w:tc>
          <w:tcPr>
            <w:tcW w:w="3118" w:type="dxa"/>
          </w:tcPr>
          <w:p w14:paraId="6F5D73EB" w14:textId="265BFCDD" w:rsidR="00C9302E" w:rsidRPr="00B70D58" w:rsidRDefault="00C9302E" w:rsidP="00C9302E">
            <w:pPr>
              <w:pStyle w:val="TableTextLeft"/>
              <w:rPr>
                <w:rFonts w:cs="Arial"/>
                <w:szCs w:val="20"/>
              </w:rPr>
            </w:pPr>
            <w:r w:rsidRPr="00B70D58">
              <w:rPr>
                <w:rFonts w:cs="Arial"/>
                <w:b/>
                <w:bCs/>
                <w:szCs w:val="20"/>
              </w:rPr>
              <w:t>O:</w:t>
            </w:r>
            <w:r w:rsidRPr="00B70D58">
              <w:rPr>
                <w:rFonts w:cs="Arial"/>
                <w:szCs w:val="20"/>
              </w:rPr>
              <w:t xml:space="preserve">  The ATSICCO sector has access to data and information on their community.</w:t>
            </w:r>
          </w:p>
          <w:p w14:paraId="2CB9C71A" w14:textId="5378AF3E" w:rsidR="00C9302E" w:rsidRPr="00B70D58" w:rsidRDefault="00C9302E" w:rsidP="00C9302E">
            <w:pPr>
              <w:pStyle w:val="TableTextLeft"/>
              <w:rPr>
                <w:rFonts w:cs="Arial"/>
                <w:szCs w:val="20"/>
              </w:rPr>
            </w:pPr>
            <w:r w:rsidRPr="00B70D58">
              <w:rPr>
                <w:rFonts w:cs="Arial"/>
                <w:b/>
                <w:bCs/>
                <w:szCs w:val="20"/>
              </w:rPr>
              <w:t>O:</w:t>
            </w:r>
            <w:r w:rsidRPr="00B70D58">
              <w:rPr>
                <w:rFonts w:cs="Arial"/>
                <w:szCs w:val="20"/>
              </w:rPr>
              <w:t xml:space="preserve">  Strengthened accountability mechanisms at all levels to ensure the service needs of Aboriginal and Torres Strait Islander peoples are met.</w:t>
            </w:r>
          </w:p>
          <w:p w14:paraId="5A3E9B3F" w14:textId="77777777" w:rsidR="00C9302E" w:rsidRPr="00B70D58" w:rsidRDefault="00C9302E" w:rsidP="00C9302E">
            <w:pPr>
              <w:pStyle w:val="TableTextLeft"/>
              <w:rPr>
                <w:rFonts w:cs="Arial"/>
                <w:szCs w:val="20"/>
              </w:rPr>
            </w:pPr>
          </w:p>
        </w:tc>
        <w:tc>
          <w:tcPr>
            <w:tcW w:w="3685" w:type="dxa"/>
          </w:tcPr>
          <w:p w14:paraId="2C81E836" w14:textId="256B4BDD" w:rsidR="00C9302E" w:rsidRPr="00B70D58" w:rsidRDefault="00C9302E" w:rsidP="00C9302E">
            <w:pPr>
              <w:pStyle w:val="TableTextLeft"/>
              <w:rPr>
                <w:rFonts w:cs="Arial"/>
                <w:szCs w:val="20"/>
              </w:rPr>
            </w:pPr>
            <w:r w:rsidRPr="00B70D58">
              <w:rPr>
                <w:rFonts w:cs="Arial"/>
                <w:szCs w:val="20"/>
              </w:rPr>
              <w:t xml:space="preserve">The QFCC is undertaking a comprehensive, child rights-based program of work to examine the dynamics and drivers of overrepresentation of Aboriginal and Torres Strait Islander children in the child protection system. </w:t>
            </w:r>
          </w:p>
          <w:p w14:paraId="67BFF124" w14:textId="77777777" w:rsidR="00C9302E" w:rsidRPr="00B70D58" w:rsidRDefault="00C9302E" w:rsidP="00C9302E">
            <w:pPr>
              <w:pStyle w:val="TableTextLeft"/>
              <w:rPr>
                <w:rFonts w:cs="Arial"/>
                <w:szCs w:val="20"/>
              </w:rPr>
            </w:pPr>
          </w:p>
          <w:p w14:paraId="0439697F" w14:textId="5C0C87BB" w:rsidR="00C9302E" w:rsidRPr="00B70D58" w:rsidRDefault="00C9302E" w:rsidP="00C9302E">
            <w:pPr>
              <w:pStyle w:val="TableTextLeft"/>
              <w:rPr>
                <w:rFonts w:cs="Arial"/>
                <w:szCs w:val="20"/>
              </w:rPr>
            </w:pPr>
            <w:r w:rsidRPr="00B70D58">
              <w:rPr>
                <w:rFonts w:cs="Arial"/>
                <w:szCs w:val="20"/>
              </w:rPr>
              <w:t>Annual reporting at the state, regional and local levels enable sharing of information to Aboriginal and Torres Strait Islander communities on progress against the human rights of Queensland’s Aboriginal and Torres Strait Islander children.</w:t>
            </w:r>
          </w:p>
          <w:p w14:paraId="20F3390B" w14:textId="77777777" w:rsidR="00C9302E" w:rsidRPr="00B70D58" w:rsidRDefault="00C9302E" w:rsidP="00C9302E">
            <w:pPr>
              <w:pStyle w:val="TableTextLeft"/>
              <w:rPr>
                <w:rFonts w:cs="Arial"/>
                <w:szCs w:val="20"/>
              </w:rPr>
            </w:pPr>
          </w:p>
          <w:p w14:paraId="2ED6A50B" w14:textId="4992D49C" w:rsidR="00C9302E" w:rsidRPr="00B70D58" w:rsidRDefault="00C9302E" w:rsidP="00C9302E">
            <w:pPr>
              <w:pStyle w:val="TableTextLeft"/>
              <w:rPr>
                <w:rFonts w:cs="Arial"/>
                <w:szCs w:val="20"/>
              </w:rPr>
            </w:pPr>
            <w:r w:rsidRPr="00B70D58">
              <w:rPr>
                <w:rFonts w:cs="Arial"/>
                <w:szCs w:val="20"/>
              </w:rPr>
              <w:t>This action aligns with Recommendation 14 of the Family Matters Report 2022.</w:t>
            </w:r>
          </w:p>
        </w:tc>
        <w:tc>
          <w:tcPr>
            <w:tcW w:w="1627" w:type="dxa"/>
          </w:tcPr>
          <w:p w14:paraId="5BA8E597" w14:textId="3BE9F4F4" w:rsidR="00C9302E" w:rsidRPr="00E07195" w:rsidRDefault="00C9302E" w:rsidP="00C9302E">
            <w:pPr>
              <w:pStyle w:val="TableTextLeft"/>
              <w:rPr>
                <w:rFonts w:cs="Arial"/>
                <w:szCs w:val="20"/>
              </w:rPr>
            </w:pPr>
            <w:r w:rsidRPr="00E07195">
              <w:rPr>
                <w:rFonts w:cs="Arial"/>
                <w:noProof/>
                <w:szCs w:val="20"/>
              </w:rPr>
              <w:drawing>
                <wp:inline distT="0" distB="0" distL="0" distR="0" wp14:anchorId="196706FD" wp14:editId="20115103">
                  <wp:extent cx="355600" cy="351929"/>
                  <wp:effectExtent l="0" t="0" r="6350" b="0"/>
                  <wp:docPr id="57" name="Picture 57" descr="Building block four - Governments and services are accountable to Aboriginal and Torres Strait Islander peoples &#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Building block four - Governments and services are accountable to Aboriginal and Torres Strait Islander peoples &#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7636" cy="363841"/>
                          </a:xfrm>
                          <a:prstGeom prst="rect">
                            <a:avLst/>
                          </a:prstGeom>
                        </pic:spPr>
                      </pic:pic>
                    </a:graphicData>
                  </a:graphic>
                </wp:inline>
              </w:drawing>
            </w:r>
          </w:p>
        </w:tc>
        <w:tc>
          <w:tcPr>
            <w:tcW w:w="1197" w:type="dxa"/>
          </w:tcPr>
          <w:p w14:paraId="14654830" w14:textId="09E1610F" w:rsidR="00C9302E" w:rsidRPr="00453A57" w:rsidRDefault="00C9302E" w:rsidP="00453A57">
            <w:pPr>
              <w:pStyle w:val="TableTextLeft"/>
              <w:jc w:val="center"/>
              <w:rPr>
                <w:rFonts w:cs="Arial"/>
                <w:b/>
                <w:bCs/>
                <w:sz w:val="32"/>
                <w:szCs w:val="32"/>
              </w:rPr>
            </w:pPr>
            <w:r w:rsidRPr="00453A57">
              <w:rPr>
                <w:rFonts w:cs="Arial"/>
                <w:b/>
                <w:bCs/>
                <w:sz w:val="32"/>
                <w:szCs w:val="32"/>
                <w:shd w:val="clear" w:color="auto" w:fill="FFFFFF"/>
              </w:rPr>
              <w:t>4</w:t>
            </w:r>
          </w:p>
        </w:tc>
        <w:tc>
          <w:tcPr>
            <w:tcW w:w="1260" w:type="dxa"/>
          </w:tcPr>
          <w:p w14:paraId="055EE9E3" w14:textId="5210562E" w:rsidR="00C9302E" w:rsidRPr="00453A57" w:rsidRDefault="00C9302E" w:rsidP="00453A57">
            <w:pPr>
              <w:pStyle w:val="TableTextLeft"/>
              <w:jc w:val="center"/>
              <w:rPr>
                <w:rFonts w:cs="Arial"/>
                <w:b/>
                <w:bCs/>
                <w:sz w:val="32"/>
                <w:szCs w:val="32"/>
              </w:rPr>
            </w:pPr>
            <w:r w:rsidRPr="00453A57">
              <w:rPr>
                <w:rFonts w:cs="Arial"/>
                <w:b/>
                <w:bCs/>
                <w:sz w:val="32"/>
                <w:szCs w:val="32"/>
              </w:rPr>
              <w:t>3, 7</w:t>
            </w:r>
          </w:p>
        </w:tc>
      </w:tr>
      <w:tr w:rsidR="00C9302E" w:rsidRPr="00E07195" w14:paraId="0A3F93D2" w14:textId="78F3423F" w:rsidTr="25F521CE">
        <w:trPr>
          <w:trHeight w:val="300"/>
        </w:trPr>
        <w:tc>
          <w:tcPr>
            <w:tcW w:w="1847" w:type="dxa"/>
            <w:vMerge/>
          </w:tcPr>
          <w:p w14:paraId="51CCC53E" w14:textId="77777777" w:rsidR="00C9302E" w:rsidRPr="00E07195" w:rsidRDefault="00C9302E" w:rsidP="00C9302E">
            <w:pPr>
              <w:pStyle w:val="TableHeadingLeft"/>
              <w:rPr>
                <w:rFonts w:cs="Arial"/>
                <w:szCs w:val="20"/>
              </w:rPr>
            </w:pPr>
            <w:bookmarkStart w:id="8" w:name="_Hlk132881784"/>
          </w:p>
        </w:tc>
        <w:tc>
          <w:tcPr>
            <w:tcW w:w="1928" w:type="dxa"/>
          </w:tcPr>
          <w:p w14:paraId="5AFC4F43" w14:textId="77777777" w:rsidR="00C9302E" w:rsidRPr="00B70D58" w:rsidRDefault="00C9302E" w:rsidP="00C9302E">
            <w:pPr>
              <w:pStyle w:val="TableTextLeft"/>
              <w:rPr>
                <w:rFonts w:cs="Arial"/>
                <w:b/>
                <w:bCs/>
                <w:szCs w:val="20"/>
              </w:rPr>
            </w:pPr>
            <w:r w:rsidRPr="00B70D58">
              <w:rPr>
                <w:rFonts w:cs="Arial"/>
                <w:b/>
                <w:bCs/>
                <w:szCs w:val="20"/>
              </w:rPr>
              <w:t xml:space="preserve">DCSSDS </w:t>
            </w:r>
          </w:p>
          <w:p w14:paraId="0141BF06" w14:textId="77777777" w:rsidR="00C9302E" w:rsidRPr="00B70D58" w:rsidRDefault="00C9302E" w:rsidP="00C9302E">
            <w:pPr>
              <w:pStyle w:val="TableTextLeft"/>
              <w:rPr>
                <w:rFonts w:cs="Arial"/>
                <w:szCs w:val="20"/>
              </w:rPr>
            </w:pPr>
          </w:p>
          <w:p w14:paraId="7ED4CF64" w14:textId="1C79A1D2" w:rsidR="00C9302E" w:rsidRPr="00B70D58" w:rsidRDefault="00C9302E" w:rsidP="00C9302E">
            <w:pPr>
              <w:pStyle w:val="TableTextLeft"/>
              <w:rPr>
                <w:rFonts w:cs="Arial"/>
                <w:szCs w:val="20"/>
              </w:rPr>
            </w:pPr>
            <w:r w:rsidRPr="00B70D58">
              <w:rPr>
                <w:rFonts w:cs="Arial"/>
                <w:szCs w:val="20"/>
              </w:rPr>
              <w:t xml:space="preserve">QATSICPP </w:t>
            </w:r>
          </w:p>
          <w:p w14:paraId="6D496BEE" w14:textId="7E7C3A48" w:rsidR="00C9302E" w:rsidRPr="00B70D58" w:rsidRDefault="00C9302E" w:rsidP="00C9302E">
            <w:pPr>
              <w:pStyle w:val="TableTextLeft"/>
              <w:rPr>
                <w:rFonts w:cs="Arial"/>
                <w:szCs w:val="20"/>
              </w:rPr>
            </w:pPr>
            <w:r w:rsidRPr="00B70D58">
              <w:rPr>
                <w:rFonts w:cs="Arial"/>
                <w:szCs w:val="20"/>
              </w:rPr>
              <w:t>QFCC</w:t>
            </w:r>
          </w:p>
          <w:p w14:paraId="37B7B331" w14:textId="1C47104F" w:rsidR="00C9302E" w:rsidRPr="00B70D58" w:rsidRDefault="00C9302E" w:rsidP="00C9302E">
            <w:pPr>
              <w:pStyle w:val="TableTextLeft"/>
              <w:rPr>
                <w:rFonts w:cs="Arial"/>
                <w:szCs w:val="20"/>
              </w:rPr>
            </w:pPr>
          </w:p>
        </w:tc>
        <w:tc>
          <w:tcPr>
            <w:tcW w:w="3061" w:type="dxa"/>
          </w:tcPr>
          <w:p w14:paraId="529D27CB" w14:textId="0F9EF54E" w:rsidR="00C9302E" w:rsidRPr="00B70D58" w:rsidRDefault="00DA18C6" w:rsidP="00C9302E">
            <w:pPr>
              <w:pStyle w:val="TableTextLeft"/>
              <w:rPr>
                <w:rFonts w:cs="Arial"/>
                <w:szCs w:val="20"/>
              </w:rPr>
            </w:pPr>
            <w:r w:rsidRPr="00B70D58">
              <w:rPr>
                <w:rFonts w:cs="Arial"/>
                <w:b/>
                <w:bCs/>
                <w:szCs w:val="20"/>
              </w:rPr>
              <w:t>8.5</w:t>
            </w:r>
            <w:r w:rsidRPr="00B70D58">
              <w:rPr>
                <w:rFonts w:cs="Arial"/>
                <w:szCs w:val="20"/>
              </w:rPr>
              <w:t xml:space="preserve"> </w:t>
            </w:r>
            <w:r w:rsidRPr="00B70D58">
              <w:rPr>
                <w:rFonts w:eastAsiaTheme="minorEastAsia" w:cs="Arial"/>
                <w:szCs w:val="20"/>
              </w:rPr>
              <w:t>Continue</w:t>
            </w:r>
            <w:r w:rsidR="00087F3C" w:rsidRPr="00B70D58">
              <w:rPr>
                <w:rFonts w:eastAsiaTheme="minorEastAsia" w:cs="Arial"/>
                <w:szCs w:val="20"/>
              </w:rPr>
              <w:t xml:space="preserve"> to expand and develop through technology, policy and legislation, the data </w:t>
            </w:r>
            <w:proofErr w:type="gramStart"/>
            <w:r w:rsidR="00087F3C" w:rsidRPr="00B70D58">
              <w:rPr>
                <w:rFonts w:eastAsiaTheme="minorEastAsia" w:cs="Arial"/>
                <w:szCs w:val="20"/>
              </w:rPr>
              <w:t>sharing</w:t>
            </w:r>
            <w:proofErr w:type="gramEnd"/>
            <w:r w:rsidR="00087F3C" w:rsidRPr="00B70D58">
              <w:rPr>
                <w:rFonts w:eastAsiaTheme="minorEastAsia" w:cs="Arial"/>
                <w:szCs w:val="20"/>
              </w:rPr>
              <w:t xml:space="preserve"> and ownership capabilities delivered through Unify to the ATSICCO sector to achieve data sovereignty.</w:t>
            </w:r>
          </w:p>
          <w:p w14:paraId="0D89170B" w14:textId="4486867A" w:rsidR="00C9302E" w:rsidRPr="00B70D58" w:rsidRDefault="00C9302E" w:rsidP="00C9302E">
            <w:pPr>
              <w:pStyle w:val="TableTextLeft"/>
              <w:rPr>
                <w:rFonts w:cs="Arial"/>
                <w:szCs w:val="20"/>
              </w:rPr>
            </w:pPr>
            <w:r w:rsidRPr="00B70D58">
              <w:rPr>
                <w:rFonts w:cs="Arial"/>
                <w:szCs w:val="20"/>
              </w:rPr>
              <w:t xml:space="preserve"> </w:t>
            </w:r>
          </w:p>
          <w:p w14:paraId="6DA62006" w14:textId="5F0F5CDC" w:rsidR="00C9302E" w:rsidRPr="00B70D58" w:rsidRDefault="00C9302E" w:rsidP="00C9302E">
            <w:pPr>
              <w:pStyle w:val="TableTextLeft"/>
              <w:rPr>
                <w:rFonts w:cs="Arial"/>
                <w:szCs w:val="20"/>
              </w:rPr>
            </w:pPr>
            <w:r w:rsidRPr="00B70D58">
              <w:rPr>
                <w:rFonts w:cs="Arial"/>
                <w:b/>
                <w:bCs/>
                <w:szCs w:val="20"/>
              </w:rPr>
              <w:t xml:space="preserve">Timing:  </w:t>
            </w:r>
            <w:r w:rsidRPr="00B70D58">
              <w:rPr>
                <w:rFonts w:cs="Arial"/>
                <w:szCs w:val="20"/>
              </w:rPr>
              <w:t>Years 1 to 3 (2023</w:t>
            </w:r>
            <w:r w:rsidR="00D74699" w:rsidRPr="00B70D58">
              <w:rPr>
                <w:rFonts w:eastAsia="Calibri" w:cs="Arial"/>
                <w:szCs w:val="20"/>
              </w:rPr>
              <w:t>–</w:t>
            </w:r>
            <w:r w:rsidRPr="00B70D58">
              <w:rPr>
                <w:rFonts w:cs="Arial"/>
                <w:szCs w:val="20"/>
              </w:rPr>
              <w:t>2025)</w:t>
            </w:r>
          </w:p>
          <w:p w14:paraId="1D563E9F" w14:textId="1B412113" w:rsidR="00C9302E" w:rsidRPr="00B70D58" w:rsidRDefault="00C9302E" w:rsidP="00C9302E">
            <w:pPr>
              <w:pStyle w:val="TableTextLeft"/>
              <w:rPr>
                <w:rFonts w:cs="Arial"/>
                <w:szCs w:val="20"/>
              </w:rPr>
            </w:pPr>
            <w:r w:rsidRPr="00B70D58">
              <w:rPr>
                <w:rFonts w:cs="Arial"/>
                <w:szCs w:val="20"/>
              </w:rPr>
              <w:t>*Ongoing implementation over the course of Breaking Cycles (2023</w:t>
            </w:r>
            <w:r w:rsidR="00D74699" w:rsidRPr="00B70D58">
              <w:rPr>
                <w:rFonts w:eastAsia="Calibri" w:cs="Arial"/>
                <w:szCs w:val="20"/>
              </w:rPr>
              <w:t>–</w:t>
            </w:r>
            <w:r w:rsidRPr="00B70D58">
              <w:rPr>
                <w:rFonts w:cs="Arial"/>
                <w:szCs w:val="20"/>
              </w:rPr>
              <w:t>2031).</w:t>
            </w:r>
          </w:p>
          <w:p w14:paraId="2F03106F" w14:textId="324C391F" w:rsidR="00C9302E" w:rsidRPr="00B70D58" w:rsidRDefault="00C9302E" w:rsidP="00C9302E">
            <w:pPr>
              <w:pStyle w:val="TableTextLeft"/>
              <w:rPr>
                <w:rFonts w:cs="Arial"/>
                <w:szCs w:val="20"/>
              </w:rPr>
            </w:pPr>
          </w:p>
          <w:p w14:paraId="1D622636" w14:textId="77E1DA0C" w:rsidR="00C9302E" w:rsidRPr="00B70D58" w:rsidRDefault="00C9302E" w:rsidP="00C9302E">
            <w:pPr>
              <w:pStyle w:val="TableTextLeft"/>
              <w:rPr>
                <w:rFonts w:cs="Arial"/>
                <w:szCs w:val="20"/>
              </w:rPr>
            </w:pPr>
          </w:p>
        </w:tc>
        <w:tc>
          <w:tcPr>
            <w:tcW w:w="3685" w:type="dxa"/>
          </w:tcPr>
          <w:p w14:paraId="1832518E" w14:textId="49D8DEEC" w:rsidR="00C9302E" w:rsidRPr="00B70D58" w:rsidRDefault="00C9302E" w:rsidP="00C9302E">
            <w:pPr>
              <w:pStyle w:val="TableTextLeft"/>
              <w:rPr>
                <w:rFonts w:cs="Arial"/>
                <w:szCs w:val="20"/>
              </w:rPr>
            </w:pPr>
            <w:r w:rsidRPr="00B70D58">
              <w:rPr>
                <w:rFonts w:cs="Arial"/>
                <w:b/>
                <w:bCs/>
                <w:szCs w:val="20"/>
              </w:rPr>
              <w:t>D:</w:t>
            </w:r>
            <w:r w:rsidRPr="00B70D58">
              <w:rPr>
                <w:rFonts w:cs="Arial"/>
                <w:szCs w:val="20"/>
              </w:rPr>
              <w:t xml:space="preserve">  An implementation approach </w:t>
            </w:r>
            <w:r w:rsidR="00DA18C6" w:rsidRPr="00B70D58">
              <w:rPr>
                <w:rFonts w:cs="Arial"/>
                <w:szCs w:val="20"/>
              </w:rPr>
              <w:t>for DCSSDS</w:t>
            </w:r>
            <w:r w:rsidRPr="00B70D58">
              <w:rPr>
                <w:rFonts w:cs="Arial"/>
                <w:szCs w:val="20"/>
              </w:rPr>
              <w:t xml:space="preserve"> which outlines how the department will respond to data sovereignty actions under Safe and Supported. Working with QATSICPP, identify the data needs of the ATSICCO sector and how data can be shared.</w:t>
            </w:r>
          </w:p>
          <w:p w14:paraId="26E2D19F" w14:textId="1FECE7EA" w:rsidR="00C9302E" w:rsidRPr="00B70D58" w:rsidRDefault="00C9302E" w:rsidP="00C9302E">
            <w:pPr>
              <w:pStyle w:val="TableTextLeft"/>
              <w:rPr>
                <w:rFonts w:cs="Arial"/>
                <w:szCs w:val="20"/>
              </w:rPr>
            </w:pPr>
            <w:r w:rsidRPr="00B70D58">
              <w:rPr>
                <w:rFonts w:cs="Arial"/>
                <w:b/>
                <w:bCs/>
                <w:szCs w:val="20"/>
              </w:rPr>
              <w:t>D:</w:t>
            </w:r>
            <w:r w:rsidRPr="00B70D58">
              <w:rPr>
                <w:rFonts w:cs="Arial"/>
                <w:szCs w:val="20"/>
              </w:rPr>
              <w:t xml:space="preserve"> Establish Safe and Supported Data Sovereignty working group with subject matter experts </w:t>
            </w:r>
            <w:r w:rsidR="00DA18C6" w:rsidRPr="00B70D58">
              <w:rPr>
                <w:rFonts w:cs="Arial"/>
                <w:szCs w:val="20"/>
              </w:rPr>
              <w:t>across DCSSDS</w:t>
            </w:r>
            <w:r w:rsidRPr="00B70D58">
              <w:rPr>
                <w:rFonts w:cs="Arial"/>
                <w:szCs w:val="20"/>
              </w:rPr>
              <w:t>.</w:t>
            </w:r>
          </w:p>
          <w:p w14:paraId="174C1A8D" w14:textId="412C69CF" w:rsidR="00C9302E" w:rsidRPr="00B70D58" w:rsidRDefault="00C9302E" w:rsidP="00C9302E">
            <w:pPr>
              <w:pStyle w:val="TableTextLeft"/>
              <w:rPr>
                <w:rFonts w:cs="Arial"/>
                <w:b/>
                <w:bCs/>
                <w:color w:val="4472C4"/>
                <w:szCs w:val="20"/>
              </w:rPr>
            </w:pPr>
            <w:r w:rsidRPr="00B70D58">
              <w:rPr>
                <w:rFonts w:cs="Arial"/>
                <w:b/>
                <w:bCs/>
                <w:szCs w:val="20"/>
              </w:rPr>
              <w:t>D:</w:t>
            </w:r>
            <w:r w:rsidRPr="00B70D58">
              <w:rPr>
                <w:rFonts w:cs="Arial"/>
                <w:szCs w:val="20"/>
              </w:rPr>
              <w:t xml:space="preserve"> </w:t>
            </w:r>
            <w:r w:rsidRPr="00B70D58">
              <w:rPr>
                <w:rFonts w:cs="Arial"/>
                <w:b/>
                <w:bCs/>
                <w:color w:val="4472C4"/>
                <w:szCs w:val="20"/>
              </w:rPr>
              <w:t xml:space="preserve"> </w:t>
            </w:r>
            <w:r w:rsidRPr="00B70D58">
              <w:rPr>
                <w:rFonts w:cs="Arial"/>
                <w:szCs w:val="20"/>
              </w:rPr>
              <w:t>Continue to develop and enable data sharing at the state, regional and local levels, through ongoing consultation with QATSICPP and consistent with the strong data and information sharing elements contained in the National Agreement on Closing the Gap (clause 71).</w:t>
            </w:r>
          </w:p>
          <w:p w14:paraId="16864516" w14:textId="71F55124" w:rsidR="00C9302E" w:rsidRPr="00B70D58" w:rsidRDefault="00C9302E" w:rsidP="00C9302E">
            <w:pPr>
              <w:pStyle w:val="TableTextLeft"/>
              <w:rPr>
                <w:rFonts w:cs="Arial"/>
                <w:szCs w:val="20"/>
              </w:rPr>
            </w:pPr>
            <w:r w:rsidRPr="00B70D58">
              <w:rPr>
                <w:rFonts w:cs="Arial"/>
                <w:b/>
                <w:bCs/>
                <w:szCs w:val="20"/>
              </w:rPr>
              <w:t xml:space="preserve">D: </w:t>
            </w:r>
            <w:r w:rsidRPr="00B70D58">
              <w:rPr>
                <w:rFonts w:cs="Arial"/>
                <w:szCs w:val="20"/>
              </w:rPr>
              <w:t xml:space="preserve">Enhanced mechanisms and infrastructure developed through Unify to enable data sharing at the state, regional and local levels.  </w:t>
            </w:r>
          </w:p>
          <w:p w14:paraId="151C0A7A" w14:textId="00ED229B" w:rsidR="00C9302E" w:rsidRPr="00B70D58" w:rsidRDefault="00C9302E" w:rsidP="00C9302E">
            <w:pPr>
              <w:pStyle w:val="TableTextLeft"/>
              <w:rPr>
                <w:rFonts w:cs="Arial"/>
                <w:szCs w:val="20"/>
              </w:rPr>
            </w:pPr>
          </w:p>
          <w:p w14:paraId="0A682AE3" w14:textId="10D248C4" w:rsidR="00C9302E" w:rsidRPr="00B70D58" w:rsidRDefault="00C9302E" w:rsidP="00C9302E">
            <w:pPr>
              <w:pStyle w:val="TableTextLeft"/>
              <w:rPr>
                <w:rFonts w:cs="Arial"/>
                <w:szCs w:val="20"/>
              </w:rPr>
            </w:pPr>
            <w:r w:rsidRPr="00B70D58">
              <w:rPr>
                <w:rFonts w:cs="Arial"/>
                <w:b/>
                <w:bCs/>
                <w:szCs w:val="20"/>
              </w:rPr>
              <w:t xml:space="preserve">SI: </w:t>
            </w:r>
            <w:r w:rsidRPr="00B70D58">
              <w:rPr>
                <w:rFonts w:cs="Arial"/>
                <w:szCs w:val="20"/>
              </w:rPr>
              <w:t xml:space="preserve">National, State governments and </w:t>
            </w:r>
            <w:r w:rsidRPr="00B70D58">
              <w:rPr>
                <w:rFonts w:cs="Arial"/>
                <w:i/>
                <w:iCs/>
                <w:szCs w:val="20"/>
              </w:rPr>
              <w:t>Our Way</w:t>
            </w:r>
            <w:r w:rsidRPr="00B70D58">
              <w:rPr>
                <w:rFonts w:cs="Arial"/>
                <w:szCs w:val="20"/>
              </w:rPr>
              <w:t xml:space="preserve"> partners agreed definitions and approaches to data sovereignty under Priority Reform 4 Closing the gap.</w:t>
            </w:r>
          </w:p>
          <w:p w14:paraId="654ECB1C" w14:textId="5E89D03A" w:rsidR="00C9302E" w:rsidRPr="00B70D58" w:rsidRDefault="00C9302E" w:rsidP="00C9302E">
            <w:pPr>
              <w:pStyle w:val="TableTextLeft"/>
              <w:rPr>
                <w:rFonts w:cs="Arial"/>
                <w:szCs w:val="20"/>
              </w:rPr>
            </w:pPr>
            <w:r w:rsidRPr="00B70D58">
              <w:rPr>
                <w:rFonts w:cs="Arial"/>
                <w:b/>
                <w:bCs/>
                <w:szCs w:val="20"/>
              </w:rPr>
              <w:t xml:space="preserve">SI: </w:t>
            </w:r>
            <w:r w:rsidRPr="00B70D58">
              <w:rPr>
                <w:rFonts w:cs="Arial"/>
                <w:szCs w:val="20"/>
              </w:rPr>
              <w:t xml:space="preserve">Streamline information sharing </w:t>
            </w:r>
            <w:r w:rsidR="00DA18C6" w:rsidRPr="00B70D58">
              <w:rPr>
                <w:rFonts w:cs="Arial"/>
                <w:szCs w:val="20"/>
              </w:rPr>
              <w:t>between DCSSDS</w:t>
            </w:r>
            <w:r w:rsidRPr="00B70D58">
              <w:rPr>
                <w:rFonts w:cs="Arial"/>
                <w:szCs w:val="20"/>
              </w:rPr>
              <w:t xml:space="preserve"> and ATSICCO funded services.</w:t>
            </w:r>
          </w:p>
          <w:p w14:paraId="4CEE5394" w14:textId="4CC938AE" w:rsidR="00C9302E" w:rsidRPr="00B70D58" w:rsidRDefault="00C9302E" w:rsidP="00C9302E">
            <w:pPr>
              <w:pStyle w:val="TableTextLeft"/>
              <w:rPr>
                <w:rFonts w:cs="Arial"/>
                <w:szCs w:val="20"/>
              </w:rPr>
            </w:pPr>
            <w:r w:rsidRPr="00B70D58">
              <w:rPr>
                <w:rFonts w:cs="Arial"/>
                <w:b/>
                <w:bCs/>
                <w:szCs w:val="20"/>
              </w:rPr>
              <w:t xml:space="preserve">SI: </w:t>
            </w:r>
            <w:r w:rsidRPr="00B70D58">
              <w:rPr>
                <w:rFonts w:cs="Arial"/>
                <w:szCs w:val="20"/>
              </w:rPr>
              <w:t>Enhanced reporting in real-time on relevant information and outcomes for Aboriginal and Torres Strait Islander children and families.</w:t>
            </w:r>
          </w:p>
          <w:p w14:paraId="2262FC72" w14:textId="1C858A8A" w:rsidR="00C9302E" w:rsidRPr="00B70D58" w:rsidRDefault="00C9302E" w:rsidP="00C9302E">
            <w:pPr>
              <w:pStyle w:val="TableTextLeft"/>
              <w:rPr>
                <w:rFonts w:cs="Arial"/>
                <w:szCs w:val="20"/>
              </w:rPr>
            </w:pPr>
            <w:r w:rsidRPr="00B70D58">
              <w:rPr>
                <w:rFonts w:cs="Arial"/>
                <w:b/>
                <w:bCs/>
                <w:szCs w:val="20"/>
              </w:rPr>
              <w:t xml:space="preserve">SI: </w:t>
            </w:r>
            <w:r w:rsidRPr="00B70D58">
              <w:rPr>
                <w:rFonts w:cs="Arial"/>
                <w:szCs w:val="20"/>
              </w:rPr>
              <w:t>Delegated Authorities will have access to, and ability to input real time information through Unify – the core client and case management activities.</w:t>
            </w:r>
          </w:p>
          <w:p w14:paraId="66D565DD" w14:textId="0D39EB4D" w:rsidR="00C9302E" w:rsidRPr="00B70D58" w:rsidRDefault="00C9302E" w:rsidP="00C9302E">
            <w:pPr>
              <w:pStyle w:val="TableTextLeft"/>
              <w:rPr>
                <w:rFonts w:cs="Arial"/>
                <w:szCs w:val="20"/>
              </w:rPr>
            </w:pPr>
            <w:r w:rsidRPr="00B70D58">
              <w:rPr>
                <w:rFonts w:cs="Arial"/>
                <w:b/>
                <w:bCs/>
                <w:szCs w:val="20"/>
              </w:rPr>
              <w:t xml:space="preserve">SI: </w:t>
            </w:r>
            <w:r w:rsidRPr="00B70D58">
              <w:rPr>
                <w:rFonts w:cs="Arial"/>
                <w:szCs w:val="20"/>
              </w:rPr>
              <w:t>Data sharing and reporting with relevant agencies at all levels (National, State and Regional) including the sharing of real-time operational data, where agreed.</w:t>
            </w:r>
          </w:p>
          <w:p w14:paraId="58DE8FB4" w14:textId="2D0B2D76" w:rsidR="00C9302E" w:rsidRPr="00B70D58" w:rsidRDefault="00C9302E" w:rsidP="00C9302E">
            <w:pPr>
              <w:pStyle w:val="TableTextLeft"/>
              <w:rPr>
                <w:rFonts w:cs="Arial"/>
                <w:szCs w:val="20"/>
              </w:rPr>
            </w:pPr>
            <w:r w:rsidRPr="00B70D58">
              <w:rPr>
                <w:rFonts w:cs="Arial"/>
                <w:b/>
                <w:bCs/>
                <w:szCs w:val="20"/>
              </w:rPr>
              <w:t>SI:</w:t>
            </w:r>
            <w:r w:rsidRPr="00B70D58">
              <w:rPr>
                <w:rFonts w:cs="Arial"/>
                <w:szCs w:val="20"/>
              </w:rPr>
              <w:t xml:space="preserve">  Examples of use of data to inform shared decision</w:t>
            </w:r>
            <w:r w:rsidR="00487CA6" w:rsidRPr="00B70D58">
              <w:rPr>
                <w:rFonts w:cs="Arial"/>
                <w:szCs w:val="20"/>
              </w:rPr>
              <w:t>-</w:t>
            </w:r>
            <w:r w:rsidRPr="00B70D58">
              <w:rPr>
                <w:rFonts w:cs="Arial"/>
                <w:szCs w:val="20"/>
              </w:rPr>
              <w:t>making for the benefit of Aboriginal and Torres Strait Islander peoples.</w:t>
            </w:r>
          </w:p>
          <w:p w14:paraId="167F65B6" w14:textId="2B01F5DF" w:rsidR="00C9302E" w:rsidRPr="00B70D58" w:rsidRDefault="00C9302E" w:rsidP="00C9302E">
            <w:pPr>
              <w:pStyle w:val="TableTextLeft"/>
              <w:rPr>
                <w:rFonts w:cs="Arial"/>
                <w:szCs w:val="20"/>
              </w:rPr>
            </w:pPr>
            <w:r w:rsidRPr="00B70D58">
              <w:rPr>
                <w:rFonts w:cs="Arial"/>
                <w:b/>
                <w:bCs/>
                <w:szCs w:val="20"/>
              </w:rPr>
              <w:t>SI:</w:t>
            </w:r>
            <w:r w:rsidRPr="00B70D58">
              <w:rPr>
                <w:rFonts w:cs="Arial"/>
                <w:szCs w:val="20"/>
              </w:rPr>
              <w:t xml:space="preserve"> ATSICCOs report that data is provided in a timely manner to support them to use and interpret data for local decision</w:t>
            </w:r>
            <w:r w:rsidR="00487CA6" w:rsidRPr="00B70D58">
              <w:rPr>
                <w:rFonts w:cs="Arial"/>
                <w:szCs w:val="20"/>
              </w:rPr>
              <w:t>-</w:t>
            </w:r>
            <w:r w:rsidRPr="00B70D58">
              <w:rPr>
                <w:rFonts w:cs="Arial"/>
                <w:szCs w:val="20"/>
              </w:rPr>
              <w:t xml:space="preserve">making. </w:t>
            </w:r>
          </w:p>
          <w:p w14:paraId="59609D10" w14:textId="357B602A" w:rsidR="00C9302E" w:rsidRPr="00B70D58" w:rsidRDefault="00C9302E" w:rsidP="00C9302E">
            <w:pPr>
              <w:pStyle w:val="TableTextLeft"/>
              <w:rPr>
                <w:rFonts w:cs="Arial"/>
                <w:szCs w:val="20"/>
              </w:rPr>
            </w:pPr>
            <w:r w:rsidRPr="00B70D58">
              <w:rPr>
                <w:rFonts w:cs="Arial"/>
                <w:b/>
                <w:bCs/>
                <w:szCs w:val="20"/>
              </w:rPr>
              <w:t xml:space="preserve">SI:  </w:t>
            </w:r>
            <w:r w:rsidRPr="00B70D58">
              <w:rPr>
                <w:rFonts w:cs="Arial"/>
                <w:szCs w:val="20"/>
              </w:rPr>
              <w:t>Development of data sharing agreements between Queensland government agencies and ATSICCOs.</w:t>
            </w:r>
          </w:p>
        </w:tc>
        <w:tc>
          <w:tcPr>
            <w:tcW w:w="3118" w:type="dxa"/>
          </w:tcPr>
          <w:p w14:paraId="013B3CC0" w14:textId="71FEBF19" w:rsidR="00C9302E" w:rsidRPr="00B70D58" w:rsidRDefault="00C9302E" w:rsidP="00C9302E">
            <w:pPr>
              <w:pStyle w:val="TableTextLeft"/>
              <w:rPr>
                <w:rFonts w:cs="Arial"/>
                <w:szCs w:val="20"/>
              </w:rPr>
            </w:pPr>
            <w:r w:rsidRPr="00B70D58">
              <w:rPr>
                <w:rFonts w:cs="Arial"/>
                <w:b/>
                <w:bCs/>
                <w:szCs w:val="20"/>
              </w:rPr>
              <w:lastRenderedPageBreak/>
              <w:t>O:</w:t>
            </w:r>
            <w:r w:rsidRPr="00B70D58">
              <w:rPr>
                <w:rFonts w:cs="Arial"/>
                <w:szCs w:val="20"/>
              </w:rPr>
              <w:t xml:space="preserve">  The ATSICCO sector is supported to strengthen its capacity and capability to deliver high quality services to Aboriginal and Torres Strait Islander communities.</w:t>
            </w:r>
          </w:p>
          <w:p w14:paraId="30DC164B" w14:textId="7F469671" w:rsidR="00C9302E" w:rsidRPr="00B70D58" w:rsidRDefault="00C9302E" w:rsidP="00C9302E">
            <w:pPr>
              <w:pStyle w:val="TableTextLeft"/>
              <w:rPr>
                <w:rFonts w:cs="Arial"/>
                <w:szCs w:val="20"/>
              </w:rPr>
            </w:pPr>
            <w:r w:rsidRPr="00B70D58">
              <w:rPr>
                <w:rFonts w:cs="Arial"/>
                <w:b/>
                <w:bCs/>
                <w:szCs w:val="20"/>
              </w:rPr>
              <w:t>O:</w:t>
            </w:r>
            <w:r w:rsidRPr="00B70D58">
              <w:rPr>
                <w:rFonts w:cs="Arial"/>
                <w:szCs w:val="20"/>
              </w:rPr>
              <w:t xml:space="preserve">  The ATSICCO sector has access to data and information on their community.</w:t>
            </w:r>
          </w:p>
          <w:p w14:paraId="3F49A443" w14:textId="5A6C5603" w:rsidR="00C9302E" w:rsidRPr="00B70D58" w:rsidRDefault="00C9302E" w:rsidP="00C9302E">
            <w:pPr>
              <w:pStyle w:val="TableTextLeft"/>
              <w:rPr>
                <w:rFonts w:cs="Arial"/>
                <w:szCs w:val="20"/>
              </w:rPr>
            </w:pPr>
            <w:r w:rsidRPr="00B70D58">
              <w:rPr>
                <w:rFonts w:cs="Arial"/>
                <w:b/>
                <w:bCs/>
                <w:szCs w:val="20"/>
              </w:rPr>
              <w:t>O:</w:t>
            </w:r>
            <w:r w:rsidRPr="00B70D58">
              <w:rPr>
                <w:rFonts w:cs="Arial"/>
                <w:szCs w:val="20"/>
              </w:rPr>
              <w:t xml:space="preserve">  Strengthened accountability mechanisms at all levels to ensure the service needs of Aboriginal and Torres Strait Islander peoples are met.</w:t>
            </w:r>
          </w:p>
          <w:p w14:paraId="6A765889" w14:textId="107B145D" w:rsidR="00C9302E" w:rsidRPr="00B70D58" w:rsidRDefault="00C9302E" w:rsidP="00C9302E">
            <w:pPr>
              <w:pStyle w:val="TableTextLeft"/>
              <w:rPr>
                <w:rFonts w:cs="Arial"/>
                <w:szCs w:val="20"/>
              </w:rPr>
            </w:pPr>
            <w:r w:rsidRPr="00B70D58">
              <w:rPr>
                <w:rFonts w:cs="Arial"/>
                <w:b/>
                <w:bCs/>
                <w:szCs w:val="20"/>
              </w:rPr>
              <w:t>O:</w:t>
            </w:r>
            <w:r w:rsidRPr="00B70D58">
              <w:rPr>
                <w:rFonts w:cs="Arial"/>
                <w:szCs w:val="20"/>
              </w:rPr>
              <w:t xml:space="preserve">  All government agencies and service providers commit to genuine co-design processes and work in true partnerships with the community and ATSICCOs.</w:t>
            </w:r>
          </w:p>
        </w:tc>
        <w:tc>
          <w:tcPr>
            <w:tcW w:w="3685" w:type="dxa"/>
          </w:tcPr>
          <w:p w14:paraId="18D6912A" w14:textId="59117E4A" w:rsidR="00C9302E" w:rsidRPr="00B70D58" w:rsidRDefault="00C9302E" w:rsidP="00C9302E">
            <w:pPr>
              <w:pStyle w:val="TableTextLeft"/>
              <w:rPr>
                <w:rFonts w:cs="Arial"/>
                <w:szCs w:val="20"/>
              </w:rPr>
            </w:pPr>
            <w:r w:rsidRPr="00B70D58">
              <w:rPr>
                <w:rFonts w:cs="Arial"/>
                <w:szCs w:val="20"/>
              </w:rPr>
              <w:t xml:space="preserve">The independent </w:t>
            </w:r>
            <w:r w:rsidRPr="00B70D58">
              <w:rPr>
                <w:rFonts w:cs="Arial"/>
                <w:i/>
                <w:iCs/>
                <w:szCs w:val="20"/>
              </w:rPr>
              <w:t>Our Way</w:t>
            </w:r>
            <w:r w:rsidRPr="00B70D58">
              <w:rPr>
                <w:rFonts w:cs="Arial"/>
                <w:szCs w:val="20"/>
              </w:rPr>
              <w:t xml:space="preserve"> evaluation and successive Family Matters reports noted serious concerns about the quality of data collection and critical data gaps. Timely access to locally relevant and meaningful data is essential to enable informed decision</w:t>
            </w:r>
            <w:r w:rsidR="00487CA6" w:rsidRPr="00B70D58">
              <w:rPr>
                <w:rFonts w:cs="Arial"/>
                <w:szCs w:val="20"/>
              </w:rPr>
              <w:t>-</w:t>
            </w:r>
            <w:r w:rsidRPr="00B70D58">
              <w:rPr>
                <w:rFonts w:cs="Arial"/>
                <w:szCs w:val="20"/>
              </w:rPr>
              <w:t>making, monitor and assess the impact of efforts, and track progress towards targets.</w:t>
            </w:r>
          </w:p>
          <w:p w14:paraId="799E121B" w14:textId="77777777" w:rsidR="00C9302E" w:rsidRPr="00B70D58" w:rsidRDefault="00C9302E" w:rsidP="00C9302E">
            <w:pPr>
              <w:pStyle w:val="TableTextLeft"/>
              <w:rPr>
                <w:rFonts w:cs="Arial"/>
                <w:szCs w:val="20"/>
              </w:rPr>
            </w:pPr>
          </w:p>
          <w:p w14:paraId="160552DB" w14:textId="5C245A03" w:rsidR="00C9302E" w:rsidRPr="00B70D58" w:rsidRDefault="00C9302E" w:rsidP="00C9302E">
            <w:pPr>
              <w:pStyle w:val="TableTextLeft"/>
              <w:rPr>
                <w:rFonts w:cs="Arial"/>
                <w:szCs w:val="20"/>
              </w:rPr>
            </w:pPr>
            <w:r w:rsidRPr="00B70D58">
              <w:rPr>
                <w:rFonts w:cs="Arial"/>
                <w:szCs w:val="20"/>
              </w:rPr>
              <w:t xml:space="preserve">A comprehensive data strategy would improve data design, collection, interpretation, use and ownership, including actions to better monitor compliance with the ATSICPP, in line with principles of Indigenous data sovereignty. </w:t>
            </w:r>
          </w:p>
          <w:p w14:paraId="18134FE7" w14:textId="77777777" w:rsidR="00C9302E" w:rsidRPr="00B70D58" w:rsidRDefault="00C9302E" w:rsidP="00C9302E">
            <w:pPr>
              <w:pStyle w:val="TableTextLeft"/>
              <w:rPr>
                <w:rFonts w:cs="Arial"/>
                <w:szCs w:val="20"/>
              </w:rPr>
            </w:pPr>
          </w:p>
          <w:p w14:paraId="7F679427" w14:textId="4029A107" w:rsidR="00C9302E" w:rsidRPr="00B70D58" w:rsidRDefault="00C9302E" w:rsidP="00C9302E">
            <w:pPr>
              <w:pStyle w:val="TableTextLeft"/>
              <w:rPr>
                <w:rFonts w:cs="Arial"/>
                <w:szCs w:val="20"/>
              </w:rPr>
            </w:pPr>
            <w:r w:rsidRPr="00B70D58">
              <w:rPr>
                <w:rFonts w:cs="Arial"/>
                <w:szCs w:val="20"/>
              </w:rPr>
              <w:t xml:space="preserve">This action aligns with Recommendation 14 of the Family Matters Report 2022. </w:t>
            </w:r>
          </w:p>
          <w:p w14:paraId="1E076340" w14:textId="77777777" w:rsidR="00C9302E" w:rsidRPr="00B70D58" w:rsidRDefault="00C9302E" w:rsidP="00C9302E">
            <w:pPr>
              <w:pStyle w:val="TableTextLeft"/>
              <w:rPr>
                <w:rFonts w:cs="Arial"/>
                <w:szCs w:val="20"/>
              </w:rPr>
            </w:pPr>
          </w:p>
          <w:p w14:paraId="592F64EC" w14:textId="37ED19E6" w:rsidR="00C9302E" w:rsidRPr="00B70D58" w:rsidRDefault="00C9302E" w:rsidP="00C9302E">
            <w:pPr>
              <w:pStyle w:val="TableTextLeft"/>
              <w:rPr>
                <w:rFonts w:cs="Arial"/>
                <w:szCs w:val="20"/>
              </w:rPr>
            </w:pPr>
            <w:r w:rsidRPr="00B70D58">
              <w:rPr>
                <w:rFonts w:cs="Arial"/>
                <w:szCs w:val="20"/>
              </w:rPr>
              <w:lastRenderedPageBreak/>
              <w:t>The approach be consistent with the strong data and information sharing elements contained in the National Agreement on Closing the Gap (clause 71) and the Australian Government agreed definition and approach to data sovereignty being developed under Priority Reform 4 of Closing the Gap.</w:t>
            </w:r>
          </w:p>
        </w:tc>
        <w:tc>
          <w:tcPr>
            <w:tcW w:w="1627" w:type="dxa"/>
          </w:tcPr>
          <w:p w14:paraId="4012AEFB" w14:textId="45795CF9" w:rsidR="00C9302E" w:rsidRPr="00E07195" w:rsidRDefault="00C9302E" w:rsidP="00C9302E">
            <w:pPr>
              <w:pStyle w:val="TableTextLeft"/>
              <w:rPr>
                <w:rFonts w:cs="Arial"/>
                <w:szCs w:val="20"/>
              </w:rPr>
            </w:pPr>
            <w:r w:rsidRPr="00E07195">
              <w:rPr>
                <w:rFonts w:cs="Arial"/>
                <w:noProof/>
                <w:szCs w:val="20"/>
              </w:rPr>
              <w:lastRenderedPageBreak/>
              <w:drawing>
                <wp:inline distT="0" distB="0" distL="0" distR="0" wp14:anchorId="5BF09E9D" wp14:editId="4A5737CD">
                  <wp:extent cx="355600" cy="351929"/>
                  <wp:effectExtent l="0" t="0" r="6350" b="0"/>
                  <wp:docPr id="58" name="Picture 58" descr="Building block four - Governments and services are accountable to Aboriginal and Torres Strait Islander peoples &#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Building block four - Governments and services are accountable to Aboriginal and Torres Strait Islander peoples &#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7636" cy="363841"/>
                          </a:xfrm>
                          <a:prstGeom prst="rect">
                            <a:avLst/>
                          </a:prstGeom>
                        </pic:spPr>
                      </pic:pic>
                    </a:graphicData>
                  </a:graphic>
                </wp:inline>
              </w:drawing>
            </w:r>
          </w:p>
        </w:tc>
        <w:tc>
          <w:tcPr>
            <w:tcW w:w="1197" w:type="dxa"/>
          </w:tcPr>
          <w:p w14:paraId="6B058F9A" w14:textId="26552F07" w:rsidR="00C9302E" w:rsidRPr="00453A57" w:rsidRDefault="00C9302E" w:rsidP="00453A57">
            <w:pPr>
              <w:pStyle w:val="TableTextLeft"/>
              <w:jc w:val="center"/>
              <w:rPr>
                <w:rFonts w:cs="Arial"/>
                <w:b/>
                <w:bCs/>
                <w:sz w:val="32"/>
                <w:szCs w:val="32"/>
              </w:rPr>
            </w:pPr>
            <w:r w:rsidRPr="00453A57">
              <w:rPr>
                <w:rFonts w:cs="Arial"/>
                <w:b/>
                <w:bCs/>
                <w:sz w:val="32"/>
                <w:szCs w:val="32"/>
                <w:shd w:val="clear" w:color="auto" w:fill="FFFFFF"/>
              </w:rPr>
              <w:t>4</w:t>
            </w:r>
          </w:p>
        </w:tc>
        <w:tc>
          <w:tcPr>
            <w:tcW w:w="1260" w:type="dxa"/>
          </w:tcPr>
          <w:p w14:paraId="27415FA0" w14:textId="6E651533" w:rsidR="00C9302E" w:rsidRPr="00453A57" w:rsidRDefault="00C9302E" w:rsidP="00453A57">
            <w:pPr>
              <w:pStyle w:val="TableTextLeft"/>
              <w:jc w:val="center"/>
              <w:rPr>
                <w:rFonts w:cs="Arial"/>
                <w:b/>
                <w:bCs/>
                <w:sz w:val="32"/>
                <w:szCs w:val="32"/>
              </w:rPr>
            </w:pPr>
            <w:r w:rsidRPr="00453A57">
              <w:rPr>
                <w:rFonts w:cs="Arial"/>
                <w:b/>
                <w:bCs/>
                <w:sz w:val="32"/>
                <w:szCs w:val="32"/>
              </w:rPr>
              <w:t>3</w:t>
            </w:r>
          </w:p>
        </w:tc>
      </w:tr>
      <w:bookmarkEnd w:id="8"/>
      <w:tr w:rsidR="00C9302E" w:rsidRPr="00E07195" w14:paraId="277ECC81" w14:textId="72042FCE" w:rsidTr="25F521CE">
        <w:trPr>
          <w:trHeight w:val="300"/>
        </w:trPr>
        <w:tc>
          <w:tcPr>
            <w:tcW w:w="1847" w:type="dxa"/>
            <w:vMerge/>
          </w:tcPr>
          <w:p w14:paraId="3725D000" w14:textId="77777777" w:rsidR="00C9302E" w:rsidRPr="00E07195" w:rsidRDefault="00C9302E" w:rsidP="00C9302E">
            <w:pPr>
              <w:pStyle w:val="TableHeadingLeft"/>
              <w:rPr>
                <w:rFonts w:cs="Arial"/>
                <w:szCs w:val="20"/>
              </w:rPr>
            </w:pPr>
          </w:p>
        </w:tc>
        <w:tc>
          <w:tcPr>
            <w:tcW w:w="1928" w:type="dxa"/>
          </w:tcPr>
          <w:p w14:paraId="2136B011" w14:textId="7318745F" w:rsidR="00C9302E" w:rsidRPr="00B70D58" w:rsidRDefault="00C9302E" w:rsidP="00C9302E">
            <w:pPr>
              <w:pStyle w:val="TableTextLeft"/>
              <w:rPr>
                <w:rFonts w:cs="Arial"/>
                <w:b/>
                <w:bCs/>
                <w:szCs w:val="20"/>
              </w:rPr>
            </w:pPr>
            <w:r w:rsidRPr="00B70D58">
              <w:rPr>
                <w:rFonts w:cs="Arial"/>
                <w:b/>
                <w:bCs/>
                <w:szCs w:val="20"/>
              </w:rPr>
              <w:t>QATSICPP</w:t>
            </w:r>
          </w:p>
          <w:p w14:paraId="0C354A64" w14:textId="77777777" w:rsidR="00C9302E" w:rsidRPr="00B70D58" w:rsidRDefault="00C9302E" w:rsidP="00C9302E">
            <w:pPr>
              <w:pStyle w:val="TableTextLeft"/>
              <w:rPr>
                <w:rFonts w:cs="Arial"/>
                <w:szCs w:val="20"/>
              </w:rPr>
            </w:pPr>
          </w:p>
          <w:p w14:paraId="40A964AB" w14:textId="6BCB58BE" w:rsidR="00C9302E" w:rsidRPr="00B70D58" w:rsidRDefault="00C9302E" w:rsidP="00C9302E">
            <w:pPr>
              <w:pStyle w:val="TableTextLeft"/>
              <w:rPr>
                <w:rFonts w:cs="Arial"/>
                <w:szCs w:val="20"/>
              </w:rPr>
            </w:pPr>
            <w:r w:rsidRPr="00B70D58">
              <w:rPr>
                <w:rFonts w:cs="Arial"/>
                <w:szCs w:val="20"/>
              </w:rPr>
              <w:t xml:space="preserve">DCSSDS </w:t>
            </w:r>
          </w:p>
        </w:tc>
        <w:tc>
          <w:tcPr>
            <w:tcW w:w="3061" w:type="dxa"/>
          </w:tcPr>
          <w:p w14:paraId="21F882CB" w14:textId="2543CD2E" w:rsidR="00C9302E" w:rsidRPr="00B70D58" w:rsidRDefault="00C9302E" w:rsidP="00C9302E">
            <w:pPr>
              <w:pStyle w:val="TableTextLeft"/>
              <w:rPr>
                <w:rFonts w:cs="Arial"/>
                <w:szCs w:val="20"/>
              </w:rPr>
            </w:pPr>
            <w:r w:rsidRPr="00B70D58">
              <w:rPr>
                <w:rFonts w:cs="Arial"/>
                <w:b/>
                <w:bCs/>
                <w:szCs w:val="20"/>
              </w:rPr>
              <w:t xml:space="preserve">8.6  </w:t>
            </w:r>
            <w:r w:rsidR="00087F3C" w:rsidRPr="00B70D58">
              <w:rPr>
                <w:rFonts w:cs="Arial"/>
                <w:szCs w:val="20"/>
              </w:rPr>
              <w:t xml:space="preserve"> Continue to support the QATSICPP Centre of Excellence (COE) to ensure Aboriginal and Torres Strait Islander evidence is at the forefront of driving change in the Queensland child protection system and to ensure culturally strong evidence is utilised in delivering outcomes for Aboriginal and Torres Strait Islander children and families.</w:t>
            </w:r>
          </w:p>
          <w:p w14:paraId="3A2F373A" w14:textId="77777777" w:rsidR="00C9302E" w:rsidRPr="00B70D58" w:rsidRDefault="00C9302E" w:rsidP="00C9302E">
            <w:pPr>
              <w:pStyle w:val="TableTextLeft"/>
              <w:rPr>
                <w:rFonts w:cs="Arial"/>
                <w:b/>
                <w:bCs/>
                <w:szCs w:val="20"/>
              </w:rPr>
            </w:pPr>
          </w:p>
          <w:p w14:paraId="3D87D7B4" w14:textId="5C507A25" w:rsidR="00C9302E" w:rsidRPr="00B70D58" w:rsidRDefault="00C9302E" w:rsidP="00C9302E">
            <w:pPr>
              <w:pStyle w:val="TableTextLeft"/>
              <w:rPr>
                <w:rFonts w:cs="Arial"/>
                <w:b/>
                <w:bCs/>
                <w:szCs w:val="20"/>
              </w:rPr>
            </w:pPr>
            <w:r w:rsidRPr="00B70D58">
              <w:rPr>
                <w:rFonts w:cs="Arial"/>
                <w:b/>
                <w:bCs/>
                <w:szCs w:val="20"/>
              </w:rPr>
              <w:t xml:space="preserve">Timing:  </w:t>
            </w:r>
            <w:r w:rsidRPr="00B70D58">
              <w:rPr>
                <w:rFonts w:cs="Arial"/>
                <w:szCs w:val="20"/>
              </w:rPr>
              <w:t>Years 1 to 3 (2023</w:t>
            </w:r>
            <w:r w:rsidR="00D74699" w:rsidRPr="00B70D58">
              <w:rPr>
                <w:rFonts w:eastAsia="Calibri" w:cs="Arial"/>
                <w:szCs w:val="20"/>
              </w:rPr>
              <w:t>–</w:t>
            </w:r>
            <w:r w:rsidRPr="00B70D58">
              <w:rPr>
                <w:rFonts w:cs="Arial"/>
                <w:szCs w:val="20"/>
              </w:rPr>
              <w:t>2025)</w:t>
            </w:r>
          </w:p>
        </w:tc>
        <w:tc>
          <w:tcPr>
            <w:tcW w:w="3685" w:type="dxa"/>
          </w:tcPr>
          <w:p w14:paraId="28AC8FD2" w14:textId="546F71A1" w:rsidR="00C9302E" w:rsidRPr="00B70D58" w:rsidRDefault="00C9302E" w:rsidP="00C9302E">
            <w:pPr>
              <w:pStyle w:val="TableTextLeft"/>
              <w:rPr>
                <w:rFonts w:cs="Arial"/>
                <w:szCs w:val="20"/>
              </w:rPr>
            </w:pPr>
            <w:r w:rsidRPr="00B70D58">
              <w:rPr>
                <w:rFonts w:cs="Arial"/>
                <w:b/>
                <w:bCs/>
                <w:szCs w:val="20"/>
              </w:rPr>
              <w:t>D:</w:t>
            </w:r>
            <w:r w:rsidRPr="00B70D58">
              <w:rPr>
                <w:rFonts w:cs="Arial"/>
                <w:szCs w:val="20"/>
              </w:rPr>
              <w:t xml:space="preserve">  Opportunities for increased partnership and investment in the COE are explored </w:t>
            </w:r>
            <w:r w:rsidR="00DA18C6" w:rsidRPr="00B70D58">
              <w:rPr>
                <w:rFonts w:cs="Arial"/>
                <w:szCs w:val="20"/>
              </w:rPr>
              <w:t>by DCSSDS</w:t>
            </w:r>
            <w:r w:rsidRPr="00B70D58">
              <w:rPr>
                <w:rFonts w:cs="Arial"/>
                <w:szCs w:val="20"/>
              </w:rPr>
              <w:t xml:space="preserve"> to ensure ATSICCOs are enabled to develop and define their own evidence base.</w:t>
            </w:r>
          </w:p>
          <w:p w14:paraId="56E3CF3A" w14:textId="571FA473" w:rsidR="00C9302E" w:rsidRPr="00B70D58" w:rsidRDefault="00C9302E" w:rsidP="00C9302E">
            <w:pPr>
              <w:pStyle w:val="TableTextLeft"/>
              <w:rPr>
                <w:rFonts w:cs="Arial"/>
                <w:szCs w:val="20"/>
              </w:rPr>
            </w:pPr>
            <w:r w:rsidRPr="00B70D58">
              <w:rPr>
                <w:rFonts w:cs="Arial"/>
                <w:b/>
                <w:bCs/>
                <w:szCs w:val="20"/>
              </w:rPr>
              <w:t>D:</w:t>
            </w:r>
            <w:r w:rsidRPr="00B70D58">
              <w:rPr>
                <w:rFonts w:cs="Arial"/>
                <w:szCs w:val="20"/>
              </w:rPr>
              <w:t xml:space="preserve">  Evidence-based research and frameworks produced by the COE form the basis for increased investment and development of new programs and services by the Queensland Government to support Aboriginal and Torres Strait Islander children and families.</w:t>
            </w:r>
          </w:p>
          <w:p w14:paraId="36F98EF5" w14:textId="77777777" w:rsidR="00C9302E" w:rsidRPr="00B70D58" w:rsidRDefault="00C9302E" w:rsidP="00C9302E">
            <w:pPr>
              <w:pStyle w:val="TableTextLeft"/>
              <w:rPr>
                <w:rFonts w:cs="Arial"/>
                <w:szCs w:val="20"/>
              </w:rPr>
            </w:pPr>
          </w:p>
          <w:p w14:paraId="648F4120" w14:textId="1ED9466A" w:rsidR="00C9302E" w:rsidRPr="00B70D58" w:rsidRDefault="00C9302E" w:rsidP="00C9302E">
            <w:pPr>
              <w:pStyle w:val="TableTextLeft"/>
              <w:rPr>
                <w:rFonts w:cs="Arial"/>
                <w:szCs w:val="20"/>
              </w:rPr>
            </w:pPr>
            <w:r w:rsidRPr="00B70D58">
              <w:rPr>
                <w:rFonts w:cs="Arial"/>
                <w:b/>
                <w:bCs/>
                <w:szCs w:val="20"/>
              </w:rPr>
              <w:t>SI:</w:t>
            </w:r>
            <w:r w:rsidRPr="00B70D58">
              <w:rPr>
                <w:rFonts w:cs="Arial"/>
                <w:szCs w:val="20"/>
              </w:rPr>
              <w:t xml:space="preserve">  Investment by Queensland Government in the COE to support </w:t>
            </w:r>
            <w:r w:rsidRPr="00B70D58">
              <w:rPr>
                <w:rFonts w:cs="Arial"/>
                <w:szCs w:val="20"/>
              </w:rPr>
              <w:lastRenderedPageBreak/>
              <w:t>ATSICCOs to lead and determine their own research and evidence collection.</w:t>
            </w:r>
          </w:p>
          <w:p w14:paraId="1F6AD73B" w14:textId="5BB1EEDA" w:rsidR="00C9302E" w:rsidRPr="00B70D58" w:rsidRDefault="00C9302E" w:rsidP="00C9302E">
            <w:pPr>
              <w:pStyle w:val="TableTextLeft"/>
              <w:rPr>
                <w:rFonts w:cs="Arial"/>
                <w:szCs w:val="20"/>
              </w:rPr>
            </w:pPr>
            <w:r w:rsidRPr="00B70D58">
              <w:rPr>
                <w:rFonts w:cs="Arial"/>
                <w:b/>
                <w:bCs/>
                <w:szCs w:val="20"/>
              </w:rPr>
              <w:t>SI:</w:t>
            </w:r>
            <w:r w:rsidRPr="00B70D58">
              <w:rPr>
                <w:rFonts w:cs="Arial"/>
                <w:szCs w:val="20"/>
              </w:rPr>
              <w:t xml:space="preserve">  Examples of COE knowledge and evidence used to inform </w:t>
            </w:r>
            <w:r w:rsidR="00DA18C6" w:rsidRPr="00B70D58">
              <w:rPr>
                <w:rFonts w:cs="Arial"/>
                <w:szCs w:val="20"/>
              </w:rPr>
              <w:t>decision-making,</w:t>
            </w:r>
            <w:r w:rsidRPr="00B70D58">
              <w:rPr>
                <w:rFonts w:cs="Arial"/>
                <w:szCs w:val="20"/>
              </w:rPr>
              <w:t xml:space="preserve"> and systems change.</w:t>
            </w:r>
          </w:p>
        </w:tc>
        <w:tc>
          <w:tcPr>
            <w:tcW w:w="3118" w:type="dxa"/>
          </w:tcPr>
          <w:p w14:paraId="739EC9D1" w14:textId="240913BF" w:rsidR="00C9302E" w:rsidRPr="00B70D58" w:rsidRDefault="00C9302E" w:rsidP="00C9302E">
            <w:pPr>
              <w:pStyle w:val="TableTextLeft"/>
              <w:rPr>
                <w:rFonts w:cs="Arial"/>
                <w:szCs w:val="20"/>
              </w:rPr>
            </w:pPr>
            <w:r w:rsidRPr="00B70D58">
              <w:rPr>
                <w:rFonts w:cs="Arial"/>
                <w:b/>
                <w:bCs/>
                <w:szCs w:val="20"/>
              </w:rPr>
              <w:lastRenderedPageBreak/>
              <w:t>O:</w:t>
            </w:r>
            <w:r w:rsidRPr="00B70D58">
              <w:rPr>
                <w:rFonts w:cs="Arial"/>
                <w:szCs w:val="20"/>
              </w:rPr>
              <w:t xml:space="preserve">  The ATSICCO sector is supported to strengthen its capacity and capability to deliver high quality services to Aboriginal and Torres Strait Islander communities.</w:t>
            </w:r>
          </w:p>
          <w:p w14:paraId="60CFA6CF" w14:textId="4669C61F" w:rsidR="00C9302E" w:rsidRPr="00B70D58" w:rsidRDefault="00C9302E" w:rsidP="00C9302E">
            <w:pPr>
              <w:pStyle w:val="TableTextLeft"/>
              <w:rPr>
                <w:rFonts w:cs="Arial"/>
                <w:szCs w:val="20"/>
              </w:rPr>
            </w:pPr>
            <w:r w:rsidRPr="00B70D58">
              <w:rPr>
                <w:rFonts w:cs="Arial"/>
                <w:b/>
                <w:bCs/>
                <w:szCs w:val="20"/>
              </w:rPr>
              <w:t>O:</w:t>
            </w:r>
            <w:r w:rsidRPr="00B70D58">
              <w:rPr>
                <w:rFonts w:cs="Arial"/>
                <w:szCs w:val="20"/>
              </w:rPr>
              <w:t xml:space="preserve">  The ATSICCO sector has access to data and information on their community.</w:t>
            </w:r>
          </w:p>
        </w:tc>
        <w:tc>
          <w:tcPr>
            <w:tcW w:w="3685" w:type="dxa"/>
          </w:tcPr>
          <w:p w14:paraId="33A4E0E8" w14:textId="7646F26F" w:rsidR="00C9302E" w:rsidRPr="00B70D58" w:rsidRDefault="00C9302E" w:rsidP="00C9302E">
            <w:pPr>
              <w:pStyle w:val="TableTextLeft"/>
              <w:rPr>
                <w:rFonts w:cs="Arial"/>
                <w:szCs w:val="20"/>
              </w:rPr>
            </w:pPr>
            <w:r w:rsidRPr="00B70D58">
              <w:rPr>
                <w:rFonts w:cs="Arial"/>
                <w:szCs w:val="20"/>
              </w:rPr>
              <w:t xml:space="preserve">The establishment of the QATSICPP COE was a key achievement of the Changing Tracks phase. </w:t>
            </w:r>
          </w:p>
          <w:p w14:paraId="1ACF91A0" w14:textId="77777777" w:rsidR="00C9302E" w:rsidRPr="00B70D58" w:rsidRDefault="00C9302E" w:rsidP="00C9302E">
            <w:pPr>
              <w:pStyle w:val="TableTextLeft"/>
              <w:rPr>
                <w:rFonts w:cs="Arial"/>
                <w:szCs w:val="20"/>
              </w:rPr>
            </w:pPr>
          </w:p>
          <w:p w14:paraId="3EE28995" w14:textId="28125FFF" w:rsidR="00C9302E" w:rsidRPr="00B70D58" w:rsidRDefault="00C9302E" w:rsidP="00C9302E">
            <w:pPr>
              <w:pStyle w:val="TableTextLeft"/>
              <w:rPr>
                <w:rFonts w:cs="Arial"/>
                <w:szCs w:val="20"/>
              </w:rPr>
            </w:pPr>
            <w:r w:rsidRPr="00B70D58">
              <w:rPr>
                <w:rFonts w:cs="Arial"/>
                <w:szCs w:val="20"/>
              </w:rPr>
              <w:t xml:space="preserve">Aboriginal and Torres Strait Islander led research is critical to create an evidence base that reflects Aboriginal and Torres Strait Islander knowledge, </w:t>
            </w:r>
            <w:proofErr w:type="gramStart"/>
            <w:r w:rsidRPr="00B70D58">
              <w:rPr>
                <w:rFonts w:cs="Arial"/>
                <w:szCs w:val="20"/>
              </w:rPr>
              <w:t>expertise</w:t>
            </w:r>
            <w:proofErr w:type="gramEnd"/>
            <w:r w:rsidRPr="00B70D58">
              <w:rPr>
                <w:rFonts w:cs="Arial"/>
                <w:szCs w:val="20"/>
              </w:rPr>
              <w:t xml:space="preserve"> and worldviews. </w:t>
            </w:r>
          </w:p>
          <w:p w14:paraId="63F98E4E" w14:textId="77777777" w:rsidR="00C9302E" w:rsidRPr="00B70D58" w:rsidRDefault="00C9302E" w:rsidP="00C9302E">
            <w:pPr>
              <w:pStyle w:val="TableTextLeft"/>
              <w:rPr>
                <w:rFonts w:cs="Arial"/>
                <w:szCs w:val="20"/>
              </w:rPr>
            </w:pPr>
          </w:p>
          <w:p w14:paraId="0061B6C3" w14:textId="2E96748C" w:rsidR="00C9302E" w:rsidRPr="00B70D58" w:rsidRDefault="00C9302E" w:rsidP="00C9302E">
            <w:pPr>
              <w:pStyle w:val="TableTextLeft"/>
              <w:rPr>
                <w:rFonts w:cs="Arial"/>
                <w:szCs w:val="20"/>
              </w:rPr>
            </w:pPr>
            <w:r w:rsidRPr="00B70D58">
              <w:rPr>
                <w:rFonts w:cs="Arial"/>
                <w:szCs w:val="20"/>
              </w:rPr>
              <w:t>The QATSICPP COE positions Queensland to provide advice and input to scoping and design of a national Aboriginal and Torres Strait Islander COE in Child and Family support under Safe and Supported.</w:t>
            </w:r>
          </w:p>
          <w:p w14:paraId="193F2BC4" w14:textId="47768E48" w:rsidR="00C9302E" w:rsidRPr="00B70D58" w:rsidRDefault="00C9302E" w:rsidP="00C9302E">
            <w:pPr>
              <w:pStyle w:val="TableTextLeft"/>
              <w:rPr>
                <w:rFonts w:cs="Arial"/>
                <w:szCs w:val="20"/>
              </w:rPr>
            </w:pPr>
          </w:p>
        </w:tc>
        <w:tc>
          <w:tcPr>
            <w:tcW w:w="1627" w:type="dxa"/>
          </w:tcPr>
          <w:p w14:paraId="658F4C74" w14:textId="4208868C" w:rsidR="00C9302E" w:rsidRPr="00E07195" w:rsidRDefault="00C9302E" w:rsidP="00C9302E">
            <w:pPr>
              <w:pStyle w:val="TableTextLeft"/>
              <w:rPr>
                <w:rFonts w:cs="Arial"/>
                <w:szCs w:val="20"/>
              </w:rPr>
            </w:pPr>
            <w:r w:rsidRPr="00E07195">
              <w:rPr>
                <w:rFonts w:cs="Arial"/>
                <w:noProof/>
                <w:szCs w:val="20"/>
              </w:rPr>
              <w:drawing>
                <wp:inline distT="0" distB="0" distL="0" distR="0" wp14:anchorId="5C1E8BC3" wp14:editId="3D4C209F">
                  <wp:extent cx="355600" cy="351929"/>
                  <wp:effectExtent l="0" t="0" r="6350" b="0"/>
                  <wp:docPr id="59" name="Picture 59" descr="Building block four - Governments and services are accountable to Aboriginal and Torres Strait Islander peoples &#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Building block four - Governments and services are accountable to Aboriginal and Torres Strait Islander peoples &#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7636" cy="363841"/>
                          </a:xfrm>
                          <a:prstGeom prst="rect">
                            <a:avLst/>
                          </a:prstGeom>
                        </pic:spPr>
                      </pic:pic>
                    </a:graphicData>
                  </a:graphic>
                </wp:inline>
              </w:drawing>
            </w:r>
          </w:p>
        </w:tc>
        <w:tc>
          <w:tcPr>
            <w:tcW w:w="1197" w:type="dxa"/>
          </w:tcPr>
          <w:p w14:paraId="246F560E" w14:textId="4276B320" w:rsidR="00C9302E" w:rsidRPr="00453A57" w:rsidRDefault="00C9302E" w:rsidP="00453A57">
            <w:pPr>
              <w:pStyle w:val="TableTextLeft"/>
              <w:jc w:val="center"/>
              <w:rPr>
                <w:rFonts w:cs="Arial"/>
                <w:b/>
                <w:bCs/>
                <w:sz w:val="32"/>
                <w:szCs w:val="32"/>
              </w:rPr>
            </w:pPr>
            <w:r w:rsidRPr="00453A57">
              <w:rPr>
                <w:rFonts w:cs="Arial"/>
                <w:b/>
                <w:bCs/>
                <w:sz w:val="32"/>
                <w:szCs w:val="32"/>
                <w:shd w:val="clear" w:color="auto" w:fill="FFFFFF"/>
              </w:rPr>
              <w:t>4</w:t>
            </w:r>
          </w:p>
        </w:tc>
        <w:tc>
          <w:tcPr>
            <w:tcW w:w="1260" w:type="dxa"/>
          </w:tcPr>
          <w:p w14:paraId="25AAE66D" w14:textId="3173DCB0" w:rsidR="00C9302E" w:rsidRPr="00453A57" w:rsidRDefault="00C9302E" w:rsidP="00453A57">
            <w:pPr>
              <w:pStyle w:val="TableTextLeft"/>
              <w:jc w:val="center"/>
              <w:rPr>
                <w:rFonts w:cs="Arial"/>
                <w:b/>
                <w:bCs/>
                <w:sz w:val="32"/>
                <w:szCs w:val="32"/>
              </w:rPr>
            </w:pPr>
            <w:r w:rsidRPr="00453A57">
              <w:rPr>
                <w:rFonts w:cs="Arial"/>
                <w:b/>
                <w:bCs/>
                <w:sz w:val="32"/>
                <w:szCs w:val="32"/>
              </w:rPr>
              <w:t>3</w:t>
            </w:r>
          </w:p>
        </w:tc>
      </w:tr>
      <w:tr w:rsidR="00C9302E" w:rsidRPr="00E07195" w14:paraId="0ED00777" w14:textId="16A5365F" w:rsidTr="25F521CE">
        <w:tc>
          <w:tcPr>
            <w:tcW w:w="1847" w:type="dxa"/>
            <w:shd w:val="clear" w:color="auto" w:fill="FEEFD3" w:themeFill="accent2" w:themeFillTint="33"/>
          </w:tcPr>
          <w:p w14:paraId="61B1D464" w14:textId="77777777" w:rsidR="00C9302E" w:rsidRPr="00E07195" w:rsidRDefault="00C9302E" w:rsidP="00C9302E">
            <w:pPr>
              <w:pStyle w:val="TableHeadingLeft"/>
              <w:rPr>
                <w:rFonts w:cs="Arial"/>
                <w:szCs w:val="20"/>
              </w:rPr>
            </w:pPr>
          </w:p>
        </w:tc>
        <w:tc>
          <w:tcPr>
            <w:tcW w:w="1928" w:type="dxa"/>
          </w:tcPr>
          <w:p w14:paraId="6240662A" w14:textId="77777777" w:rsidR="00C9302E" w:rsidRPr="00B70D58" w:rsidRDefault="00C9302E" w:rsidP="00C9302E">
            <w:pPr>
              <w:pStyle w:val="TableTextLeft"/>
              <w:rPr>
                <w:rFonts w:cs="Arial"/>
                <w:b/>
                <w:bCs/>
                <w:szCs w:val="20"/>
              </w:rPr>
            </w:pPr>
            <w:r w:rsidRPr="00B70D58">
              <w:rPr>
                <w:rFonts w:cs="Arial"/>
                <w:b/>
                <w:bCs/>
                <w:szCs w:val="20"/>
              </w:rPr>
              <w:t xml:space="preserve">DCSSDS </w:t>
            </w:r>
          </w:p>
          <w:p w14:paraId="15F8EE5F" w14:textId="77777777" w:rsidR="00C9302E" w:rsidRPr="00B70D58" w:rsidRDefault="00C9302E" w:rsidP="00C9302E">
            <w:pPr>
              <w:pStyle w:val="TableTextLeft"/>
              <w:rPr>
                <w:rFonts w:cs="Arial"/>
                <w:szCs w:val="20"/>
              </w:rPr>
            </w:pPr>
          </w:p>
          <w:p w14:paraId="43A7A35D" w14:textId="5B9C4B13" w:rsidR="00C9302E" w:rsidRPr="00B70D58" w:rsidRDefault="00C9302E" w:rsidP="00C9302E">
            <w:pPr>
              <w:pStyle w:val="TableTextLeft"/>
              <w:rPr>
                <w:rFonts w:cs="Arial"/>
                <w:szCs w:val="20"/>
              </w:rPr>
            </w:pPr>
            <w:r w:rsidRPr="00B70D58">
              <w:rPr>
                <w:rFonts w:cs="Arial"/>
                <w:szCs w:val="20"/>
              </w:rPr>
              <w:t>QFCFB</w:t>
            </w:r>
          </w:p>
          <w:p w14:paraId="7E2DFB48" w14:textId="70CFBE6C" w:rsidR="00C9302E" w:rsidRPr="00B70D58" w:rsidRDefault="00C9302E" w:rsidP="00C9302E">
            <w:pPr>
              <w:pStyle w:val="TableTextLeft"/>
              <w:rPr>
                <w:rFonts w:cs="Arial"/>
                <w:szCs w:val="20"/>
              </w:rPr>
            </w:pPr>
            <w:r w:rsidRPr="00B70D58">
              <w:rPr>
                <w:rFonts w:cs="Arial"/>
                <w:szCs w:val="20"/>
              </w:rPr>
              <w:t>All partners</w:t>
            </w:r>
          </w:p>
        </w:tc>
        <w:tc>
          <w:tcPr>
            <w:tcW w:w="3061" w:type="dxa"/>
          </w:tcPr>
          <w:p w14:paraId="36D86A40" w14:textId="1112AFFB" w:rsidR="00C9302E" w:rsidRPr="00B70D58" w:rsidRDefault="00DA18C6" w:rsidP="00C9302E">
            <w:pPr>
              <w:pStyle w:val="TableTextLeft"/>
              <w:rPr>
                <w:rFonts w:cs="Arial"/>
                <w:szCs w:val="20"/>
              </w:rPr>
            </w:pPr>
            <w:r w:rsidRPr="00B70D58">
              <w:rPr>
                <w:rFonts w:cs="Arial"/>
                <w:b/>
                <w:bCs/>
                <w:szCs w:val="20"/>
              </w:rPr>
              <w:t>8.7</w:t>
            </w:r>
            <w:r w:rsidRPr="00B70D58">
              <w:rPr>
                <w:rFonts w:cs="Arial"/>
                <w:szCs w:val="20"/>
              </w:rPr>
              <w:t xml:space="preserve"> Continue</w:t>
            </w:r>
            <w:r w:rsidR="00087F3C" w:rsidRPr="00B70D58">
              <w:rPr>
                <w:rFonts w:cs="Arial"/>
                <w:szCs w:val="20"/>
              </w:rPr>
              <w:t xml:space="preserve"> to monitor and evaluate the implementation, </w:t>
            </w:r>
            <w:proofErr w:type="gramStart"/>
            <w:r w:rsidR="00087F3C" w:rsidRPr="00B70D58">
              <w:rPr>
                <w:rFonts w:cs="Arial"/>
                <w:szCs w:val="20"/>
              </w:rPr>
              <w:t>impact</w:t>
            </w:r>
            <w:proofErr w:type="gramEnd"/>
            <w:r w:rsidR="00087F3C" w:rsidRPr="00B70D58">
              <w:rPr>
                <w:rFonts w:cs="Arial"/>
                <w:szCs w:val="20"/>
              </w:rPr>
              <w:t xml:space="preserve"> and outcomes of the Breaking Cycles phase of the </w:t>
            </w:r>
            <w:r w:rsidR="00087F3C" w:rsidRPr="00B70D58">
              <w:rPr>
                <w:rFonts w:cs="Arial"/>
                <w:i/>
                <w:iCs/>
                <w:szCs w:val="20"/>
              </w:rPr>
              <w:t>Our Way</w:t>
            </w:r>
            <w:r w:rsidR="00087F3C" w:rsidRPr="00B70D58">
              <w:rPr>
                <w:rFonts w:cs="Arial"/>
                <w:szCs w:val="20"/>
              </w:rPr>
              <w:t xml:space="preserve"> strategy</w:t>
            </w:r>
            <w:r w:rsidR="00C9302E" w:rsidRPr="00B70D58">
              <w:rPr>
                <w:rFonts w:cs="Arial"/>
                <w:szCs w:val="20"/>
              </w:rPr>
              <w:t>.</w:t>
            </w:r>
          </w:p>
          <w:p w14:paraId="396DFED5" w14:textId="77777777" w:rsidR="00C9302E" w:rsidRPr="00B70D58" w:rsidRDefault="00C9302E" w:rsidP="00C9302E">
            <w:pPr>
              <w:pStyle w:val="TableTextLeft"/>
              <w:rPr>
                <w:rFonts w:cs="Arial"/>
                <w:b/>
                <w:bCs/>
                <w:szCs w:val="20"/>
              </w:rPr>
            </w:pPr>
          </w:p>
          <w:p w14:paraId="0FE841CE" w14:textId="5B1E25A2" w:rsidR="00C9302E" w:rsidRPr="00B70D58" w:rsidRDefault="00C9302E" w:rsidP="00C9302E">
            <w:pPr>
              <w:pStyle w:val="TableTextLeft"/>
              <w:rPr>
                <w:rFonts w:cs="Arial"/>
                <w:szCs w:val="20"/>
              </w:rPr>
            </w:pPr>
            <w:r w:rsidRPr="00B70D58">
              <w:rPr>
                <w:rFonts w:cs="Arial"/>
                <w:b/>
                <w:bCs/>
                <w:szCs w:val="20"/>
              </w:rPr>
              <w:t xml:space="preserve">Timing:  </w:t>
            </w:r>
            <w:r w:rsidRPr="00B70D58">
              <w:rPr>
                <w:rFonts w:cs="Arial"/>
                <w:szCs w:val="20"/>
              </w:rPr>
              <w:t>Years 1 to 3 (2023</w:t>
            </w:r>
            <w:r w:rsidR="00D74699" w:rsidRPr="00B70D58">
              <w:rPr>
                <w:rFonts w:eastAsia="Calibri" w:cs="Arial"/>
                <w:szCs w:val="20"/>
              </w:rPr>
              <w:t>–</w:t>
            </w:r>
            <w:r w:rsidRPr="00B70D58">
              <w:rPr>
                <w:rFonts w:cs="Arial"/>
                <w:szCs w:val="20"/>
              </w:rPr>
              <w:t>2025)</w:t>
            </w:r>
          </w:p>
          <w:p w14:paraId="5C31342E" w14:textId="77777777" w:rsidR="00C9302E" w:rsidRPr="00B70D58" w:rsidRDefault="00C9302E" w:rsidP="00C9302E">
            <w:pPr>
              <w:pStyle w:val="TableTextLeft"/>
              <w:rPr>
                <w:rFonts w:cs="Arial"/>
                <w:szCs w:val="20"/>
              </w:rPr>
            </w:pPr>
            <w:r w:rsidRPr="00B70D58">
              <w:rPr>
                <w:rFonts w:cs="Arial"/>
                <w:szCs w:val="20"/>
              </w:rPr>
              <w:t>*Ongoing implementation over the course of Breaking Cycles (2023-2031).</w:t>
            </w:r>
          </w:p>
          <w:p w14:paraId="450DFC22" w14:textId="46719EDC" w:rsidR="00C9302E" w:rsidRPr="00B70D58" w:rsidRDefault="00C9302E" w:rsidP="00C9302E">
            <w:pPr>
              <w:pStyle w:val="TableTextLeft"/>
              <w:rPr>
                <w:rFonts w:cs="Arial"/>
                <w:szCs w:val="20"/>
              </w:rPr>
            </w:pPr>
          </w:p>
        </w:tc>
        <w:tc>
          <w:tcPr>
            <w:tcW w:w="3685" w:type="dxa"/>
          </w:tcPr>
          <w:p w14:paraId="6E4263EF" w14:textId="028B3257" w:rsidR="00C9302E" w:rsidRPr="00B70D58" w:rsidRDefault="00C9302E" w:rsidP="00C9302E">
            <w:pPr>
              <w:pStyle w:val="TableTextLeft"/>
              <w:rPr>
                <w:rFonts w:cs="Arial"/>
                <w:szCs w:val="20"/>
              </w:rPr>
            </w:pPr>
            <w:r w:rsidRPr="00B70D58">
              <w:rPr>
                <w:rFonts w:cs="Arial"/>
                <w:b/>
                <w:bCs/>
                <w:szCs w:val="20"/>
              </w:rPr>
              <w:t>D:</w:t>
            </w:r>
            <w:r w:rsidRPr="00B70D58">
              <w:rPr>
                <w:rFonts w:cs="Arial"/>
                <w:szCs w:val="20"/>
              </w:rPr>
              <w:t xml:space="preserve"> Monitoring, Evaluation and Learning plan for the Breaking Cycles phase of </w:t>
            </w:r>
            <w:r w:rsidRPr="00B70D58">
              <w:rPr>
                <w:rFonts w:cs="Arial"/>
                <w:i/>
                <w:iCs/>
                <w:szCs w:val="20"/>
              </w:rPr>
              <w:t>Our Way</w:t>
            </w:r>
            <w:r w:rsidRPr="00B70D58">
              <w:rPr>
                <w:rFonts w:cs="Arial"/>
                <w:szCs w:val="20"/>
              </w:rPr>
              <w:t>, based on the Changing Tracks 2017-2022 evaluation findings, program logic and theory of change.</w:t>
            </w:r>
          </w:p>
          <w:p w14:paraId="7D81B348" w14:textId="77777777" w:rsidR="00C9302E" w:rsidRPr="00B70D58" w:rsidRDefault="00C9302E" w:rsidP="00C9302E">
            <w:pPr>
              <w:pStyle w:val="TableTextLeft"/>
              <w:rPr>
                <w:rFonts w:cs="Arial"/>
                <w:szCs w:val="20"/>
              </w:rPr>
            </w:pPr>
          </w:p>
          <w:p w14:paraId="0746DD96" w14:textId="3886156B" w:rsidR="00C9302E" w:rsidRPr="00B70D58" w:rsidRDefault="00C9302E" w:rsidP="00C9302E">
            <w:pPr>
              <w:pStyle w:val="TableTextLeft"/>
              <w:rPr>
                <w:rFonts w:cs="Arial"/>
                <w:szCs w:val="20"/>
              </w:rPr>
            </w:pPr>
            <w:r w:rsidRPr="00B70D58">
              <w:rPr>
                <w:rFonts w:cs="Arial"/>
                <w:b/>
                <w:bCs/>
                <w:szCs w:val="20"/>
              </w:rPr>
              <w:t xml:space="preserve">SI: </w:t>
            </w:r>
            <w:r w:rsidRPr="00B70D58">
              <w:rPr>
                <w:rFonts w:cs="Arial"/>
                <w:szCs w:val="20"/>
              </w:rPr>
              <w:t>Monitoring, Evaluation and Learning requirements for Breaking Cycles are agreed amongst partners.</w:t>
            </w:r>
          </w:p>
          <w:p w14:paraId="465170F7" w14:textId="5A352291" w:rsidR="00C9302E" w:rsidRPr="00B70D58" w:rsidRDefault="00C9302E" w:rsidP="00C9302E">
            <w:pPr>
              <w:pStyle w:val="TableTextLeft"/>
              <w:rPr>
                <w:rFonts w:cs="Arial"/>
                <w:szCs w:val="20"/>
              </w:rPr>
            </w:pPr>
            <w:r w:rsidRPr="00B70D58">
              <w:rPr>
                <w:rFonts w:cs="Arial"/>
                <w:b/>
                <w:bCs/>
                <w:szCs w:val="20"/>
              </w:rPr>
              <w:t xml:space="preserve">SI: </w:t>
            </w:r>
            <w:r w:rsidRPr="00B70D58">
              <w:rPr>
                <w:rFonts w:cs="Arial"/>
                <w:szCs w:val="20"/>
              </w:rPr>
              <w:t>Annual report to Government on implementation progress of Breaking Cycles actions (July 2024-25).</w:t>
            </w:r>
          </w:p>
          <w:p w14:paraId="448E6B4F" w14:textId="2C26BE08" w:rsidR="00C9302E" w:rsidRPr="00B70D58" w:rsidRDefault="00C9302E" w:rsidP="00C9302E">
            <w:pPr>
              <w:pStyle w:val="TableTextLeft"/>
              <w:rPr>
                <w:rFonts w:cs="Arial"/>
                <w:szCs w:val="20"/>
              </w:rPr>
            </w:pPr>
            <w:r w:rsidRPr="00B70D58">
              <w:rPr>
                <w:rFonts w:cs="Arial"/>
                <w:b/>
                <w:bCs/>
                <w:szCs w:val="20"/>
              </w:rPr>
              <w:t xml:space="preserve">SI: </w:t>
            </w:r>
            <w:r w:rsidRPr="00B70D58">
              <w:rPr>
                <w:rFonts w:cs="Arial"/>
                <w:szCs w:val="20"/>
              </w:rPr>
              <w:t>Evaluation of Breaking Cycles 2023-2025 action plan delivered to inform development of second action plan (July 2025).</w:t>
            </w:r>
          </w:p>
        </w:tc>
        <w:tc>
          <w:tcPr>
            <w:tcW w:w="3118" w:type="dxa"/>
          </w:tcPr>
          <w:p w14:paraId="7F7F849B" w14:textId="233E3318" w:rsidR="00C9302E" w:rsidRPr="00B70D58" w:rsidRDefault="00C9302E" w:rsidP="00C9302E">
            <w:pPr>
              <w:pStyle w:val="TableTextLeft"/>
              <w:rPr>
                <w:rFonts w:cs="Arial"/>
                <w:szCs w:val="20"/>
              </w:rPr>
            </w:pPr>
            <w:r w:rsidRPr="00B70D58">
              <w:rPr>
                <w:rFonts w:cs="Arial"/>
                <w:b/>
                <w:bCs/>
                <w:szCs w:val="20"/>
              </w:rPr>
              <w:t>O:</w:t>
            </w:r>
            <w:r w:rsidRPr="00B70D58">
              <w:rPr>
                <w:rFonts w:cs="Arial"/>
                <w:szCs w:val="20"/>
              </w:rPr>
              <w:t xml:space="preserve">  Strengthened accountability mechanisms at all levels to ensure the service needs of Aboriginal and Torres Strait Islander peoples are met.</w:t>
            </w:r>
          </w:p>
          <w:p w14:paraId="3B65B57F" w14:textId="77777777" w:rsidR="00C9302E" w:rsidRPr="00B70D58" w:rsidRDefault="00C9302E" w:rsidP="00C9302E">
            <w:pPr>
              <w:pStyle w:val="TableTextLeft"/>
              <w:rPr>
                <w:rFonts w:cs="Arial"/>
                <w:szCs w:val="20"/>
              </w:rPr>
            </w:pPr>
          </w:p>
          <w:p w14:paraId="26B79011" w14:textId="77777777" w:rsidR="00C9302E" w:rsidRPr="00B70D58" w:rsidRDefault="00C9302E" w:rsidP="00C9302E">
            <w:pPr>
              <w:pStyle w:val="TableTextLeft"/>
              <w:rPr>
                <w:rFonts w:cs="Arial"/>
                <w:szCs w:val="20"/>
              </w:rPr>
            </w:pPr>
          </w:p>
        </w:tc>
        <w:tc>
          <w:tcPr>
            <w:tcW w:w="3685" w:type="dxa"/>
          </w:tcPr>
          <w:p w14:paraId="6D75905D" w14:textId="5D01D807" w:rsidR="00C9302E" w:rsidRPr="00B70D58" w:rsidRDefault="00C9302E" w:rsidP="00C9302E">
            <w:pPr>
              <w:pStyle w:val="TableTextLeft"/>
              <w:rPr>
                <w:rFonts w:cs="Arial"/>
                <w:szCs w:val="20"/>
              </w:rPr>
            </w:pPr>
            <w:r w:rsidRPr="00B70D58">
              <w:rPr>
                <w:rFonts w:cs="Arial"/>
                <w:szCs w:val="20"/>
              </w:rPr>
              <w:t xml:space="preserve">The 2017 commitment by Queensland Government and FMQ the </w:t>
            </w:r>
            <w:r w:rsidRPr="00B70D58">
              <w:rPr>
                <w:rFonts w:cs="Arial"/>
                <w:i/>
                <w:iCs/>
                <w:szCs w:val="20"/>
              </w:rPr>
              <w:t>Our Way</w:t>
            </w:r>
            <w:r w:rsidRPr="00B70D58">
              <w:rPr>
                <w:rFonts w:cs="Arial"/>
                <w:szCs w:val="20"/>
              </w:rPr>
              <w:t xml:space="preserve"> strategy included:</w:t>
            </w:r>
          </w:p>
          <w:p w14:paraId="0C2CCEFB" w14:textId="7361C0C1" w:rsidR="00C9302E" w:rsidRPr="00B70D58" w:rsidRDefault="00C9302E" w:rsidP="00C9302E">
            <w:pPr>
              <w:pStyle w:val="TableTextLeft"/>
              <w:numPr>
                <w:ilvl w:val="0"/>
                <w:numId w:val="13"/>
              </w:numPr>
              <w:rPr>
                <w:rFonts w:cs="Arial"/>
                <w:szCs w:val="20"/>
              </w:rPr>
            </w:pPr>
            <w:r w:rsidRPr="00B70D58">
              <w:rPr>
                <w:rFonts w:cs="Arial"/>
                <w:szCs w:val="20"/>
              </w:rPr>
              <w:t>commitment to annual reporting on progress of the strategy to Government by the QFCFB</w:t>
            </w:r>
          </w:p>
          <w:p w14:paraId="2C4EA57D" w14:textId="30E9C089" w:rsidR="00C9302E" w:rsidRPr="00B70D58" w:rsidRDefault="00C9302E" w:rsidP="00C9302E">
            <w:pPr>
              <w:pStyle w:val="TableTextLeft"/>
              <w:numPr>
                <w:ilvl w:val="0"/>
                <w:numId w:val="13"/>
              </w:numPr>
              <w:rPr>
                <w:rFonts w:cs="Arial"/>
                <w:szCs w:val="20"/>
              </w:rPr>
            </w:pPr>
            <w:r w:rsidRPr="00B70D58">
              <w:rPr>
                <w:rFonts w:cs="Arial"/>
                <w:szCs w:val="20"/>
              </w:rPr>
              <w:t xml:space="preserve">a requirement for ongoing evaluation at each stage of the strategy to inform the further development of </w:t>
            </w:r>
            <w:proofErr w:type="gramStart"/>
            <w:r w:rsidRPr="00B70D58">
              <w:rPr>
                <w:rFonts w:cs="Arial"/>
                <w:szCs w:val="20"/>
              </w:rPr>
              <w:t>actions</w:t>
            </w:r>
            <w:proofErr w:type="gramEnd"/>
          </w:p>
          <w:p w14:paraId="608AFBA3" w14:textId="7343262D" w:rsidR="00C9302E" w:rsidRPr="00B70D58" w:rsidRDefault="00C9302E" w:rsidP="00C9302E">
            <w:pPr>
              <w:pStyle w:val="TableTextLeft"/>
              <w:numPr>
                <w:ilvl w:val="0"/>
                <w:numId w:val="13"/>
              </w:numPr>
              <w:rPr>
                <w:rFonts w:cs="Arial"/>
                <w:szCs w:val="20"/>
              </w:rPr>
            </w:pPr>
            <w:r w:rsidRPr="00B70D58">
              <w:rPr>
                <w:rFonts w:cs="Arial"/>
                <w:szCs w:val="20"/>
              </w:rPr>
              <w:t xml:space="preserve">endorsement of the </w:t>
            </w:r>
            <w:r w:rsidRPr="00B70D58">
              <w:rPr>
                <w:rFonts w:cs="Arial"/>
                <w:i/>
                <w:iCs/>
                <w:szCs w:val="20"/>
              </w:rPr>
              <w:t>Our Way</w:t>
            </w:r>
            <w:r w:rsidRPr="00B70D58">
              <w:rPr>
                <w:rFonts w:cs="Arial"/>
                <w:szCs w:val="20"/>
              </w:rPr>
              <w:t xml:space="preserve"> Monitoring and Evaluation Framework.</w:t>
            </w:r>
          </w:p>
          <w:p w14:paraId="60ABCA2C" w14:textId="77777777" w:rsidR="00C9302E" w:rsidRPr="00B70D58" w:rsidRDefault="00C9302E" w:rsidP="00C9302E">
            <w:pPr>
              <w:pStyle w:val="TableTextLeft"/>
              <w:rPr>
                <w:rFonts w:cs="Arial"/>
                <w:szCs w:val="20"/>
              </w:rPr>
            </w:pPr>
          </w:p>
          <w:p w14:paraId="6B1E91E6" w14:textId="2AC97516" w:rsidR="00C9302E" w:rsidRPr="00B70D58" w:rsidRDefault="00C9302E" w:rsidP="00C9302E">
            <w:pPr>
              <w:pStyle w:val="TableTextLeft"/>
              <w:rPr>
                <w:rFonts w:cs="Arial"/>
                <w:szCs w:val="20"/>
              </w:rPr>
            </w:pPr>
            <w:r w:rsidRPr="00B70D58">
              <w:rPr>
                <w:rFonts w:cs="Arial"/>
                <w:szCs w:val="20"/>
              </w:rPr>
              <w:t xml:space="preserve">The Evaluation of </w:t>
            </w:r>
            <w:r w:rsidRPr="00B70D58">
              <w:rPr>
                <w:rFonts w:cs="Arial"/>
                <w:i/>
                <w:iCs/>
                <w:szCs w:val="20"/>
              </w:rPr>
              <w:t>Our Way</w:t>
            </w:r>
            <w:r w:rsidRPr="00B70D58">
              <w:rPr>
                <w:rFonts w:cs="Arial"/>
                <w:szCs w:val="20"/>
              </w:rPr>
              <w:t xml:space="preserve">, Changing Tracks 2017-2022 report (June 2022) was endorsed by the QFCFB, FMQ and Queensland Government.  The report included an </w:t>
            </w:r>
            <w:r w:rsidRPr="00B70D58">
              <w:rPr>
                <w:rFonts w:cs="Arial"/>
                <w:i/>
                <w:iCs/>
                <w:szCs w:val="20"/>
              </w:rPr>
              <w:t>Our Way</w:t>
            </w:r>
            <w:r w:rsidRPr="00B70D58">
              <w:rPr>
                <w:rFonts w:cs="Arial"/>
                <w:szCs w:val="20"/>
              </w:rPr>
              <w:t xml:space="preserve"> Theory of Change, Program Logic and revised Monitoring and Evaluation Framework.</w:t>
            </w:r>
          </w:p>
        </w:tc>
        <w:tc>
          <w:tcPr>
            <w:tcW w:w="1627" w:type="dxa"/>
          </w:tcPr>
          <w:p w14:paraId="307CF39D" w14:textId="0C649B44" w:rsidR="00C9302E" w:rsidRPr="00E07195" w:rsidRDefault="00C22CDE" w:rsidP="00C9302E">
            <w:pPr>
              <w:pStyle w:val="TableTextLeft"/>
              <w:rPr>
                <w:rFonts w:cs="Arial"/>
                <w:szCs w:val="20"/>
              </w:rPr>
            </w:pPr>
            <w:r>
              <w:rPr>
                <w:noProof/>
              </w:rPr>
              <w:drawing>
                <wp:inline distT="0" distB="0" distL="0" distR="0" wp14:anchorId="0AA52DA3" wp14:editId="1DFFB951">
                  <wp:extent cx="365640" cy="352425"/>
                  <wp:effectExtent l="0" t="0" r="0" b="0"/>
                  <wp:docPr id="8" name="Picture 8" descr="Building block four - Governments and services are accountable to Aboriginal and Torres Strait Islander peoples &#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uilding block four - Governments and services are accountable to Aboriginal and Torres Strait Islander peoples &#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5106" cy="361549"/>
                          </a:xfrm>
                          <a:prstGeom prst="rect">
                            <a:avLst/>
                          </a:prstGeom>
                        </pic:spPr>
                      </pic:pic>
                    </a:graphicData>
                  </a:graphic>
                </wp:inline>
              </w:drawing>
            </w:r>
          </w:p>
        </w:tc>
        <w:tc>
          <w:tcPr>
            <w:tcW w:w="1197" w:type="dxa"/>
          </w:tcPr>
          <w:p w14:paraId="1C004D7A" w14:textId="38BA1182" w:rsidR="00C9302E" w:rsidRPr="00453A57" w:rsidRDefault="00C22CDE" w:rsidP="00453A57">
            <w:pPr>
              <w:pStyle w:val="TableTextLeft"/>
              <w:jc w:val="center"/>
              <w:rPr>
                <w:rFonts w:cs="Arial"/>
                <w:b/>
                <w:bCs/>
                <w:sz w:val="32"/>
                <w:szCs w:val="32"/>
              </w:rPr>
            </w:pPr>
            <w:r>
              <w:rPr>
                <w:rFonts w:cs="Arial"/>
                <w:b/>
                <w:bCs/>
                <w:sz w:val="32"/>
                <w:szCs w:val="32"/>
              </w:rPr>
              <w:t>3,4</w:t>
            </w:r>
          </w:p>
        </w:tc>
        <w:tc>
          <w:tcPr>
            <w:tcW w:w="1260" w:type="dxa"/>
          </w:tcPr>
          <w:p w14:paraId="5B2388AB" w14:textId="5858CBA2" w:rsidR="00C9302E" w:rsidRPr="00453A57" w:rsidRDefault="00C22CDE" w:rsidP="00453A57">
            <w:pPr>
              <w:pStyle w:val="TableTextLeft"/>
              <w:jc w:val="center"/>
              <w:rPr>
                <w:rFonts w:cs="Arial"/>
                <w:b/>
                <w:bCs/>
                <w:sz w:val="32"/>
                <w:szCs w:val="32"/>
              </w:rPr>
            </w:pPr>
            <w:r>
              <w:rPr>
                <w:rFonts w:cs="Arial"/>
                <w:b/>
                <w:bCs/>
                <w:sz w:val="32"/>
                <w:szCs w:val="32"/>
              </w:rPr>
              <w:t>8</w:t>
            </w:r>
          </w:p>
        </w:tc>
      </w:tr>
    </w:tbl>
    <w:p w14:paraId="0AA9CE24" w14:textId="074820C6" w:rsidR="00320B82" w:rsidRPr="004B4F24" w:rsidRDefault="00320B82" w:rsidP="009252D5">
      <w:pPr>
        <w:pStyle w:val="Heading2"/>
      </w:pPr>
      <w:r w:rsidRPr="004B4F24">
        <w:t xml:space="preserve">Other </w:t>
      </w:r>
      <w:r w:rsidR="001644E4" w:rsidRPr="004B4F24">
        <w:t>Queensland</w:t>
      </w:r>
      <w:r w:rsidRPr="004B4F24">
        <w:t xml:space="preserve"> Government Strategies and Action Plans</w:t>
      </w:r>
    </w:p>
    <w:p w14:paraId="3583930B" w14:textId="51CC20C4" w:rsidR="00320B82" w:rsidRPr="009252D5" w:rsidRDefault="00320B82" w:rsidP="009252D5">
      <w:pPr>
        <w:pStyle w:val="Heading4"/>
      </w:pPr>
      <w:r w:rsidRPr="009252D5">
        <w:t>Health</w:t>
      </w:r>
    </w:p>
    <w:p w14:paraId="1F11DC1E" w14:textId="6430FB13" w:rsidR="00320B82" w:rsidRPr="004B4F24" w:rsidRDefault="00320B82" w:rsidP="000A7F4D">
      <w:pPr>
        <w:pStyle w:val="ListBullet"/>
      </w:pPr>
      <w:r w:rsidRPr="004B4F24">
        <w:t>First Nations Health Equity Strategies 2022-2025 in each Hospital and Health Service</w:t>
      </w:r>
    </w:p>
    <w:p w14:paraId="49DCA9C1" w14:textId="77777777" w:rsidR="00320B82" w:rsidRPr="004B4F24" w:rsidRDefault="00320B82" w:rsidP="000A7F4D">
      <w:pPr>
        <w:pStyle w:val="ListBullet"/>
      </w:pPr>
      <w:r w:rsidRPr="004B4F24">
        <w:t>Growing Deadly Families: Aboriginal and Torres Strait Islander Maternity Services Strategy 2019-2025</w:t>
      </w:r>
    </w:p>
    <w:p w14:paraId="461CE87C" w14:textId="7EB6C0F7" w:rsidR="00320B82" w:rsidRPr="004B4F24" w:rsidRDefault="00320B82" w:rsidP="000A7F4D">
      <w:pPr>
        <w:pStyle w:val="ListBullet"/>
      </w:pPr>
      <w:r w:rsidRPr="004B4F24">
        <w:t>Better Care Together: A Plan for Queensland’s State-Funded Mental Health, Alcohol and Other Drug Services to 2027</w:t>
      </w:r>
    </w:p>
    <w:p w14:paraId="3B66C818" w14:textId="0BFD070B" w:rsidR="00320B82" w:rsidRPr="009252D5" w:rsidRDefault="00320B82" w:rsidP="009252D5">
      <w:pPr>
        <w:pStyle w:val="Heading4"/>
      </w:pPr>
      <w:r w:rsidRPr="004B4F24">
        <w:t>Housing</w:t>
      </w:r>
    </w:p>
    <w:p w14:paraId="0503D5F1" w14:textId="6120532F" w:rsidR="00320B82" w:rsidRPr="004B4F24" w:rsidRDefault="00320B82" w:rsidP="000A7F4D">
      <w:pPr>
        <w:pStyle w:val="ListBullet"/>
      </w:pPr>
      <w:r w:rsidRPr="004B4F24">
        <w:t>Queensland Housing Strategy 2017-2027 and the Queensland Housing and Homelessness Action Plan 2021-2025</w:t>
      </w:r>
    </w:p>
    <w:p w14:paraId="30241A3A" w14:textId="2179C9B0" w:rsidR="00320B82" w:rsidRDefault="00320B82" w:rsidP="000A7F4D">
      <w:pPr>
        <w:pStyle w:val="ListBullet"/>
      </w:pPr>
      <w:r w:rsidRPr="004B4F24">
        <w:t>Towards Ending Homelessness for Young Queenslanders 2022-2027: A Policy and Integrated Framework of Housing with Support</w:t>
      </w:r>
    </w:p>
    <w:p w14:paraId="583B1C4F" w14:textId="52A39C75" w:rsidR="00AD2387" w:rsidRDefault="00AD2387" w:rsidP="000A7F4D">
      <w:pPr>
        <w:pStyle w:val="ListBullet"/>
      </w:pPr>
      <w:r>
        <w:t>Aboriginal and Torres Strait Islander Housing Action Plan 2019-2023</w:t>
      </w:r>
    </w:p>
    <w:p w14:paraId="69B6172F" w14:textId="159C8B9F" w:rsidR="00FA2F88" w:rsidRPr="004B4F24" w:rsidRDefault="00FA2F88" w:rsidP="000A7F4D">
      <w:pPr>
        <w:pStyle w:val="ListBullet"/>
      </w:pPr>
      <w:r>
        <w:t>First Nations Housing and Homelessness Roadmap to 2032</w:t>
      </w:r>
    </w:p>
    <w:p w14:paraId="751F38DE" w14:textId="6C8438F0" w:rsidR="00320B82" w:rsidRPr="009252D5" w:rsidRDefault="6A18ABCE" w:rsidP="009252D5">
      <w:pPr>
        <w:pStyle w:val="Heading4"/>
      </w:pPr>
      <w:r w:rsidRPr="21D9D1FC">
        <w:t xml:space="preserve">Employment, </w:t>
      </w:r>
      <w:r w:rsidR="00320B82" w:rsidRPr="21D9D1FC">
        <w:t>Education and Training</w:t>
      </w:r>
    </w:p>
    <w:p w14:paraId="09B6B2E2" w14:textId="2A93F88F" w:rsidR="2E9FF542" w:rsidRDefault="2E9FF542" w:rsidP="000A7F4D">
      <w:pPr>
        <w:pStyle w:val="ListBullet"/>
      </w:pPr>
      <w:r w:rsidRPr="21D9D1FC">
        <w:t>Good People. Good Jobs: Queensland Workforce Strategy 2022-2032 (the Queensland Government’s whole-of-government Workforce Strategy)</w:t>
      </w:r>
    </w:p>
    <w:p w14:paraId="33C02DB9" w14:textId="67669CA0" w:rsidR="00320B82" w:rsidRDefault="4F8D041F" w:rsidP="000A7F4D">
      <w:pPr>
        <w:pStyle w:val="ListBullet"/>
      </w:pPr>
      <w:r w:rsidRPr="00A42FB4">
        <w:rPr>
          <w:i/>
          <w:iCs/>
        </w:rPr>
        <w:t>Paving the Way</w:t>
      </w:r>
      <w:r w:rsidRPr="2B2AC87B">
        <w:t>: First Nations Training Strategy</w:t>
      </w:r>
    </w:p>
    <w:p w14:paraId="6693947E" w14:textId="2A5E4C02" w:rsidR="00E20877" w:rsidRPr="004B4F24" w:rsidRDefault="00E20877" w:rsidP="000A7F4D">
      <w:pPr>
        <w:pStyle w:val="ListBullet"/>
      </w:pPr>
      <w:r>
        <w:rPr>
          <w:i/>
          <w:iCs/>
        </w:rPr>
        <w:lastRenderedPageBreak/>
        <w:t>Equity and Excellence</w:t>
      </w:r>
      <w:r w:rsidRPr="00E20877">
        <w:t>:</w:t>
      </w:r>
      <w:r>
        <w:t xml:space="preserve"> Realising the potential of every student (Queensland’s Education Strategy)</w:t>
      </w:r>
    </w:p>
    <w:p w14:paraId="7A6D0ED1" w14:textId="68E34A42" w:rsidR="001644E4" w:rsidRPr="009252D5" w:rsidRDefault="000F478B" w:rsidP="009252D5">
      <w:pPr>
        <w:pStyle w:val="Heading4"/>
      </w:pPr>
      <w:r w:rsidRPr="004B4F24">
        <w:t xml:space="preserve">Safety and </w:t>
      </w:r>
      <w:r w:rsidR="001644E4" w:rsidRPr="004B4F24">
        <w:t>Justice</w:t>
      </w:r>
    </w:p>
    <w:p w14:paraId="1D5482FA" w14:textId="76FF88DE" w:rsidR="001644E4" w:rsidRPr="004B4F24" w:rsidRDefault="4F8D041F" w:rsidP="000A7F4D">
      <w:pPr>
        <w:pStyle w:val="ListBullet"/>
      </w:pPr>
      <w:r w:rsidRPr="2B2AC87B">
        <w:t>Domestic and Family Violence Prevention Strategy 2016-2026 and the Fourth Action Plan 2022-2026</w:t>
      </w:r>
    </w:p>
    <w:p w14:paraId="4432A8F4" w14:textId="5F3D530F" w:rsidR="001644E4" w:rsidRPr="004B4F24" w:rsidRDefault="4F8D041F" w:rsidP="000A7F4D">
      <w:pPr>
        <w:pStyle w:val="ListBullet"/>
      </w:pPr>
      <w:r w:rsidRPr="2B2AC87B">
        <w:t>Safe Children and Strong Communities: A Strategy and Action Plan for Aboriginal and Torres Strait Islander Peoples and Organisations Accessing the Blue Card System 2021-2025</w:t>
      </w:r>
    </w:p>
    <w:p w14:paraId="01ACD1F4" w14:textId="14F5E862" w:rsidR="001A543A" w:rsidRDefault="001A543A" w:rsidP="00A42FB4"/>
    <w:sectPr w:rsidR="001A543A" w:rsidSect="00F73909">
      <w:headerReference w:type="default" r:id="rId22"/>
      <w:pgSz w:w="23820" w:h="16840" w:orient="landscape"/>
      <w:pgMar w:top="1985"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4A392" w14:textId="77777777" w:rsidR="00DB6377" w:rsidRDefault="00DB6377" w:rsidP="00A42FB4">
      <w:r>
        <w:separator/>
      </w:r>
    </w:p>
  </w:endnote>
  <w:endnote w:type="continuationSeparator" w:id="0">
    <w:p w14:paraId="7373CA99" w14:textId="77777777" w:rsidR="00DB6377" w:rsidRDefault="00DB6377" w:rsidP="00A42FB4">
      <w:r>
        <w:continuationSeparator/>
      </w:r>
    </w:p>
  </w:endnote>
  <w:endnote w:type="continuationNotice" w:id="1">
    <w:p w14:paraId="23FBC925" w14:textId="77777777" w:rsidR="00DB6377" w:rsidRDefault="00DB6377" w:rsidP="00A42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84AC" w14:textId="77777777" w:rsidR="00EC1AFA" w:rsidRDefault="00EC1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7435385"/>
      <w:docPartObj>
        <w:docPartGallery w:val="Page Numbers (Bottom of Page)"/>
        <w:docPartUnique/>
      </w:docPartObj>
    </w:sdtPr>
    <w:sdtEndPr>
      <w:rPr>
        <w:noProof/>
      </w:rPr>
    </w:sdtEndPr>
    <w:sdtContent>
      <w:p w14:paraId="1B9BCE5F" w14:textId="3A86EF16" w:rsidR="00A42FB4" w:rsidRPr="00A42FB4" w:rsidRDefault="00A42FB4" w:rsidP="00A42FB4">
        <w:pPr>
          <w:pStyle w:val="Footer"/>
          <w:tabs>
            <w:tab w:val="clear" w:pos="9026"/>
            <w:tab w:val="right" w:pos="20838"/>
          </w:tabs>
          <w:rPr>
            <w:sz w:val="20"/>
            <w:szCs w:val="20"/>
          </w:rPr>
        </w:pPr>
        <w:r w:rsidRPr="00A42FB4">
          <w:rPr>
            <w:sz w:val="20"/>
            <w:szCs w:val="20"/>
          </w:rPr>
          <w:t>Summary of Breaking Cycles 2023–2025 Actions</w:t>
        </w:r>
        <w:r>
          <w:rPr>
            <w:sz w:val="20"/>
            <w:szCs w:val="20"/>
          </w:rPr>
          <w:tab/>
        </w:r>
        <w:r w:rsidR="006F1347">
          <w:rPr>
            <w:sz w:val="20"/>
            <w:szCs w:val="20"/>
          </w:rPr>
          <w:tab/>
        </w:r>
        <w:r w:rsidR="001554F5" w:rsidRPr="00A42FB4">
          <w:rPr>
            <w:sz w:val="20"/>
            <w:szCs w:val="20"/>
          </w:rPr>
          <w:fldChar w:fldCharType="begin"/>
        </w:r>
        <w:r w:rsidR="001554F5" w:rsidRPr="00A42FB4">
          <w:rPr>
            <w:sz w:val="20"/>
            <w:szCs w:val="20"/>
          </w:rPr>
          <w:instrText xml:space="preserve"> PAGE   \* MERGEFORMAT </w:instrText>
        </w:r>
        <w:r w:rsidR="001554F5" w:rsidRPr="00A42FB4">
          <w:rPr>
            <w:sz w:val="20"/>
            <w:szCs w:val="20"/>
          </w:rPr>
          <w:fldChar w:fldCharType="separate"/>
        </w:r>
        <w:r w:rsidR="001554F5" w:rsidRPr="00A42FB4">
          <w:rPr>
            <w:noProof/>
            <w:sz w:val="20"/>
            <w:szCs w:val="20"/>
          </w:rPr>
          <w:t>2</w:t>
        </w:r>
        <w:r w:rsidR="001554F5" w:rsidRPr="00A42FB4">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7DDAE" w14:textId="77777777" w:rsidR="00EC1AFA" w:rsidRDefault="00EC1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F5D85" w14:textId="77777777" w:rsidR="00DB6377" w:rsidRDefault="00DB6377" w:rsidP="00A42FB4">
      <w:r>
        <w:separator/>
      </w:r>
    </w:p>
  </w:footnote>
  <w:footnote w:type="continuationSeparator" w:id="0">
    <w:p w14:paraId="2DABC8CA" w14:textId="77777777" w:rsidR="00DB6377" w:rsidRDefault="00DB6377" w:rsidP="00A42FB4">
      <w:r>
        <w:continuationSeparator/>
      </w:r>
    </w:p>
  </w:footnote>
  <w:footnote w:type="continuationNotice" w:id="1">
    <w:p w14:paraId="4238BD0D" w14:textId="77777777" w:rsidR="00DB6377" w:rsidRDefault="00DB6377" w:rsidP="00A42F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FE2C" w14:textId="77777777" w:rsidR="00EC1AFA" w:rsidRDefault="00EC1A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B9E0" w14:textId="1459DB44" w:rsidR="00E170AD" w:rsidRDefault="000B7E14" w:rsidP="00A42FB4">
    <w:pPr>
      <w:pStyle w:val="Header"/>
    </w:pPr>
    <w:r>
      <w:rPr>
        <w:noProof/>
      </w:rPr>
      <w:drawing>
        <wp:anchor distT="0" distB="0" distL="114300" distR="114300" simplePos="0" relativeHeight="251656704" behindDoc="1" locked="1" layoutInCell="1" allowOverlap="1" wp14:anchorId="4FDCEB9D" wp14:editId="2D2713A5">
          <wp:simplePos x="0" y="0"/>
          <wp:positionH relativeFrom="page">
            <wp:align>left</wp:align>
          </wp:positionH>
          <wp:positionV relativeFrom="page">
            <wp:align>top</wp:align>
          </wp:positionV>
          <wp:extent cx="7538400" cy="1076400"/>
          <wp:effectExtent l="0" t="0" r="5715" b="3175"/>
          <wp:wrapNone/>
          <wp:docPr id="201103166" name="Picture 201103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03166" name="Picture 201103166"/>
                  <pic:cNvPicPr/>
                </pic:nvPicPr>
                <pic:blipFill>
                  <a:blip r:embed="rId1">
                    <a:extLst>
                      <a:ext uri="{28A0092B-C50C-407E-A947-70E740481C1C}">
                        <a14:useLocalDpi xmlns:a14="http://schemas.microsoft.com/office/drawing/2010/main" val="0"/>
                      </a:ext>
                    </a:extLst>
                  </a:blip>
                  <a:stretch>
                    <a:fillRect/>
                  </a:stretch>
                </pic:blipFill>
                <pic:spPr>
                  <a:xfrm>
                    <a:off x="0" y="0"/>
                    <a:ext cx="7538400" cy="107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42FA" w14:textId="77777777" w:rsidR="00EC1AFA" w:rsidRDefault="00EC1A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7EB4" w14:textId="2E6237F2" w:rsidR="00976183" w:rsidRDefault="00976183" w:rsidP="00A42FB4">
    <w:pPr>
      <w:pStyle w:val="Header"/>
    </w:pPr>
    <w:r>
      <w:rPr>
        <w:noProof/>
      </w:rPr>
      <w:drawing>
        <wp:anchor distT="0" distB="0" distL="114300" distR="114300" simplePos="0" relativeHeight="251657728" behindDoc="1" locked="1" layoutInCell="1" allowOverlap="1" wp14:anchorId="51AFA631" wp14:editId="2B790D82">
          <wp:simplePos x="0" y="0"/>
          <wp:positionH relativeFrom="page">
            <wp:posOffset>-12700</wp:posOffset>
          </wp:positionH>
          <wp:positionV relativeFrom="page">
            <wp:posOffset>0</wp:posOffset>
          </wp:positionV>
          <wp:extent cx="15124430" cy="1116330"/>
          <wp:effectExtent l="0" t="0" r="127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144705" name="Picture 916144705"/>
                  <pic:cNvPicPr/>
                </pic:nvPicPr>
                <pic:blipFill>
                  <a:blip r:embed="rId1">
                    <a:extLst>
                      <a:ext uri="{28A0092B-C50C-407E-A947-70E740481C1C}">
                        <a14:useLocalDpi xmlns:a14="http://schemas.microsoft.com/office/drawing/2010/main" val="0"/>
                      </a:ext>
                    </a:extLst>
                  </a:blip>
                  <a:stretch>
                    <a:fillRect/>
                  </a:stretch>
                </pic:blipFill>
                <pic:spPr>
                  <a:xfrm>
                    <a:off x="0" y="0"/>
                    <a:ext cx="15124430" cy="111633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y3FKLsP1" int2:invalidationBookmarkName="" int2:hashCode="//19hTS+rsdw4A" int2:id="RoHPDh0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2357"/>
    <w:multiLevelType w:val="hybridMultilevel"/>
    <w:tmpl w:val="153879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5F7ADA"/>
    <w:multiLevelType w:val="hybridMultilevel"/>
    <w:tmpl w:val="AFB6907C"/>
    <w:lvl w:ilvl="0" w:tplc="FFFFFFFF">
      <w:start w:val="1"/>
      <w:numFmt w:val="decimal"/>
      <w:lvlText w:val="%1."/>
      <w:lvlJc w:val="left"/>
      <w:pPr>
        <w:ind w:left="36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104D52"/>
    <w:multiLevelType w:val="hybridMultilevel"/>
    <w:tmpl w:val="BBAEAC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8F5D92"/>
    <w:multiLevelType w:val="hybridMultilevel"/>
    <w:tmpl w:val="1BFAA78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78B3B29"/>
    <w:multiLevelType w:val="hybridMultilevel"/>
    <w:tmpl w:val="DC7E7D0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B2322A"/>
    <w:multiLevelType w:val="hybridMultilevel"/>
    <w:tmpl w:val="88C21BF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714B81"/>
    <w:multiLevelType w:val="multilevel"/>
    <w:tmpl w:val="685AA14E"/>
    <w:lvl w:ilvl="0">
      <w:start w:val="1"/>
      <w:numFmt w:val="decimal"/>
      <w:lvlText w:val="%1."/>
      <w:lvlJc w:val="left"/>
      <w:pPr>
        <w:ind w:left="360" w:hanging="360"/>
      </w:pPr>
      <w:rPr>
        <w:rFonts w:ascii="Arial" w:hAnsi="Arial" w:cs="Arial" w:hint="default"/>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7" w15:restartNumberingAfterBreak="0">
    <w:nsid w:val="411A3CC4"/>
    <w:multiLevelType w:val="hybridMultilevel"/>
    <w:tmpl w:val="2FD08A8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EE0A2B"/>
    <w:multiLevelType w:val="hybridMultilevel"/>
    <w:tmpl w:val="835AAEA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0715AC"/>
    <w:multiLevelType w:val="hybridMultilevel"/>
    <w:tmpl w:val="E80488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B7B516"/>
    <w:multiLevelType w:val="hybridMultilevel"/>
    <w:tmpl w:val="FFFFFFFF"/>
    <w:lvl w:ilvl="0" w:tplc="CD0E3F4A">
      <w:start w:val="1"/>
      <w:numFmt w:val="bullet"/>
      <w:lvlText w:val=""/>
      <w:lvlJc w:val="left"/>
      <w:pPr>
        <w:ind w:left="720" w:hanging="360"/>
      </w:pPr>
      <w:rPr>
        <w:rFonts w:ascii="Symbol" w:hAnsi="Symbol" w:hint="default"/>
      </w:rPr>
    </w:lvl>
    <w:lvl w:ilvl="1" w:tplc="7A241EBE">
      <w:start w:val="1"/>
      <w:numFmt w:val="bullet"/>
      <w:lvlText w:val="o"/>
      <w:lvlJc w:val="left"/>
      <w:pPr>
        <w:ind w:left="1440" w:hanging="360"/>
      </w:pPr>
      <w:rPr>
        <w:rFonts w:ascii="Courier New" w:hAnsi="Courier New" w:hint="default"/>
      </w:rPr>
    </w:lvl>
    <w:lvl w:ilvl="2" w:tplc="B9964B7E">
      <w:start w:val="1"/>
      <w:numFmt w:val="bullet"/>
      <w:lvlText w:val=""/>
      <w:lvlJc w:val="left"/>
      <w:pPr>
        <w:ind w:left="2160" w:hanging="360"/>
      </w:pPr>
      <w:rPr>
        <w:rFonts w:ascii="Wingdings" w:hAnsi="Wingdings" w:hint="default"/>
      </w:rPr>
    </w:lvl>
    <w:lvl w:ilvl="3" w:tplc="A1B4E7C2">
      <w:start w:val="1"/>
      <w:numFmt w:val="bullet"/>
      <w:lvlText w:val=""/>
      <w:lvlJc w:val="left"/>
      <w:pPr>
        <w:ind w:left="2880" w:hanging="360"/>
      </w:pPr>
      <w:rPr>
        <w:rFonts w:ascii="Symbol" w:hAnsi="Symbol" w:hint="default"/>
      </w:rPr>
    </w:lvl>
    <w:lvl w:ilvl="4" w:tplc="98F4330E">
      <w:start w:val="1"/>
      <w:numFmt w:val="bullet"/>
      <w:lvlText w:val="o"/>
      <w:lvlJc w:val="left"/>
      <w:pPr>
        <w:ind w:left="3600" w:hanging="360"/>
      </w:pPr>
      <w:rPr>
        <w:rFonts w:ascii="Courier New" w:hAnsi="Courier New" w:hint="default"/>
      </w:rPr>
    </w:lvl>
    <w:lvl w:ilvl="5" w:tplc="ECE0EA1A">
      <w:start w:val="1"/>
      <w:numFmt w:val="bullet"/>
      <w:lvlText w:val=""/>
      <w:lvlJc w:val="left"/>
      <w:pPr>
        <w:ind w:left="4320" w:hanging="360"/>
      </w:pPr>
      <w:rPr>
        <w:rFonts w:ascii="Wingdings" w:hAnsi="Wingdings" w:hint="default"/>
      </w:rPr>
    </w:lvl>
    <w:lvl w:ilvl="6" w:tplc="74E87C3C">
      <w:start w:val="1"/>
      <w:numFmt w:val="bullet"/>
      <w:lvlText w:val=""/>
      <w:lvlJc w:val="left"/>
      <w:pPr>
        <w:ind w:left="5040" w:hanging="360"/>
      </w:pPr>
      <w:rPr>
        <w:rFonts w:ascii="Symbol" w:hAnsi="Symbol" w:hint="default"/>
      </w:rPr>
    </w:lvl>
    <w:lvl w:ilvl="7" w:tplc="99D2B342">
      <w:start w:val="1"/>
      <w:numFmt w:val="bullet"/>
      <w:lvlText w:val="o"/>
      <w:lvlJc w:val="left"/>
      <w:pPr>
        <w:ind w:left="5760" w:hanging="360"/>
      </w:pPr>
      <w:rPr>
        <w:rFonts w:ascii="Courier New" w:hAnsi="Courier New" w:hint="default"/>
      </w:rPr>
    </w:lvl>
    <w:lvl w:ilvl="8" w:tplc="5BC87878">
      <w:start w:val="1"/>
      <w:numFmt w:val="bullet"/>
      <w:lvlText w:val=""/>
      <w:lvlJc w:val="left"/>
      <w:pPr>
        <w:ind w:left="6480" w:hanging="360"/>
      </w:pPr>
      <w:rPr>
        <w:rFonts w:ascii="Wingdings" w:hAnsi="Wingdings" w:hint="default"/>
      </w:rPr>
    </w:lvl>
  </w:abstractNum>
  <w:abstractNum w:abstractNumId="11" w15:restartNumberingAfterBreak="0">
    <w:nsid w:val="67771B5B"/>
    <w:multiLevelType w:val="hybridMultilevel"/>
    <w:tmpl w:val="89F62FC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5A495C"/>
    <w:multiLevelType w:val="hybridMultilevel"/>
    <w:tmpl w:val="ECF2B3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6D1C87"/>
    <w:multiLevelType w:val="hybridMultilevel"/>
    <w:tmpl w:val="20107BEC"/>
    <w:lvl w:ilvl="0" w:tplc="687251D2">
      <w:start w:val="1"/>
      <w:numFmt w:val="bullet"/>
      <w:pStyle w:val="List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4" w15:restartNumberingAfterBreak="0">
    <w:nsid w:val="7B3B6C5D"/>
    <w:multiLevelType w:val="multilevel"/>
    <w:tmpl w:val="EE386570"/>
    <w:lvl w:ilvl="0">
      <w:start w:val="1"/>
      <w:numFmt w:val="decimal"/>
      <w:lvlText w:val="%1."/>
      <w:lvlJc w:val="left"/>
      <w:pPr>
        <w:ind w:left="360" w:hanging="360"/>
      </w:pPr>
      <w:rPr>
        <w:rFonts w:ascii="Arial" w:hAnsi="Arial" w:cs="Arial" w:hint="default"/>
      </w:rPr>
    </w:lvl>
    <w:lvl w:ilvl="1">
      <w:start w:val="2"/>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16cid:durableId="691541288">
    <w:abstractNumId w:val="10"/>
  </w:num>
  <w:num w:numId="2" w16cid:durableId="88702703">
    <w:abstractNumId w:val="13"/>
  </w:num>
  <w:num w:numId="3" w16cid:durableId="1119647136">
    <w:abstractNumId w:val="6"/>
  </w:num>
  <w:num w:numId="4" w16cid:durableId="2099129309">
    <w:abstractNumId w:val="14"/>
  </w:num>
  <w:num w:numId="5" w16cid:durableId="204417420">
    <w:abstractNumId w:val="1"/>
  </w:num>
  <w:num w:numId="6" w16cid:durableId="2076735496">
    <w:abstractNumId w:val="4"/>
  </w:num>
  <w:num w:numId="7" w16cid:durableId="320012730">
    <w:abstractNumId w:val="11"/>
  </w:num>
  <w:num w:numId="8" w16cid:durableId="1992829093">
    <w:abstractNumId w:val="0"/>
  </w:num>
  <w:num w:numId="9" w16cid:durableId="360857377">
    <w:abstractNumId w:val="2"/>
  </w:num>
  <w:num w:numId="10" w16cid:durableId="1107307213">
    <w:abstractNumId w:val="5"/>
  </w:num>
  <w:num w:numId="11" w16cid:durableId="1946765028">
    <w:abstractNumId w:val="9"/>
  </w:num>
  <w:num w:numId="12" w16cid:durableId="1666931779">
    <w:abstractNumId w:val="7"/>
  </w:num>
  <w:num w:numId="13" w16cid:durableId="1494250408">
    <w:abstractNumId w:val="8"/>
  </w:num>
  <w:num w:numId="14" w16cid:durableId="1346831106">
    <w:abstractNumId w:val="3"/>
  </w:num>
  <w:num w:numId="15" w16cid:durableId="29845610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C19"/>
    <w:rsid w:val="00002DC7"/>
    <w:rsid w:val="000034E4"/>
    <w:rsid w:val="00006687"/>
    <w:rsid w:val="00010C8C"/>
    <w:rsid w:val="00010FE4"/>
    <w:rsid w:val="0001336A"/>
    <w:rsid w:val="00013971"/>
    <w:rsid w:val="00020209"/>
    <w:rsid w:val="00023035"/>
    <w:rsid w:val="00023684"/>
    <w:rsid w:val="000241A8"/>
    <w:rsid w:val="00025626"/>
    <w:rsid w:val="000256D9"/>
    <w:rsid w:val="00027CAA"/>
    <w:rsid w:val="00031561"/>
    <w:rsid w:val="00034149"/>
    <w:rsid w:val="00034B37"/>
    <w:rsid w:val="000419D1"/>
    <w:rsid w:val="0004406D"/>
    <w:rsid w:val="00044A94"/>
    <w:rsid w:val="0004578B"/>
    <w:rsid w:val="00045AFA"/>
    <w:rsid w:val="000470C8"/>
    <w:rsid w:val="000535B8"/>
    <w:rsid w:val="000535DB"/>
    <w:rsid w:val="00053B95"/>
    <w:rsid w:val="000563AB"/>
    <w:rsid w:val="000564FC"/>
    <w:rsid w:val="00056E1F"/>
    <w:rsid w:val="00062686"/>
    <w:rsid w:val="000630EF"/>
    <w:rsid w:val="00064858"/>
    <w:rsid w:val="0006735F"/>
    <w:rsid w:val="00067691"/>
    <w:rsid w:val="00070CC8"/>
    <w:rsid w:val="0007501C"/>
    <w:rsid w:val="00076702"/>
    <w:rsid w:val="00081CFA"/>
    <w:rsid w:val="0008481F"/>
    <w:rsid w:val="00086385"/>
    <w:rsid w:val="00087F3C"/>
    <w:rsid w:val="000919E5"/>
    <w:rsid w:val="00092038"/>
    <w:rsid w:val="000948A3"/>
    <w:rsid w:val="00094AC5"/>
    <w:rsid w:val="00094E41"/>
    <w:rsid w:val="0009788F"/>
    <w:rsid w:val="00097D00"/>
    <w:rsid w:val="000A19D9"/>
    <w:rsid w:val="000A4119"/>
    <w:rsid w:val="000A52B0"/>
    <w:rsid w:val="000A5E27"/>
    <w:rsid w:val="000A6104"/>
    <w:rsid w:val="000A7064"/>
    <w:rsid w:val="000A7F4D"/>
    <w:rsid w:val="000B20F3"/>
    <w:rsid w:val="000B3D7A"/>
    <w:rsid w:val="000B482E"/>
    <w:rsid w:val="000B73DB"/>
    <w:rsid w:val="000B7470"/>
    <w:rsid w:val="000B7E14"/>
    <w:rsid w:val="000C4739"/>
    <w:rsid w:val="000C6432"/>
    <w:rsid w:val="000D0BFC"/>
    <w:rsid w:val="000D0DA5"/>
    <w:rsid w:val="000D3E64"/>
    <w:rsid w:val="000D492C"/>
    <w:rsid w:val="000E0C75"/>
    <w:rsid w:val="000E7DAA"/>
    <w:rsid w:val="000F3EC8"/>
    <w:rsid w:val="000F478B"/>
    <w:rsid w:val="000F47DB"/>
    <w:rsid w:val="000F4F57"/>
    <w:rsid w:val="000F50B8"/>
    <w:rsid w:val="000F5E22"/>
    <w:rsid w:val="000F7F77"/>
    <w:rsid w:val="00100101"/>
    <w:rsid w:val="00101516"/>
    <w:rsid w:val="001038D0"/>
    <w:rsid w:val="00104235"/>
    <w:rsid w:val="001044D2"/>
    <w:rsid w:val="00104AA0"/>
    <w:rsid w:val="00104F26"/>
    <w:rsid w:val="00105CAB"/>
    <w:rsid w:val="00106869"/>
    <w:rsid w:val="00106E65"/>
    <w:rsid w:val="001112BA"/>
    <w:rsid w:val="00115BF6"/>
    <w:rsid w:val="001201FB"/>
    <w:rsid w:val="001248F2"/>
    <w:rsid w:val="00127394"/>
    <w:rsid w:val="00131A1E"/>
    <w:rsid w:val="001345D7"/>
    <w:rsid w:val="00134C0C"/>
    <w:rsid w:val="00135030"/>
    <w:rsid w:val="001367C4"/>
    <w:rsid w:val="00137660"/>
    <w:rsid w:val="00141348"/>
    <w:rsid w:val="00145162"/>
    <w:rsid w:val="0014692F"/>
    <w:rsid w:val="001503D2"/>
    <w:rsid w:val="001504C9"/>
    <w:rsid w:val="00150DF3"/>
    <w:rsid w:val="00152A0C"/>
    <w:rsid w:val="00153429"/>
    <w:rsid w:val="00154BA1"/>
    <w:rsid w:val="001554F5"/>
    <w:rsid w:val="00157090"/>
    <w:rsid w:val="0015764E"/>
    <w:rsid w:val="001600CB"/>
    <w:rsid w:val="00161464"/>
    <w:rsid w:val="0016174A"/>
    <w:rsid w:val="00161A62"/>
    <w:rsid w:val="001644E4"/>
    <w:rsid w:val="001664A7"/>
    <w:rsid w:val="00171411"/>
    <w:rsid w:val="00175315"/>
    <w:rsid w:val="001771AE"/>
    <w:rsid w:val="001778D7"/>
    <w:rsid w:val="00180EE7"/>
    <w:rsid w:val="0018340D"/>
    <w:rsid w:val="00186BF1"/>
    <w:rsid w:val="001937AE"/>
    <w:rsid w:val="001A0D94"/>
    <w:rsid w:val="001A2C20"/>
    <w:rsid w:val="001A5408"/>
    <w:rsid w:val="001A543A"/>
    <w:rsid w:val="001A7B20"/>
    <w:rsid w:val="001B1F85"/>
    <w:rsid w:val="001B3BE9"/>
    <w:rsid w:val="001B44C7"/>
    <w:rsid w:val="001B6536"/>
    <w:rsid w:val="001B798A"/>
    <w:rsid w:val="001C1683"/>
    <w:rsid w:val="001C6451"/>
    <w:rsid w:val="001D2995"/>
    <w:rsid w:val="001D37C5"/>
    <w:rsid w:val="001D5A00"/>
    <w:rsid w:val="001D5C2E"/>
    <w:rsid w:val="001D7D75"/>
    <w:rsid w:val="001E051D"/>
    <w:rsid w:val="001E216A"/>
    <w:rsid w:val="001E22BF"/>
    <w:rsid w:val="001E2D47"/>
    <w:rsid w:val="001E45D9"/>
    <w:rsid w:val="001E57F7"/>
    <w:rsid w:val="001E72BB"/>
    <w:rsid w:val="001F197D"/>
    <w:rsid w:val="001F3699"/>
    <w:rsid w:val="001F37EE"/>
    <w:rsid w:val="001F422A"/>
    <w:rsid w:val="00200820"/>
    <w:rsid w:val="00201164"/>
    <w:rsid w:val="00201DAB"/>
    <w:rsid w:val="00202BDF"/>
    <w:rsid w:val="00204081"/>
    <w:rsid w:val="00204833"/>
    <w:rsid w:val="002054AE"/>
    <w:rsid w:val="0020570D"/>
    <w:rsid w:val="0020605E"/>
    <w:rsid w:val="002103AD"/>
    <w:rsid w:val="0022030C"/>
    <w:rsid w:val="0022053B"/>
    <w:rsid w:val="0022641B"/>
    <w:rsid w:val="00227CA0"/>
    <w:rsid w:val="00230A42"/>
    <w:rsid w:val="00230B8E"/>
    <w:rsid w:val="00232224"/>
    <w:rsid w:val="002327C2"/>
    <w:rsid w:val="002335CE"/>
    <w:rsid w:val="002347C9"/>
    <w:rsid w:val="002360DF"/>
    <w:rsid w:val="00236204"/>
    <w:rsid w:val="002419F6"/>
    <w:rsid w:val="00243B7A"/>
    <w:rsid w:val="00255818"/>
    <w:rsid w:val="0026086B"/>
    <w:rsid w:val="002613BD"/>
    <w:rsid w:val="002621A5"/>
    <w:rsid w:val="00262A1A"/>
    <w:rsid w:val="0026369A"/>
    <w:rsid w:val="002641F5"/>
    <w:rsid w:val="00264A04"/>
    <w:rsid w:val="002665FF"/>
    <w:rsid w:val="00267F6A"/>
    <w:rsid w:val="0027066B"/>
    <w:rsid w:val="002749EF"/>
    <w:rsid w:val="00277448"/>
    <w:rsid w:val="00277959"/>
    <w:rsid w:val="00277A29"/>
    <w:rsid w:val="00282555"/>
    <w:rsid w:val="00286642"/>
    <w:rsid w:val="00286FC5"/>
    <w:rsid w:val="00290577"/>
    <w:rsid w:val="002912A5"/>
    <w:rsid w:val="00291B23"/>
    <w:rsid w:val="00292EF8"/>
    <w:rsid w:val="00293A33"/>
    <w:rsid w:val="00296A78"/>
    <w:rsid w:val="00296C28"/>
    <w:rsid w:val="002A1161"/>
    <w:rsid w:val="002A226B"/>
    <w:rsid w:val="002A2529"/>
    <w:rsid w:val="002A3B79"/>
    <w:rsid w:val="002A5A3D"/>
    <w:rsid w:val="002A7001"/>
    <w:rsid w:val="002B1965"/>
    <w:rsid w:val="002B73D8"/>
    <w:rsid w:val="002C0C71"/>
    <w:rsid w:val="002C1D02"/>
    <w:rsid w:val="002C2548"/>
    <w:rsid w:val="002C2ADF"/>
    <w:rsid w:val="002C2DE8"/>
    <w:rsid w:val="002D007B"/>
    <w:rsid w:val="002D02B0"/>
    <w:rsid w:val="002D2B1E"/>
    <w:rsid w:val="002D515B"/>
    <w:rsid w:val="002D536C"/>
    <w:rsid w:val="002E1DE6"/>
    <w:rsid w:val="002E3803"/>
    <w:rsid w:val="002E3FE7"/>
    <w:rsid w:val="002E41C9"/>
    <w:rsid w:val="002E42EB"/>
    <w:rsid w:val="002E4480"/>
    <w:rsid w:val="002F0B9D"/>
    <w:rsid w:val="002F28FD"/>
    <w:rsid w:val="002F793E"/>
    <w:rsid w:val="00300A77"/>
    <w:rsid w:val="00302147"/>
    <w:rsid w:val="0030232E"/>
    <w:rsid w:val="00302598"/>
    <w:rsid w:val="00302B0D"/>
    <w:rsid w:val="0030574A"/>
    <w:rsid w:val="003073C9"/>
    <w:rsid w:val="00307F73"/>
    <w:rsid w:val="0030E9DF"/>
    <w:rsid w:val="00310D0D"/>
    <w:rsid w:val="00317482"/>
    <w:rsid w:val="00320B24"/>
    <w:rsid w:val="00320B82"/>
    <w:rsid w:val="003213FF"/>
    <w:rsid w:val="00321BC6"/>
    <w:rsid w:val="003221CB"/>
    <w:rsid w:val="00331F49"/>
    <w:rsid w:val="003334D0"/>
    <w:rsid w:val="00336E1C"/>
    <w:rsid w:val="00337C49"/>
    <w:rsid w:val="00343651"/>
    <w:rsid w:val="0034438F"/>
    <w:rsid w:val="00350878"/>
    <w:rsid w:val="00353199"/>
    <w:rsid w:val="00354A09"/>
    <w:rsid w:val="00355B4E"/>
    <w:rsid w:val="00356890"/>
    <w:rsid w:val="00357274"/>
    <w:rsid w:val="00360692"/>
    <w:rsid w:val="00360B23"/>
    <w:rsid w:val="00360FB6"/>
    <w:rsid w:val="0036326B"/>
    <w:rsid w:val="00363427"/>
    <w:rsid w:val="003644FE"/>
    <w:rsid w:val="003645AF"/>
    <w:rsid w:val="00364D30"/>
    <w:rsid w:val="00365035"/>
    <w:rsid w:val="0036530A"/>
    <w:rsid w:val="0036690A"/>
    <w:rsid w:val="003715E1"/>
    <w:rsid w:val="003739DF"/>
    <w:rsid w:val="00373E78"/>
    <w:rsid w:val="00373F0F"/>
    <w:rsid w:val="00375006"/>
    <w:rsid w:val="00375370"/>
    <w:rsid w:val="0037728D"/>
    <w:rsid w:val="00377AE9"/>
    <w:rsid w:val="00380D50"/>
    <w:rsid w:val="00381923"/>
    <w:rsid w:val="003825F9"/>
    <w:rsid w:val="0038297D"/>
    <w:rsid w:val="00382F7B"/>
    <w:rsid w:val="00387554"/>
    <w:rsid w:val="003923B5"/>
    <w:rsid w:val="003940F2"/>
    <w:rsid w:val="003942C9"/>
    <w:rsid w:val="0039718C"/>
    <w:rsid w:val="003A188F"/>
    <w:rsid w:val="003A2FA6"/>
    <w:rsid w:val="003A3526"/>
    <w:rsid w:val="003A5C82"/>
    <w:rsid w:val="003A66D1"/>
    <w:rsid w:val="003A7427"/>
    <w:rsid w:val="003B286E"/>
    <w:rsid w:val="003B666F"/>
    <w:rsid w:val="003C0410"/>
    <w:rsid w:val="003C0E46"/>
    <w:rsid w:val="003C1E1D"/>
    <w:rsid w:val="003C22E9"/>
    <w:rsid w:val="003C36A0"/>
    <w:rsid w:val="003C3D96"/>
    <w:rsid w:val="003C6C6C"/>
    <w:rsid w:val="003D27B3"/>
    <w:rsid w:val="003D2980"/>
    <w:rsid w:val="003D4BAD"/>
    <w:rsid w:val="003D4BBA"/>
    <w:rsid w:val="003D5FD3"/>
    <w:rsid w:val="003D6374"/>
    <w:rsid w:val="003D67B3"/>
    <w:rsid w:val="003D7B19"/>
    <w:rsid w:val="003D7F21"/>
    <w:rsid w:val="003E3E9C"/>
    <w:rsid w:val="003E47E1"/>
    <w:rsid w:val="003F0B60"/>
    <w:rsid w:val="003F1958"/>
    <w:rsid w:val="003F245E"/>
    <w:rsid w:val="003F35AC"/>
    <w:rsid w:val="003F57A9"/>
    <w:rsid w:val="003F6362"/>
    <w:rsid w:val="00401129"/>
    <w:rsid w:val="0040528F"/>
    <w:rsid w:val="00406309"/>
    <w:rsid w:val="0040676E"/>
    <w:rsid w:val="00411E98"/>
    <w:rsid w:val="00412470"/>
    <w:rsid w:val="00413769"/>
    <w:rsid w:val="00413D7E"/>
    <w:rsid w:val="00415208"/>
    <w:rsid w:val="00416B12"/>
    <w:rsid w:val="00417BCA"/>
    <w:rsid w:val="004205FC"/>
    <w:rsid w:val="00421EFE"/>
    <w:rsid w:val="0042306D"/>
    <w:rsid w:val="00424D14"/>
    <w:rsid w:val="00425A5F"/>
    <w:rsid w:val="004304AE"/>
    <w:rsid w:val="004320F8"/>
    <w:rsid w:val="0043447F"/>
    <w:rsid w:val="00440434"/>
    <w:rsid w:val="00441092"/>
    <w:rsid w:val="004441AC"/>
    <w:rsid w:val="004444F5"/>
    <w:rsid w:val="00444926"/>
    <w:rsid w:val="004457B6"/>
    <w:rsid w:val="00450438"/>
    <w:rsid w:val="004527D3"/>
    <w:rsid w:val="00453A57"/>
    <w:rsid w:val="0045765A"/>
    <w:rsid w:val="00457D92"/>
    <w:rsid w:val="00460F07"/>
    <w:rsid w:val="0046389D"/>
    <w:rsid w:val="00463DE0"/>
    <w:rsid w:val="004653D6"/>
    <w:rsid w:val="0046570B"/>
    <w:rsid w:val="00466465"/>
    <w:rsid w:val="004670A7"/>
    <w:rsid w:val="00470785"/>
    <w:rsid w:val="00471174"/>
    <w:rsid w:val="004732DC"/>
    <w:rsid w:val="00473D42"/>
    <w:rsid w:val="00473DDD"/>
    <w:rsid w:val="004767DC"/>
    <w:rsid w:val="00480498"/>
    <w:rsid w:val="0048201D"/>
    <w:rsid w:val="0048619D"/>
    <w:rsid w:val="00487CA6"/>
    <w:rsid w:val="00490E4D"/>
    <w:rsid w:val="00491FCA"/>
    <w:rsid w:val="004929C5"/>
    <w:rsid w:val="00492E88"/>
    <w:rsid w:val="00493826"/>
    <w:rsid w:val="00493AC4"/>
    <w:rsid w:val="004A01F3"/>
    <w:rsid w:val="004A1E75"/>
    <w:rsid w:val="004A307A"/>
    <w:rsid w:val="004A35BE"/>
    <w:rsid w:val="004A396D"/>
    <w:rsid w:val="004A3AD1"/>
    <w:rsid w:val="004A6260"/>
    <w:rsid w:val="004B0036"/>
    <w:rsid w:val="004B0581"/>
    <w:rsid w:val="004B2C25"/>
    <w:rsid w:val="004B30F5"/>
    <w:rsid w:val="004B3E3E"/>
    <w:rsid w:val="004B4F24"/>
    <w:rsid w:val="004B5B3D"/>
    <w:rsid w:val="004C3213"/>
    <w:rsid w:val="004D1103"/>
    <w:rsid w:val="004D3D7E"/>
    <w:rsid w:val="004D4E7E"/>
    <w:rsid w:val="004E5754"/>
    <w:rsid w:val="004F1606"/>
    <w:rsid w:val="004F216E"/>
    <w:rsid w:val="004F629D"/>
    <w:rsid w:val="00500255"/>
    <w:rsid w:val="00501388"/>
    <w:rsid w:val="00501857"/>
    <w:rsid w:val="00504B04"/>
    <w:rsid w:val="005058BE"/>
    <w:rsid w:val="00505E9D"/>
    <w:rsid w:val="00512D2B"/>
    <w:rsid w:val="00514727"/>
    <w:rsid w:val="00515A09"/>
    <w:rsid w:val="00515BB6"/>
    <w:rsid w:val="0051682F"/>
    <w:rsid w:val="00521C0F"/>
    <w:rsid w:val="00522C2F"/>
    <w:rsid w:val="0053296E"/>
    <w:rsid w:val="0054611B"/>
    <w:rsid w:val="005463D9"/>
    <w:rsid w:val="00547798"/>
    <w:rsid w:val="005537F5"/>
    <w:rsid w:val="005564F1"/>
    <w:rsid w:val="00556A0E"/>
    <w:rsid w:val="00561772"/>
    <w:rsid w:val="005617D2"/>
    <w:rsid w:val="00562E80"/>
    <w:rsid w:val="00563C17"/>
    <w:rsid w:val="00564653"/>
    <w:rsid w:val="005658A5"/>
    <w:rsid w:val="00566981"/>
    <w:rsid w:val="00566C24"/>
    <w:rsid w:val="00567BCB"/>
    <w:rsid w:val="00571142"/>
    <w:rsid w:val="0057385B"/>
    <w:rsid w:val="00573CFD"/>
    <w:rsid w:val="005762FC"/>
    <w:rsid w:val="00581DDF"/>
    <w:rsid w:val="00582BC0"/>
    <w:rsid w:val="005834E9"/>
    <w:rsid w:val="0058416E"/>
    <w:rsid w:val="00584270"/>
    <w:rsid w:val="00587FBF"/>
    <w:rsid w:val="00590958"/>
    <w:rsid w:val="005914B2"/>
    <w:rsid w:val="00592DA0"/>
    <w:rsid w:val="00593F63"/>
    <w:rsid w:val="00595759"/>
    <w:rsid w:val="00595875"/>
    <w:rsid w:val="00596020"/>
    <w:rsid w:val="00596A4E"/>
    <w:rsid w:val="00597AA0"/>
    <w:rsid w:val="005A0BB6"/>
    <w:rsid w:val="005A1543"/>
    <w:rsid w:val="005A3B8E"/>
    <w:rsid w:val="005A60DD"/>
    <w:rsid w:val="005A7E5D"/>
    <w:rsid w:val="005B07E9"/>
    <w:rsid w:val="005B0C01"/>
    <w:rsid w:val="005B1D42"/>
    <w:rsid w:val="005B49F6"/>
    <w:rsid w:val="005B55D8"/>
    <w:rsid w:val="005B7615"/>
    <w:rsid w:val="005B77F0"/>
    <w:rsid w:val="005C1C45"/>
    <w:rsid w:val="005C350E"/>
    <w:rsid w:val="005C61BB"/>
    <w:rsid w:val="005D01FE"/>
    <w:rsid w:val="005D08BC"/>
    <w:rsid w:val="005D1968"/>
    <w:rsid w:val="005D3D98"/>
    <w:rsid w:val="005D4128"/>
    <w:rsid w:val="005D6208"/>
    <w:rsid w:val="005D77BF"/>
    <w:rsid w:val="005E01C3"/>
    <w:rsid w:val="005E1448"/>
    <w:rsid w:val="005E5674"/>
    <w:rsid w:val="005E60A0"/>
    <w:rsid w:val="005E6954"/>
    <w:rsid w:val="005E7BB9"/>
    <w:rsid w:val="005F1CB5"/>
    <w:rsid w:val="005F2BF9"/>
    <w:rsid w:val="005F3FE6"/>
    <w:rsid w:val="005F6907"/>
    <w:rsid w:val="005F690C"/>
    <w:rsid w:val="005F76F3"/>
    <w:rsid w:val="005F777A"/>
    <w:rsid w:val="00603520"/>
    <w:rsid w:val="00604DB6"/>
    <w:rsid w:val="00606520"/>
    <w:rsid w:val="00606A16"/>
    <w:rsid w:val="00607B29"/>
    <w:rsid w:val="0061007C"/>
    <w:rsid w:val="00611CDF"/>
    <w:rsid w:val="00611FB1"/>
    <w:rsid w:val="0061606D"/>
    <w:rsid w:val="00622E77"/>
    <w:rsid w:val="0062381E"/>
    <w:rsid w:val="00624689"/>
    <w:rsid w:val="00631F7D"/>
    <w:rsid w:val="0063366C"/>
    <w:rsid w:val="006337D8"/>
    <w:rsid w:val="0063415E"/>
    <w:rsid w:val="006348D7"/>
    <w:rsid w:val="00635A7D"/>
    <w:rsid w:val="006365E2"/>
    <w:rsid w:val="00637744"/>
    <w:rsid w:val="00645121"/>
    <w:rsid w:val="00650354"/>
    <w:rsid w:val="00654964"/>
    <w:rsid w:val="00655B68"/>
    <w:rsid w:val="00655D61"/>
    <w:rsid w:val="00657932"/>
    <w:rsid w:val="006635AA"/>
    <w:rsid w:val="006642B5"/>
    <w:rsid w:val="0067000C"/>
    <w:rsid w:val="006702C8"/>
    <w:rsid w:val="00670A98"/>
    <w:rsid w:val="006724F3"/>
    <w:rsid w:val="006803B0"/>
    <w:rsid w:val="00681477"/>
    <w:rsid w:val="0068653B"/>
    <w:rsid w:val="00686B48"/>
    <w:rsid w:val="0069002A"/>
    <w:rsid w:val="006949F4"/>
    <w:rsid w:val="00696A70"/>
    <w:rsid w:val="0069721B"/>
    <w:rsid w:val="006A06CD"/>
    <w:rsid w:val="006A122F"/>
    <w:rsid w:val="006A3DD1"/>
    <w:rsid w:val="006A6694"/>
    <w:rsid w:val="006A6889"/>
    <w:rsid w:val="006A6DEB"/>
    <w:rsid w:val="006B09DA"/>
    <w:rsid w:val="006B0A25"/>
    <w:rsid w:val="006B211F"/>
    <w:rsid w:val="006B3ABB"/>
    <w:rsid w:val="006B3E09"/>
    <w:rsid w:val="006B4998"/>
    <w:rsid w:val="006B7041"/>
    <w:rsid w:val="006C02C8"/>
    <w:rsid w:val="006C0464"/>
    <w:rsid w:val="006C45A5"/>
    <w:rsid w:val="006D0871"/>
    <w:rsid w:val="006D1DA6"/>
    <w:rsid w:val="006D2C87"/>
    <w:rsid w:val="006D4BBE"/>
    <w:rsid w:val="006D6D28"/>
    <w:rsid w:val="006D6F41"/>
    <w:rsid w:val="006E4AE9"/>
    <w:rsid w:val="006E4CE4"/>
    <w:rsid w:val="006E71C1"/>
    <w:rsid w:val="006F1347"/>
    <w:rsid w:val="006F17C4"/>
    <w:rsid w:val="006F1C7B"/>
    <w:rsid w:val="006F21BA"/>
    <w:rsid w:val="006F2F88"/>
    <w:rsid w:val="006F346C"/>
    <w:rsid w:val="006F5553"/>
    <w:rsid w:val="006F5BD5"/>
    <w:rsid w:val="006F7367"/>
    <w:rsid w:val="00700831"/>
    <w:rsid w:val="00701115"/>
    <w:rsid w:val="0070252D"/>
    <w:rsid w:val="00703971"/>
    <w:rsid w:val="00703D8D"/>
    <w:rsid w:val="0070542E"/>
    <w:rsid w:val="007067EE"/>
    <w:rsid w:val="00707BB4"/>
    <w:rsid w:val="00711D06"/>
    <w:rsid w:val="00714FEC"/>
    <w:rsid w:val="007153E4"/>
    <w:rsid w:val="00720511"/>
    <w:rsid w:val="00720F49"/>
    <w:rsid w:val="007223E7"/>
    <w:rsid w:val="007245DD"/>
    <w:rsid w:val="00726007"/>
    <w:rsid w:val="00727391"/>
    <w:rsid w:val="007347D9"/>
    <w:rsid w:val="00736781"/>
    <w:rsid w:val="007419C6"/>
    <w:rsid w:val="007435D1"/>
    <w:rsid w:val="00751CDF"/>
    <w:rsid w:val="00753AC3"/>
    <w:rsid w:val="00753C8F"/>
    <w:rsid w:val="0075422F"/>
    <w:rsid w:val="00755D81"/>
    <w:rsid w:val="00757A16"/>
    <w:rsid w:val="00760442"/>
    <w:rsid w:val="00760F5F"/>
    <w:rsid w:val="007622BC"/>
    <w:rsid w:val="0076469B"/>
    <w:rsid w:val="007668CB"/>
    <w:rsid w:val="0076738A"/>
    <w:rsid w:val="00767455"/>
    <w:rsid w:val="0076776E"/>
    <w:rsid w:val="00771B0E"/>
    <w:rsid w:val="00771BB3"/>
    <w:rsid w:val="0077217D"/>
    <w:rsid w:val="00773F20"/>
    <w:rsid w:val="00775F2A"/>
    <w:rsid w:val="007779E6"/>
    <w:rsid w:val="00777D2F"/>
    <w:rsid w:val="007800AD"/>
    <w:rsid w:val="00781889"/>
    <w:rsid w:val="00781BB7"/>
    <w:rsid w:val="007910BF"/>
    <w:rsid w:val="0079396E"/>
    <w:rsid w:val="00794B18"/>
    <w:rsid w:val="007A53E9"/>
    <w:rsid w:val="007A6406"/>
    <w:rsid w:val="007A7567"/>
    <w:rsid w:val="007A7AAD"/>
    <w:rsid w:val="007B01EB"/>
    <w:rsid w:val="007B03DA"/>
    <w:rsid w:val="007B0AD2"/>
    <w:rsid w:val="007B16A2"/>
    <w:rsid w:val="007B2755"/>
    <w:rsid w:val="007B38BD"/>
    <w:rsid w:val="007B4617"/>
    <w:rsid w:val="007B7C1A"/>
    <w:rsid w:val="007C030C"/>
    <w:rsid w:val="007C1C61"/>
    <w:rsid w:val="007C2C77"/>
    <w:rsid w:val="007C3EC9"/>
    <w:rsid w:val="007C61AF"/>
    <w:rsid w:val="007D0AA4"/>
    <w:rsid w:val="007D2465"/>
    <w:rsid w:val="007D2C18"/>
    <w:rsid w:val="007D3FD1"/>
    <w:rsid w:val="007D41F8"/>
    <w:rsid w:val="007D5189"/>
    <w:rsid w:val="007D6292"/>
    <w:rsid w:val="007E1143"/>
    <w:rsid w:val="007E6788"/>
    <w:rsid w:val="007F31EA"/>
    <w:rsid w:val="007F3A36"/>
    <w:rsid w:val="007F4A36"/>
    <w:rsid w:val="007F545A"/>
    <w:rsid w:val="007F6087"/>
    <w:rsid w:val="0080005C"/>
    <w:rsid w:val="00800690"/>
    <w:rsid w:val="008040D1"/>
    <w:rsid w:val="0081072B"/>
    <w:rsid w:val="00811A7F"/>
    <w:rsid w:val="00811BA8"/>
    <w:rsid w:val="00811D0E"/>
    <w:rsid w:val="00814173"/>
    <w:rsid w:val="00816E2B"/>
    <w:rsid w:val="00817BEA"/>
    <w:rsid w:val="0082009F"/>
    <w:rsid w:val="00820C51"/>
    <w:rsid w:val="00824D9F"/>
    <w:rsid w:val="00825060"/>
    <w:rsid w:val="00830F02"/>
    <w:rsid w:val="00832B7F"/>
    <w:rsid w:val="008342CC"/>
    <w:rsid w:val="00834955"/>
    <w:rsid w:val="008410E8"/>
    <w:rsid w:val="00843BC6"/>
    <w:rsid w:val="00846E9B"/>
    <w:rsid w:val="00847689"/>
    <w:rsid w:val="00847C08"/>
    <w:rsid w:val="00850B76"/>
    <w:rsid w:val="0085160C"/>
    <w:rsid w:val="00856FC3"/>
    <w:rsid w:val="00861DC8"/>
    <w:rsid w:val="00864B5C"/>
    <w:rsid w:val="00865F12"/>
    <w:rsid w:val="0086761E"/>
    <w:rsid w:val="00873053"/>
    <w:rsid w:val="0087651A"/>
    <w:rsid w:val="00882C7B"/>
    <w:rsid w:val="008839E5"/>
    <w:rsid w:val="00883D7E"/>
    <w:rsid w:val="00885C34"/>
    <w:rsid w:val="00885EFA"/>
    <w:rsid w:val="00887EE6"/>
    <w:rsid w:val="008942CC"/>
    <w:rsid w:val="008950D9"/>
    <w:rsid w:val="00895667"/>
    <w:rsid w:val="0089738D"/>
    <w:rsid w:val="00897AB3"/>
    <w:rsid w:val="00897D5F"/>
    <w:rsid w:val="008A0D8E"/>
    <w:rsid w:val="008A2E24"/>
    <w:rsid w:val="008A43C0"/>
    <w:rsid w:val="008A485C"/>
    <w:rsid w:val="008A57B7"/>
    <w:rsid w:val="008A5D10"/>
    <w:rsid w:val="008A5F2C"/>
    <w:rsid w:val="008A6DF1"/>
    <w:rsid w:val="008A730B"/>
    <w:rsid w:val="008B0985"/>
    <w:rsid w:val="008B2F54"/>
    <w:rsid w:val="008B2FF4"/>
    <w:rsid w:val="008B3ACE"/>
    <w:rsid w:val="008B69BC"/>
    <w:rsid w:val="008B6D48"/>
    <w:rsid w:val="008C313B"/>
    <w:rsid w:val="008C32BC"/>
    <w:rsid w:val="008C3A6F"/>
    <w:rsid w:val="008C3C1A"/>
    <w:rsid w:val="008C56CC"/>
    <w:rsid w:val="008C5AD5"/>
    <w:rsid w:val="008D0E4F"/>
    <w:rsid w:val="008D2806"/>
    <w:rsid w:val="008D4ED9"/>
    <w:rsid w:val="008D5078"/>
    <w:rsid w:val="008D61D3"/>
    <w:rsid w:val="008D6FE6"/>
    <w:rsid w:val="008E3ED8"/>
    <w:rsid w:val="008E6A30"/>
    <w:rsid w:val="008E7763"/>
    <w:rsid w:val="008F06DD"/>
    <w:rsid w:val="008F28F5"/>
    <w:rsid w:val="008F3573"/>
    <w:rsid w:val="008F54CC"/>
    <w:rsid w:val="008F737E"/>
    <w:rsid w:val="009011A8"/>
    <w:rsid w:val="00902DA6"/>
    <w:rsid w:val="00904EC9"/>
    <w:rsid w:val="0091040A"/>
    <w:rsid w:val="009177DF"/>
    <w:rsid w:val="009220DC"/>
    <w:rsid w:val="00922AE1"/>
    <w:rsid w:val="00922C51"/>
    <w:rsid w:val="00923EB8"/>
    <w:rsid w:val="0092506C"/>
    <w:rsid w:val="009252D5"/>
    <w:rsid w:val="00931C19"/>
    <w:rsid w:val="009333DD"/>
    <w:rsid w:val="009335B8"/>
    <w:rsid w:val="009343B6"/>
    <w:rsid w:val="009347EF"/>
    <w:rsid w:val="00934C70"/>
    <w:rsid w:val="0094245D"/>
    <w:rsid w:val="0094281B"/>
    <w:rsid w:val="00943366"/>
    <w:rsid w:val="009502B8"/>
    <w:rsid w:val="0095226D"/>
    <w:rsid w:val="009542BA"/>
    <w:rsid w:val="009542DC"/>
    <w:rsid w:val="00954710"/>
    <w:rsid w:val="00956F46"/>
    <w:rsid w:val="0096489C"/>
    <w:rsid w:val="00971263"/>
    <w:rsid w:val="009735FA"/>
    <w:rsid w:val="00974F10"/>
    <w:rsid w:val="00974F17"/>
    <w:rsid w:val="00976183"/>
    <w:rsid w:val="00980A3F"/>
    <w:rsid w:val="00981384"/>
    <w:rsid w:val="00982147"/>
    <w:rsid w:val="00984024"/>
    <w:rsid w:val="0098535D"/>
    <w:rsid w:val="009853A2"/>
    <w:rsid w:val="009862B2"/>
    <w:rsid w:val="00990482"/>
    <w:rsid w:val="009907CF"/>
    <w:rsid w:val="0099126A"/>
    <w:rsid w:val="0099236D"/>
    <w:rsid w:val="00992C28"/>
    <w:rsid w:val="00994B4B"/>
    <w:rsid w:val="0099636A"/>
    <w:rsid w:val="009963EB"/>
    <w:rsid w:val="00996933"/>
    <w:rsid w:val="009970B3"/>
    <w:rsid w:val="009A2991"/>
    <w:rsid w:val="009A55F1"/>
    <w:rsid w:val="009A623A"/>
    <w:rsid w:val="009A67F2"/>
    <w:rsid w:val="009A7C59"/>
    <w:rsid w:val="009A7DC3"/>
    <w:rsid w:val="009A7E99"/>
    <w:rsid w:val="009B2DA6"/>
    <w:rsid w:val="009B327A"/>
    <w:rsid w:val="009B3386"/>
    <w:rsid w:val="009B3760"/>
    <w:rsid w:val="009B5268"/>
    <w:rsid w:val="009B5604"/>
    <w:rsid w:val="009B6C35"/>
    <w:rsid w:val="009C1021"/>
    <w:rsid w:val="009C22DB"/>
    <w:rsid w:val="009C267C"/>
    <w:rsid w:val="009C561B"/>
    <w:rsid w:val="009C71C5"/>
    <w:rsid w:val="009D0BF8"/>
    <w:rsid w:val="009D14CA"/>
    <w:rsid w:val="009D1B21"/>
    <w:rsid w:val="009D305F"/>
    <w:rsid w:val="009D48D6"/>
    <w:rsid w:val="009D5DAC"/>
    <w:rsid w:val="009D6315"/>
    <w:rsid w:val="009D66BF"/>
    <w:rsid w:val="009E03F0"/>
    <w:rsid w:val="009E18FD"/>
    <w:rsid w:val="009E19A5"/>
    <w:rsid w:val="009E201C"/>
    <w:rsid w:val="009E7E00"/>
    <w:rsid w:val="009F05E5"/>
    <w:rsid w:val="009F4571"/>
    <w:rsid w:val="009F5E61"/>
    <w:rsid w:val="00A00137"/>
    <w:rsid w:val="00A015D1"/>
    <w:rsid w:val="00A07161"/>
    <w:rsid w:val="00A10034"/>
    <w:rsid w:val="00A10CBC"/>
    <w:rsid w:val="00A11AFA"/>
    <w:rsid w:val="00A11B4C"/>
    <w:rsid w:val="00A1598C"/>
    <w:rsid w:val="00A2024E"/>
    <w:rsid w:val="00A2074D"/>
    <w:rsid w:val="00A20E4F"/>
    <w:rsid w:val="00A21FF5"/>
    <w:rsid w:val="00A2291A"/>
    <w:rsid w:val="00A25471"/>
    <w:rsid w:val="00A33E64"/>
    <w:rsid w:val="00A340F6"/>
    <w:rsid w:val="00A3644D"/>
    <w:rsid w:val="00A378CA"/>
    <w:rsid w:val="00A40DAD"/>
    <w:rsid w:val="00A41DC6"/>
    <w:rsid w:val="00A424EE"/>
    <w:rsid w:val="00A42ADC"/>
    <w:rsid w:val="00A42E50"/>
    <w:rsid w:val="00A42FB4"/>
    <w:rsid w:val="00A44126"/>
    <w:rsid w:val="00A44585"/>
    <w:rsid w:val="00A47FB7"/>
    <w:rsid w:val="00A506E6"/>
    <w:rsid w:val="00A51C02"/>
    <w:rsid w:val="00A53CFC"/>
    <w:rsid w:val="00A55B16"/>
    <w:rsid w:val="00A55EED"/>
    <w:rsid w:val="00A607BD"/>
    <w:rsid w:val="00A61D5A"/>
    <w:rsid w:val="00A7065C"/>
    <w:rsid w:val="00A73016"/>
    <w:rsid w:val="00A74349"/>
    <w:rsid w:val="00A74C4C"/>
    <w:rsid w:val="00A77898"/>
    <w:rsid w:val="00A8229B"/>
    <w:rsid w:val="00A827AB"/>
    <w:rsid w:val="00A83471"/>
    <w:rsid w:val="00A85500"/>
    <w:rsid w:val="00A85BE8"/>
    <w:rsid w:val="00A86E7D"/>
    <w:rsid w:val="00A90B03"/>
    <w:rsid w:val="00A91A00"/>
    <w:rsid w:val="00A9405F"/>
    <w:rsid w:val="00A940E0"/>
    <w:rsid w:val="00AA1072"/>
    <w:rsid w:val="00AA54EE"/>
    <w:rsid w:val="00AA751C"/>
    <w:rsid w:val="00AB009E"/>
    <w:rsid w:val="00AB00CD"/>
    <w:rsid w:val="00AB0472"/>
    <w:rsid w:val="00AB3D0C"/>
    <w:rsid w:val="00AB3D2E"/>
    <w:rsid w:val="00AB413D"/>
    <w:rsid w:val="00AB53CB"/>
    <w:rsid w:val="00AB773C"/>
    <w:rsid w:val="00AB77D6"/>
    <w:rsid w:val="00AC0466"/>
    <w:rsid w:val="00AC3263"/>
    <w:rsid w:val="00AC4506"/>
    <w:rsid w:val="00AC4627"/>
    <w:rsid w:val="00AC68D0"/>
    <w:rsid w:val="00AC6E33"/>
    <w:rsid w:val="00AD2387"/>
    <w:rsid w:val="00AD37B3"/>
    <w:rsid w:val="00AD3A9F"/>
    <w:rsid w:val="00AD5F0B"/>
    <w:rsid w:val="00AE0FFE"/>
    <w:rsid w:val="00AE4954"/>
    <w:rsid w:val="00AE4E81"/>
    <w:rsid w:val="00AE67A3"/>
    <w:rsid w:val="00AE7190"/>
    <w:rsid w:val="00AF099C"/>
    <w:rsid w:val="00AF0FEA"/>
    <w:rsid w:val="00AF14B1"/>
    <w:rsid w:val="00AF1F7B"/>
    <w:rsid w:val="00AF2332"/>
    <w:rsid w:val="00AF3DA8"/>
    <w:rsid w:val="00AF51CA"/>
    <w:rsid w:val="00AF7AE7"/>
    <w:rsid w:val="00B00A6A"/>
    <w:rsid w:val="00B0560B"/>
    <w:rsid w:val="00B05887"/>
    <w:rsid w:val="00B134DC"/>
    <w:rsid w:val="00B13891"/>
    <w:rsid w:val="00B15675"/>
    <w:rsid w:val="00B157D5"/>
    <w:rsid w:val="00B15A7A"/>
    <w:rsid w:val="00B20026"/>
    <w:rsid w:val="00B220AD"/>
    <w:rsid w:val="00B2307F"/>
    <w:rsid w:val="00B235EA"/>
    <w:rsid w:val="00B2787D"/>
    <w:rsid w:val="00B30B45"/>
    <w:rsid w:val="00B3332F"/>
    <w:rsid w:val="00B33616"/>
    <w:rsid w:val="00B33AB5"/>
    <w:rsid w:val="00B33E2C"/>
    <w:rsid w:val="00B364BA"/>
    <w:rsid w:val="00B37252"/>
    <w:rsid w:val="00B37E86"/>
    <w:rsid w:val="00B41A07"/>
    <w:rsid w:val="00B41A52"/>
    <w:rsid w:val="00B43402"/>
    <w:rsid w:val="00B459AC"/>
    <w:rsid w:val="00B45FE3"/>
    <w:rsid w:val="00B462D8"/>
    <w:rsid w:val="00B4662E"/>
    <w:rsid w:val="00B5018A"/>
    <w:rsid w:val="00B50200"/>
    <w:rsid w:val="00B520F7"/>
    <w:rsid w:val="00B52ACF"/>
    <w:rsid w:val="00B52AFE"/>
    <w:rsid w:val="00B52E27"/>
    <w:rsid w:val="00B5352F"/>
    <w:rsid w:val="00B55392"/>
    <w:rsid w:val="00B56873"/>
    <w:rsid w:val="00B57133"/>
    <w:rsid w:val="00B6027B"/>
    <w:rsid w:val="00B60513"/>
    <w:rsid w:val="00B62E42"/>
    <w:rsid w:val="00B63D77"/>
    <w:rsid w:val="00B63F4B"/>
    <w:rsid w:val="00B70D58"/>
    <w:rsid w:val="00B7120C"/>
    <w:rsid w:val="00B728DC"/>
    <w:rsid w:val="00B7465A"/>
    <w:rsid w:val="00B752EC"/>
    <w:rsid w:val="00B75E83"/>
    <w:rsid w:val="00B76569"/>
    <w:rsid w:val="00B818A6"/>
    <w:rsid w:val="00B87899"/>
    <w:rsid w:val="00B907CA"/>
    <w:rsid w:val="00B90AE6"/>
    <w:rsid w:val="00B93176"/>
    <w:rsid w:val="00B943BA"/>
    <w:rsid w:val="00B95C3D"/>
    <w:rsid w:val="00B96659"/>
    <w:rsid w:val="00B96C0B"/>
    <w:rsid w:val="00B97B34"/>
    <w:rsid w:val="00BA1D05"/>
    <w:rsid w:val="00BA2B68"/>
    <w:rsid w:val="00BA48EF"/>
    <w:rsid w:val="00BA7117"/>
    <w:rsid w:val="00BB0F49"/>
    <w:rsid w:val="00BB20B5"/>
    <w:rsid w:val="00BB241D"/>
    <w:rsid w:val="00BB5A5E"/>
    <w:rsid w:val="00BC0086"/>
    <w:rsid w:val="00BC0AAE"/>
    <w:rsid w:val="00BC1EE3"/>
    <w:rsid w:val="00BC3793"/>
    <w:rsid w:val="00BC674D"/>
    <w:rsid w:val="00BD11AF"/>
    <w:rsid w:val="00BD6083"/>
    <w:rsid w:val="00BD6A2A"/>
    <w:rsid w:val="00BD754D"/>
    <w:rsid w:val="00BE35EE"/>
    <w:rsid w:val="00BF034F"/>
    <w:rsid w:val="00BF1D22"/>
    <w:rsid w:val="00BF61F0"/>
    <w:rsid w:val="00C00EE3"/>
    <w:rsid w:val="00C014BF"/>
    <w:rsid w:val="00C01C96"/>
    <w:rsid w:val="00C04255"/>
    <w:rsid w:val="00C06646"/>
    <w:rsid w:val="00C07B40"/>
    <w:rsid w:val="00C10AE5"/>
    <w:rsid w:val="00C157CA"/>
    <w:rsid w:val="00C1707B"/>
    <w:rsid w:val="00C170E0"/>
    <w:rsid w:val="00C22203"/>
    <w:rsid w:val="00C22CDE"/>
    <w:rsid w:val="00C24124"/>
    <w:rsid w:val="00C31FFE"/>
    <w:rsid w:val="00C33520"/>
    <w:rsid w:val="00C36A63"/>
    <w:rsid w:val="00C36BC4"/>
    <w:rsid w:val="00C43326"/>
    <w:rsid w:val="00C44CCB"/>
    <w:rsid w:val="00C45DD5"/>
    <w:rsid w:val="00C47FF4"/>
    <w:rsid w:val="00C51560"/>
    <w:rsid w:val="00C55F5E"/>
    <w:rsid w:val="00C61A24"/>
    <w:rsid w:val="00C620D5"/>
    <w:rsid w:val="00C631A6"/>
    <w:rsid w:val="00C63A34"/>
    <w:rsid w:val="00C66C00"/>
    <w:rsid w:val="00C66E5A"/>
    <w:rsid w:val="00C702D7"/>
    <w:rsid w:val="00C70B5C"/>
    <w:rsid w:val="00C70D2C"/>
    <w:rsid w:val="00C73008"/>
    <w:rsid w:val="00C737CC"/>
    <w:rsid w:val="00C750D3"/>
    <w:rsid w:val="00C84671"/>
    <w:rsid w:val="00C92657"/>
    <w:rsid w:val="00C92A2A"/>
    <w:rsid w:val="00C92D6D"/>
    <w:rsid w:val="00C9302E"/>
    <w:rsid w:val="00C9324D"/>
    <w:rsid w:val="00C960A9"/>
    <w:rsid w:val="00C96243"/>
    <w:rsid w:val="00C96C25"/>
    <w:rsid w:val="00C96CC8"/>
    <w:rsid w:val="00C96F1D"/>
    <w:rsid w:val="00C97837"/>
    <w:rsid w:val="00CA2D39"/>
    <w:rsid w:val="00CA5FA9"/>
    <w:rsid w:val="00CA6096"/>
    <w:rsid w:val="00CA6655"/>
    <w:rsid w:val="00CA6921"/>
    <w:rsid w:val="00CA7718"/>
    <w:rsid w:val="00CA7964"/>
    <w:rsid w:val="00CA7E55"/>
    <w:rsid w:val="00CB2B68"/>
    <w:rsid w:val="00CB4FA2"/>
    <w:rsid w:val="00CB535A"/>
    <w:rsid w:val="00CB6658"/>
    <w:rsid w:val="00CB69E8"/>
    <w:rsid w:val="00CB6A0B"/>
    <w:rsid w:val="00CB6D42"/>
    <w:rsid w:val="00CC247C"/>
    <w:rsid w:val="00CC29BC"/>
    <w:rsid w:val="00CC3304"/>
    <w:rsid w:val="00CC4596"/>
    <w:rsid w:val="00CC4B45"/>
    <w:rsid w:val="00CC64C4"/>
    <w:rsid w:val="00CC6B55"/>
    <w:rsid w:val="00CD48C1"/>
    <w:rsid w:val="00CD4A88"/>
    <w:rsid w:val="00CD6583"/>
    <w:rsid w:val="00CD78F4"/>
    <w:rsid w:val="00CE0AB2"/>
    <w:rsid w:val="00CE0D3C"/>
    <w:rsid w:val="00CE40E9"/>
    <w:rsid w:val="00CE46A5"/>
    <w:rsid w:val="00CE6181"/>
    <w:rsid w:val="00CE6255"/>
    <w:rsid w:val="00CE649C"/>
    <w:rsid w:val="00CF645D"/>
    <w:rsid w:val="00CF6D02"/>
    <w:rsid w:val="00CF7C1B"/>
    <w:rsid w:val="00CF7C3E"/>
    <w:rsid w:val="00CF7E35"/>
    <w:rsid w:val="00D00E94"/>
    <w:rsid w:val="00D02EDD"/>
    <w:rsid w:val="00D05AEB"/>
    <w:rsid w:val="00D06EF0"/>
    <w:rsid w:val="00D07FC6"/>
    <w:rsid w:val="00D11C0C"/>
    <w:rsid w:val="00D17F0F"/>
    <w:rsid w:val="00D21A3B"/>
    <w:rsid w:val="00D22DC9"/>
    <w:rsid w:val="00D24EAE"/>
    <w:rsid w:val="00D25005"/>
    <w:rsid w:val="00D30399"/>
    <w:rsid w:val="00D31559"/>
    <w:rsid w:val="00D333AF"/>
    <w:rsid w:val="00D334AF"/>
    <w:rsid w:val="00D35225"/>
    <w:rsid w:val="00D36032"/>
    <w:rsid w:val="00D36065"/>
    <w:rsid w:val="00D37997"/>
    <w:rsid w:val="00D412B9"/>
    <w:rsid w:val="00D44AC5"/>
    <w:rsid w:val="00D45F28"/>
    <w:rsid w:val="00D4741A"/>
    <w:rsid w:val="00D47A68"/>
    <w:rsid w:val="00D5198D"/>
    <w:rsid w:val="00D53A4C"/>
    <w:rsid w:val="00D66153"/>
    <w:rsid w:val="00D67527"/>
    <w:rsid w:val="00D711CE"/>
    <w:rsid w:val="00D74699"/>
    <w:rsid w:val="00D7568E"/>
    <w:rsid w:val="00D805AE"/>
    <w:rsid w:val="00D83507"/>
    <w:rsid w:val="00D84DA9"/>
    <w:rsid w:val="00D85D95"/>
    <w:rsid w:val="00D91765"/>
    <w:rsid w:val="00D9217C"/>
    <w:rsid w:val="00D966B5"/>
    <w:rsid w:val="00D96BA2"/>
    <w:rsid w:val="00D96F1D"/>
    <w:rsid w:val="00DA18C6"/>
    <w:rsid w:val="00DA2353"/>
    <w:rsid w:val="00DA2438"/>
    <w:rsid w:val="00DA3266"/>
    <w:rsid w:val="00DA334B"/>
    <w:rsid w:val="00DA5FC2"/>
    <w:rsid w:val="00DB270C"/>
    <w:rsid w:val="00DB35AF"/>
    <w:rsid w:val="00DB3954"/>
    <w:rsid w:val="00DB6377"/>
    <w:rsid w:val="00DC1774"/>
    <w:rsid w:val="00DC53DE"/>
    <w:rsid w:val="00DC6502"/>
    <w:rsid w:val="00DD456A"/>
    <w:rsid w:val="00DD4C54"/>
    <w:rsid w:val="00DD585D"/>
    <w:rsid w:val="00DD65A0"/>
    <w:rsid w:val="00DE0A6B"/>
    <w:rsid w:val="00DE13E0"/>
    <w:rsid w:val="00DE3843"/>
    <w:rsid w:val="00DE49BD"/>
    <w:rsid w:val="00DE57F9"/>
    <w:rsid w:val="00DE694D"/>
    <w:rsid w:val="00DF355C"/>
    <w:rsid w:val="00DF446A"/>
    <w:rsid w:val="00DF50D3"/>
    <w:rsid w:val="00DF52A3"/>
    <w:rsid w:val="00DF69F0"/>
    <w:rsid w:val="00E00B6C"/>
    <w:rsid w:val="00E00C4A"/>
    <w:rsid w:val="00E017B2"/>
    <w:rsid w:val="00E045A8"/>
    <w:rsid w:val="00E07195"/>
    <w:rsid w:val="00E07484"/>
    <w:rsid w:val="00E07BDF"/>
    <w:rsid w:val="00E101BD"/>
    <w:rsid w:val="00E146CF"/>
    <w:rsid w:val="00E15FAB"/>
    <w:rsid w:val="00E16312"/>
    <w:rsid w:val="00E16EE0"/>
    <w:rsid w:val="00E170AD"/>
    <w:rsid w:val="00E20877"/>
    <w:rsid w:val="00E22D11"/>
    <w:rsid w:val="00E22FFA"/>
    <w:rsid w:val="00E25386"/>
    <w:rsid w:val="00E26086"/>
    <w:rsid w:val="00E261DA"/>
    <w:rsid w:val="00E26619"/>
    <w:rsid w:val="00E26903"/>
    <w:rsid w:val="00E317AF"/>
    <w:rsid w:val="00E34A6C"/>
    <w:rsid w:val="00E356C5"/>
    <w:rsid w:val="00E35FA5"/>
    <w:rsid w:val="00E3651C"/>
    <w:rsid w:val="00E36696"/>
    <w:rsid w:val="00E41EF7"/>
    <w:rsid w:val="00E436AB"/>
    <w:rsid w:val="00E439F9"/>
    <w:rsid w:val="00E44880"/>
    <w:rsid w:val="00E453E1"/>
    <w:rsid w:val="00E45503"/>
    <w:rsid w:val="00E45B62"/>
    <w:rsid w:val="00E50ED6"/>
    <w:rsid w:val="00E520B8"/>
    <w:rsid w:val="00E52358"/>
    <w:rsid w:val="00E53E97"/>
    <w:rsid w:val="00E549BB"/>
    <w:rsid w:val="00E54F42"/>
    <w:rsid w:val="00E54FFD"/>
    <w:rsid w:val="00E6129B"/>
    <w:rsid w:val="00E61C9C"/>
    <w:rsid w:val="00E63546"/>
    <w:rsid w:val="00E63BAD"/>
    <w:rsid w:val="00E6575F"/>
    <w:rsid w:val="00E67BD5"/>
    <w:rsid w:val="00E7110F"/>
    <w:rsid w:val="00E72504"/>
    <w:rsid w:val="00E74A40"/>
    <w:rsid w:val="00E7505A"/>
    <w:rsid w:val="00E75956"/>
    <w:rsid w:val="00E7683E"/>
    <w:rsid w:val="00E8072E"/>
    <w:rsid w:val="00E84B15"/>
    <w:rsid w:val="00E851F5"/>
    <w:rsid w:val="00E86262"/>
    <w:rsid w:val="00E86280"/>
    <w:rsid w:val="00E87591"/>
    <w:rsid w:val="00EA0956"/>
    <w:rsid w:val="00EA1692"/>
    <w:rsid w:val="00EA4C02"/>
    <w:rsid w:val="00EA76A3"/>
    <w:rsid w:val="00EB0BDE"/>
    <w:rsid w:val="00EB486E"/>
    <w:rsid w:val="00EC012A"/>
    <w:rsid w:val="00EC16D1"/>
    <w:rsid w:val="00EC1AFA"/>
    <w:rsid w:val="00EC1F6C"/>
    <w:rsid w:val="00EC6E27"/>
    <w:rsid w:val="00EC7A05"/>
    <w:rsid w:val="00ED0BEF"/>
    <w:rsid w:val="00ED33F9"/>
    <w:rsid w:val="00ED67D6"/>
    <w:rsid w:val="00EE536C"/>
    <w:rsid w:val="00EF0BD2"/>
    <w:rsid w:val="00EF471C"/>
    <w:rsid w:val="00EF5C79"/>
    <w:rsid w:val="00EF663D"/>
    <w:rsid w:val="00EF6A61"/>
    <w:rsid w:val="00EF7014"/>
    <w:rsid w:val="00F016AA"/>
    <w:rsid w:val="00F0327B"/>
    <w:rsid w:val="00F04A8D"/>
    <w:rsid w:val="00F069FE"/>
    <w:rsid w:val="00F076B3"/>
    <w:rsid w:val="00F1311C"/>
    <w:rsid w:val="00F134DE"/>
    <w:rsid w:val="00F14563"/>
    <w:rsid w:val="00F1472B"/>
    <w:rsid w:val="00F1657A"/>
    <w:rsid w:val="00F165D9"/>
    <w:rsid w:val="00F16A11"/>
    <w:rsid w:val="00F214AC"/>
    <w:rsid w:val="00F2221A"/>
    <w:rsid w:val="00F22C7C"/>
    <w:rsid w:val="00F240DF"/>
    <w:rsid w:val="00F25B42"/>
    <w:rsid w:val="00F2723F"/>
    <w:rsid w:val="00F27721"/>
    <w:rsid w:val="00F27EF3"/>
    <w:rsid w:val="00F30FEF"/>
    <w:rsid w:val="00F316B8"/>
    <w:rsid w:val="00F33671"/>
    <w:rsid w:val="00F354D0"/>
    <w:rsid w:val="00F35D6E"/>
    <w:rsid w:val="00F40245"/>
    <w:rsid w:val="00F44016"/>
    <w:rsid w:val="00F44339"/>
    <w:rsid w:val="00F45CD4"/>
    <w:rsid w:val="00F507E3"/>
    <w:rsid w:val="00F52A23"/>
    <w:rsid w:val="00F55CDD"/>
    <w:rsid w:val="00F646B4"/>
    <w:rsid w:val="00F71985"/>
    <w:rsid w:val="00F72A63"/>
    <w:rsid w:val="00F73909"/>
    <w:rsid w:val="00F76326"/>
    <w:rsid w:val="00F776B8"/>
    <w:rsid w:val="00F801F7"/>
    <w:rsid w:val="00F805BC"/>
    <w:rsid w:val="00F820AD"/>
    <w:rsid w:val="00F82692"/>
    <w:rsid w:val="00F83C83"/>
    <w:rsid w:val="00F84CB0"/>
    <w:rsid w:val="00F85753"/>
    <w:rsid w:val="00F85B0A"/>
    <w:rsid w:val="00F85E9A"/>
    <w:rsid w:val="00F8746D"/>
    <w:rsid w:val="00F874AF"/>
    <w:rsid w:val="00F93B4A"/>
    <w:rsid w:val="00F9482E"/>
    <w:rsid w:val="00F95B12"/>
    <w:rsid w:val="00FA2BA6"/>
    <w:rsid w:val="00FA2F88"/>
    <w:rsid w:val="00FA31D7"/>
    <w:rsid w:val="00FA599C"/>
    <w:rsid w:val="00FA6D25"/>
    <w:rsid w:val="00FA7568"/>
    <w:rsid w:val="00FB0517"/>
    <w:rsid w:val="00FB1E39"/>
    <w:rsid w:val="00FB2958"/>
    <w:rsid w:val="00FB2C1A"/>
    <w:rsid w:val="00FB6919"/>
    <w:rsid w:val="00FC1AFA"/>
    <w:rsid w:val="00FC1DB1"/>
    <w:rsid w:val="00FC28F9"/>
    <w:rsid w:val="00FC4D24"/>
    <w:rsid w:val="00FC4E18"/>
    <w:rsid w:val="00FC565E"/>
    <w:rsid w:val="00FC7F38"/>
    <w:rsid w:val="00FC7FB7"/>
    <w:rsid w:val="00FD1566"/>
    <w:rsid w:val="00FD17B5"/>
    <w:rsid w:val="00FD1AF7"/>
    <w:rsid w:val="00FD3CBB"/>
    <w:rsid w:val="00FD4743"/>
    <w:rsid w:val="00FD7D45"/>
    <w:rsid w:val="00FD7FC0"/>
    <w:rsid w:val="00FE0A10"/>
    <w:rsid w:val="00FE1B35"/>
    <w:rsid w:val="00FE2DBD"/>
    <w:rsid w:val="00FE6D58"/>
    <w:rsid w:val="00FF37BF"/>
    <w:rsid w:val="00FF4B3B"/>
    <w:rsid w:val="00FF56D8"/>
    <w:rsid w:val="00FF6C9A"/>
    <w:rsid w:val="00FF700C"/>
    <w:rsid w:val="012ECE91"/>
    <w:rsid w:val="014A9E3D"/>
    <w:rsid w:val="04522729"/>
    <w:rsid w:val="049E6BAD"/>
    <w:rsid w:val="05A1C39C"/>
    <w:rsid w:val="05C0F29A"/>
    <w:rsid w:val="06830955"/>
    <w:rsid w:val="07520BBE"/>
    <w:rsid w:val="082554D5"/>
    <w:rsid w:val="0874AA6B"/>
    <w:rsid w:val="08959C5F"/>
    <w:rsid w:val="09687CD4"/>
    <w:rsid w:val="0A704BC0"/>
    <w:rsid w:val="0AB30871"/>
    <w:rsid w:val="0B018AE1"/>
    <w:rsid w:val="0B333207"/>
    <w:rsid w:val="0C072A64"/>
    <w:rsid w:val="0C52B760"/>
    <w:rsid w:val="0C77F0D4"/>
    <w:rsid w:val="0E0D9320"/>
    <w:rsid w:val="0E0EE975"/>
    <w:rsid w:val="0E5FAD6A"/>
    <w:rsid w:val="0ECCA543"/>
    <w:rsid w:val="0F628AAE"/>
    <w:rsid w:val="10D96C5C"/>
    <w:rsid w:val="10FF047C"/>
    <w:rsid w:val="1153E80B"/>
    <w:rsid w:val="11760761"/>
    <w:rsid w:val="12173069"/>
    <w:rsid w:val="12BBE509"/>
    <w:rsid w:val="13159FC0"/>
    <w:rsid w:val="13BB5D52"/>
    <w:rsid w:val="1440C25A"/>
    <w:rsid w:val="145CE1D5"/>
    <w:rsid w:val="154966EE"/>
    <w:rsid w:val="15572DB3"/>
    <w:rsid w:val="16442D8F"/>
    <w:rsid w:val="164EB9FD"/>
    <w:rsid w:val="16657E59"/>
    <w:rsid w:val="167F8A8F"/>
    <w:rsid w:val="16868512"/>
    <w:rsid w:val="184DBC1D"/>
    <w:rsid w:val="18A39D90"/>
    <w:rsid w:val="18C61E12"/>
    <w:rsid w:val="19303750"/>
    <w:rsid w:val="1A50B3BD"/>
    <w:rsid w:val="1B37D2CF"/>
    <w:rsid w:val="1B6459C3"/>
    <w:rsid w:val="1B6F0E61"/>
    <w:rsid w:val="1BC66F37"/>
    <w:rsid w:val="1BE62DA4"/>
    <w:rsid w:val="1DB7E6C8"/>
    <w:rsid w:val="1F10877F"/>
    <w:rsid w:val="1FB49F7C"/>
    <w:rsid w:val="2041E5B6"/>
    <w:rsid w:val="214D8980"/>
    <w:rsid w:val="2191F209"/>
    <w:rsid w:val="21C5BDE8"/>
    <w:rsid w:val="21D9D1FC"/>
    <w:rsid w:val="21FBD7A4"/>
    <w:rsid w:val="2229FB65"/>
    <w:rsid w:val="230E205B"/>
    <w:rsid w:val="23356EF2"/>
    <w:rsid w:val="234C96F8"/>
    <w:rsid w:val="23710504"/>
    <w:rsid w:val="240993C5"/>
    <w:rsid w:val="2485BCCF"/>
    <w:rsid w:val="24877814"/>
    <w:rsid w:val="2547DDBA"/>
    <w:rsid w:val="258A3652"/>
    <w:rsid w:val="259F489B"/>
    <w:rsid w:val="25CF23C9"/>
    <w:rsid w:val="25DFCDF6"/>
    <w:rsid w:val="25F521CE"/>
    <w:rsid w:val="26C41A6F"/>
    <w:rsid w:val="2758A0BA"/>
    <w:rsid w:val="2842338C"/>
    <w:rsid w:val="28DF4B61"/>
    <w:rsid w:val="2956E5E4"/>
    <w:rsid w:val="297F168F"/>
    <w:rsid w:val="29F04914"/>
    <w:rsid w:val="29F90B54"/>
    <w:rsid w:val="2A2AF5B0"/>
    <w:rsid w:val="2A4A0F2A"/>
    <w:rsid w:val="2B2AC87B"/>
    <w:rsid w:val="2BB45C5D"/>
    <w:rsid w:val="2C6F9629"/>
    <w:rsid w:val="2D2AB0D3"/>
    <w:rsid w:val="2D68433B"/>
    <w:rsid w:val="2D8050E8"/>
    <w:rsid w:val="2E37D283"/>
    <w:rsid w:val="2E9FF542"/>
    <w:rsid w:val="2EA9FA7A"/>
    <w:rsid w:val="2EBCE52F"/>
    <w:rsid w:val="2F3148E6"/>
    <w:rsid w:val="2F31F01A"/>
    <w:rsid w:val="305719EE"/>
    <w:rsid w:val="308CBA08"/>
    <w:rsid w:val="309EC94D"/>
    <w:rsid w:val="31F0ABFF"/>
    <w:rsid w:val="321003C2"/>
    <w:rsid w:val="3266976C"/>
    <w:rsid w:val="338C7C60"/>
    <w:rsid w:val="34F47BB7"/>
    <w:rsid w:val="356A744F"/>
    <w:rsid w:val="3597DF4A"/>
    <w:rsid w:val="37AD21BA"/>
    <w:rsid w:val="382C1C79"/>
    <w:rsid w:val="38EB10F3"/>
    <w:rsid w:val="3A8067EB"/>
    <w:rsid w:val="3AEB9178"/>
    <w:rsid w:val="3AF9837F"/>
    <w:rsid w:val="3BFC9D02"/>
    <w:rsid w:val="3C0613D4"/>
    <w:rsid w:val="3C914417"/>
    <w:rsid w:val="3CA5E738"/>
    <w:rsid w:val="3D466A38"/>
    <w:rsid w:val="3D930312"/>
    <w:rsid w:val="3D986D63"/>
    <w:rsid w:val="3E39EF21"/>
    <w:rsid w:val="3F0D4FB4"/>
    <w:rsid w:val="400CDFA9"/>
    <w:rsid w:val="4010EB63"/>
    <w:rsid w:val="4014B834"/>
    <w:rsid w:val="402064C1"/>
    <w:rsid w:val="40BCCD38"/>
    <w:rsid w:val="42D1B500"/>
    <w:rsid w:val="42D6410D"/>
    <w:rsid w:val="43436E0E"/>
    <w:rsid w:val="43FCE266"/>
    <w:rsid w:val="4491062D"/>
    <w:rsid w:val="452F2E5F"/>
    <w:rsid w:val="4597B771"/>
    <w:rsid w:val="46520A93"/>
    <w:rsid w:val="473F0B80"/>
    <w:rsid w:val="480EC789"/>
    <w:rsid w:val="485478FD"/>
    <w:rsid w:val="489D5696"/>
    <w:rsid w:val="496221FB"/>
    <w:rsid w:val="49857BCC"/>
    <w:rsid w:val="4B81CE8B"/>
    <w:rsid w:val="4CB39828"/>
    <w:rsid w:val="4CB47FDE"/>
    <w:rsid w:val="4D18F81E"/>
    <w:rsid w:val="4D225068"/>
    <w:rsid w:val="4D9880F2"/>
    <w:rsid w:val="4DBE4400"/>
    <w:rsid w:val="4E69789C"/>
    <w:rsid w:val="4E7C9E4A"/>
    <w:rsid w:val="4EC0285B"/>
    <w:rsid w:val="4F8D041F"/>
    <w:rsid w:val="5060D798"/>
    <w:rsid w:val="50F5106C"/>
    <w:rsid w:val="520D7F91"/>
    <w:rsid w:val="52FA281D"/>
    <w:rsid w:val="534FC2C5"/>
    <w:rsid w:val="540C0981"/>
    <w:rsid w:val="547CD021"/>
    <w:rsid w:val="55177181"/>
    <w:rsid w:val="5653A671"/>
    <w:rsid w:val="56BB65B9"/>
    <w:rsid w:val="57280531"/>
    <w:rsid w:val="573F97DB"/>
    <w:rsid w:val="580937A5"/>
    <w:rsid w:val="585CBC59"/>
    <w:rsid w:val="599B8093"/>
    <w:rsid w:val="59C06533"/>
    <w:rsid w:val="59D040D6"/>
    <w:rsid w:val="5A925282"/>
    <w:rsid w:val="5BEB8098"/>
    <w:rsid w:val="5C071029"/>
    <w:rsid w:val="5C560455"/>
    <w:rsid w:val="5CCAA3A8"/>
    <w:rsid w:val="5DDC2111"/>
    <w:rsid w:val="60039D22"/>
    <w:rsid w:val="62146123"/>
    <w:rsid w:val="62493B0B"/>
    <w:rsid w:val="631673D6"/>
    <w:rsid w:val="641E9D13"/>
    <w:rsid w:val="6478F802"/>
    <w:rsid w:val="64D5228E"/>
    <w:rsid w:val="6509A476"/>
    <w:rsid w:val="6559A32D"/>
    <w:rsid w:val="658D6FF2"/>
    <w:rsid w:val="664CA3EA"/>
    <w:rsid w:val="66D3B559"/>
    <w:rsid w:val="66D3D4FB"/>
    <w:rsid w:val="66D4B5FC"/>
    <w:rsid w:val="6718A601"/>
    <w:rsid w:val="673BC9B8"/>
    <w:rsid w:val="6750DCBC"/>
    <w:rsid w:val="67BC1B0B"/>
    <w:rsid w:val="69F1048F"/>
    <w:rsid w:val="6A18ABCE"/>
    <w:rsid w:val="6A40FFA4"/>
    <w:rsid w:val="6A9915E2"/>
    <w:rsid w:val="6C94489F"/>
    <w:rsid w:val="6D484BA2"/>
    <w:rsid w:val="6DAC56FC"/>
    <w:rsid w:val="6DACB7E2"/>
    <w:rsid w:val="6E1B3F84"/>
    <w:rsid w:val="6E24A1DD"/>
    <w:rsid w:val="6E2799B9"/>
    <w:rsid w:val="6F4E5050"/>
    <w:rsid w:val="6F6852D8"/>
    <w:rsid w:val="6F76CB31"/>
    <w:rsid w:val="6FE4FB69"/>
    <w:rsid w:val="706B2705"/>
    <w:rsid w:val="720B08D4"/>
    <w:rsid w:val="72FC0C7D"/>
    <w:rsid w:val="7317A432"/>
    <w:rsid w:val="73322010"/>
    <w:rsid w:val="7338187D"/>
    <w:rsid w:val="73E7E1EA"/>
    <w:rsid w:val="741D435D"/>
    <w:rsid w:val="741F2D6E"/>
    <w:rsid w:val="76A5155C"/>
    <w:rsid w:val="78BB530D"/>
    <w:rsid w:val="793CE508"/>
    <w:rsid w:val="79406BC6"/>
    <w:rsid w:val="7957D7CB"/>
    <w:rsid w:val="79E6F570"/>
    <w:rsid w:val="7A1D2950"/>
    <w:rsid w:val="7AB707A4"/>
    <w:rsid w:val="7AD73E65"/>
    <w:rsid w:val="7AE91114"/>
    <w:rsid w:val="7B0DE672"/>
    <w:rsid w:val="7B78C8E7"/>
    <w:rsid w:val="7BA1A561"/>
    <w:rsid w:val="7BB5327A"/>
    <w:rsid w:val="7C114A38"/>
    <w:rsid w:val="7C534272"/>
    <w:rsid w:val="7C6DC90F"/>
    <w:rsid w:val="7CCF54FA"/>
    <w:rsid w:val="7CF269D9"/>
    <w:rsid w:val="7D004381"/>
    <w:rsid w:val="7DA23C38"/>
    <w:rsid w:val="7DD97358"/>
    <w:rsid w:val="7DF29BB5"/>
    <w:rsid w:val="7E0DE04E"/>
    <w:rsid w:val="7F16C1ED"/>
    <w:rsid w:val="7FA1451C"/>
    <w:rsid w:val="7FE9FA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C94B3"/>
  <w15:docId w15:val="{32884BE0-B20A-489A-BD50-713F8D98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FB4"/>
    <w:pPr>
      <w:spacing w:after="160" w:line="264" w:lineRule="auto"/>
    </w:pPr>
    <w:rPr>
      <w:rFonts w:ascii="Arial" w:hAnsi="Arial"/>
      <w:sz w:val="22"/>
      <w:szCs w:val="22"/>
    </w:rPr>
  </w:style>
  <w:style w:type="paragraph" w:styleId="Heading1">
    <w:name w:val="heading 1"/>
    <w:basedOn w:val="Normal"/>
    <w:next w:val="Normal"/>
    <w:link w:val="Heading1Char"/>
    <w:uiPriority w:val="9"/>
    <w:qFormat/>
    <w:rsid w:val="00FB6919"/>
    <w:pPr>
      <w:keepNext/>
      <w:keepLines/>
      <w:spacing w:before="240" w:after="240" w:line="240" w:lineRule="auto"/>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A42FB4"/>
    <w:pPr>
      <w:keepNext/>
      <w:keepLines/>
      <w:spacing w:before="240" w:after="120"/>
      <w:outlineLvl w:val="1"/>
    </w:pPr>
    <w:rPr>
      <w:rFonts w:eastAsiaTheme="majorEastAsia" w:cs="Arial"/>
      <w:b/>
      <w:sz w:val="36"/>
      <w:szCs w:val="26"/>
    </w:rPr>
  </w:style>
  <w:style w:type="paragraph" w:styleId="Heading3">
    <w:name w:val="heading 3"/>
    <w:basedOn w:val="Normal"/>
    <w:next w:val="Normal"/>
    <w:link w:val="Heading3Char"/>
    <w:uiPriority w:val="9"/>
    <w:unhideWhenUsed/>
    <w:qFormat/>
    <w:rsid w:val="009252D5"/>
    <w:pPr>
      <w:spacing w:before="120" w:after="120" w:line="240" w:lineRule="auto"/>
      <w:outlineLvl w:val="2"/>
    </w:pPr>
    <w:rPr>
      <w:rFonts w:eastAsiaTheme="majorEastAsia" w:cstheme="majorBidi"/>
      <w:b/>
      <w:bCs/>
      <w:color w:val="F58220" w:themeColor="background2"/>
      <w:sz w:val="28"/>
      <w:szCs w:val="28"/>
    </w:rPr>
  </w:style>
  <w:style w:type="paragraph" w:styleId="Heading4">
    <w:name w:val="heading 4"/>
    <w:basedOn w:val="Normal"/>
    <w:next w:val="Normal"/>
    <w:link w:val="Heading4Char"/>
    <w:uiPriority w:val="9"/>
    <w:unhideWhenUsed/>
    <w:qFormat/>
    <w:rsid w:val="009252D5"/>
    <w:pPr>
      <w:keepNext/>
      <w:keepLines/>
      <w:spacing w:before="240" w:after="120"/>
      <w:outlineLvl w:val="3"/>
    </w:pPr>
    <w:rPr>
      <w:rFonts w:eastAsiaTheme="majorEastAsia"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1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6919"/>
    <w:rPr>
      <w:rFonts w:ascii="Arial" w:eastAsiaTheme="majorEastAsia" w:hAnsi="Arial" w:cstheme="majorBidi"/>
      <w:b/>
      <w:sz w:val="44"/>
      <w:szCs w:val="32"/>
    </w:rPr>
  </w:style>
  <w:style w:type="paragraph" w:styleId="Header">
    <w:name w:val="header"/>
    <w:basedOn w:val="Normal"/>
    <w:link w:val="HeaderChar"/>
    <w:uiPriority w:val="99"/>
    <w:unhideWhenUsed/>
    <w:rsid w:val="00E170AD"/>
    <w:pPr>
      <w:tabs>
        <w:tab w:val="center" w:pos="4513"/>
        <w:tab w:val="right" w:pos="9026"/>
      </w:tabs>
    </w:pPr>
  </w:style>
  <w:style w:type="character" w:customStyle="1" w:styleId="HeaderChar">
    <w:name w:val="Header Char"/>
    <w:basedOn w:val="DefaultParagraphFont"/>
    <w:link w:val="Header"/>
    <w:uiPriority w:val="99"/>
    <w:rsid w:val="00E170AD"/>
  </w:style>
  <w:style w:type="paragraph" w:styleId="Footer">
    <w:name w:val="footer"/>
    <w:basedOn w:val="Normal"/>
    <w:link w:val="FooterChar"/>
    <w:uiPriority w:val="99"/>
    <w:unhideWhenUsed/>
    <w:rsid w:val="00E170AD"/>
    <w:pPr>
      <w:tabs>
        <w:tab w:val="center" w:pos="4513"/>
        <w:tab w:val="right" w:pos="9026"/>
      </w:tabs>
    </w:pPr>
  </w:style>
  <w:style w:type="character" w:customStyle="1" w:styleId="FooterChar">
    <w:name w:val="Footer Char"/>
    <w:basedOn w:val="DefaultParagraphFont"/>
    <w:link w:val="Footer"/>
    <w:uiPriority w:val="99"/>
    <w:rsid w:val="00E170AD"/>
  </w:style>
  <w:style w:type="character" w:styleId="CommentReference">
    <w:name w:val="annotation reference"/>
    <w:basedOn w:val="DefaultParagraphFont"/>
    <w:uiPriority w:val="99"/>
    <w:semiHidden/>
    <w:unhideWhenUsed/>
    <w:rsid w:val="00413769"/>
    <w:rPr>
      <w:sz w:val="16"/>
      <w:szCs w:val="16"/>
    </w:rPr>
  </w:style>
  <w:style w:type="paragraph" w:styleId="CommentText">
    <w:name w:val="annotation text"/>
    <w:basedOn w:val="Normal"/>
    <w:link w:val="CommentTextChar"/>
    <w:uiPriority w:val="99"/>
    <w:unhideWhenUsed/>
    <w:rsid w:val="00413769"/>
    <w:rPr>
      <w:sz w:val="20"/>
      <w:szCs w:val="20"/>
    </w:rPr>
  </w:style>
  <w:style w:type="character" w:customStyle="1" w:styleId="CommentTextChar">
    <w:name w:val="Comment Text Char"/>
    <w:basedOn w:val="DefaultParagraphFont"/>
    <w:link w:val="CommentText"/>
    <w:uiPriority w:val="99"/>
    <w:rsid w:val="00413769"/>
    <w:rPr>
      <w:sz w:val="20"/>
      <w:szCs w:val="20"/>
    </w:rPr>
  </w:style>
  <w:style w:type="paragraph" w:styleId="CommentSubject">
    <w:name w:val="annotation subject"/>
    <w:basedOn w:val="CommentText"/>
    <w:next w:val="CommentText"/>
    <w:link w:val="CommentSubjectChar"/>
    <w:uiPriority w:val="99"/>
    <w:semiHidden/>
    <w:unhideWhenUsed/>
    <w:rsid w:val="00413769"/>
    <w:rPr>
      <w:b/>
      <w:bCs/>
    </w:rPr>
  </w:style>
  <w:style w:type="character" w:customStyle="1" w:styleId="CommentSubjectChar">
    <w:name w:val="Comment Subject Char"/>
    <w:basedOn w:val="CommentTextChar"/>
    <w:link w:val="CommentSubject"/>
    <w:uiPriority w:val="99"/>
    <w:semiHidden/>
    <w:rsid w:val="00413769"/>
    <w:rPr>
      <w:b/>
      <w:bCs/>
      <w:sz w:val="20"/>
      <w:szCs w:val="20"/>
    </w:rPr>
  </w:style>
  <w:style w:type="character" w:customStyle="1" w:styleId="Heading2Char">
    <w:name w:val="Heading 2 Char"/>
    <w:basedOn w:val="DefaultParagraphFont"/>
    <w:link w:val="Heading2"/>
    <w:uiPriority w:val="9"/>
    <w:rsid w:val="00A42FB4"/>
    <w:rPr>
      <w:rFonts w:ascii="Arial" w:eastAsiaTheme="majorEastAsia" w:hAnsi="Arial" w:cs="Arial"/>
      <w:b/>
      <w:sz w:val="36"/>
      <w:szCs w:val="26"/>
    </w:rPr>
  </w:style>
  <w:style w:type="character" w:customStyle="1" w:styleId="Heading4Char">
    <w:name w:val="Heading 4 Char"/>
    <w:basedOn w:val="DefaultParagraphFont"/>
    <w:link w:val="Heading4"/>
    <w:uiPriority w:val="9"/>
    <w:rsid w:val="009252D5"/>
    <w:rPr>
      <w:rFonts w:ascii="Arial" w:eastAsiaTheme="majorEastAsia" w:hAnsi="Arial" w:cs="Arial"/>
      <w:b/>
      <w:bCs/>
    </w:rPr>
  </w:style>
  <w:style w:type="character" w:customStyle="1" w:styleId="Heading3Char">
    <w:name w:val="Heading 3 Char"/>
    <w:basedOn w:val="DefaultParagraphFont"/>
    <w:link w:val="Heading3"/>
    <w:uiPriority w:val="9"/>
    <w:rsid w:val="009252D5"/>
    <w:rPr>
      <w:rFonts w:ascii="Arial" w:eastAsiaTheme="majorEastAsia" w:hAnsi="Arial" w:cstheme="majorBidi"/>
      <w:b/>
      <w:bCs/>
      <w:color w:val="F58220" w:themeColor="background2"/>
      <w:sz w:val="28"/>
      <w:szCs w:val="28"/>
    </w:rPr>
  </w:style>
  <w:style w:type="paragraph" w:styleId="ListBullet">
    <w:name w:val="List Bullet"/>
    <w:qFormat/>
    <w:rsid w:val="00A42FB4"/>
    <w:pPr>
      <w:numPr>
        <w:numId w:val="2"/>
      </w:numPr>
      <w:spacing w:before="60" w:after="60" w:line="276" w:lineRule="auto"/>
      <w:ind w:left="360"/>
    </w:pPr>
    <w:rPr>
      <w:rFonts w:ascii="Arial" w:eastAsia="Calibri" w:hAnsi="Arial" w:cs="Arial"/>
      <w:snapToGrid w:val="0"/>
      <w:sz w:val="22"/>
      <w:lang w:eastAsia="en-AU"/>
    </w:rPr>
  </w:style>
  <w:style w:type="paragraph" w:styleId="Revision">
    <w:name w:val="Revision"/>
    <w:hidden/>
    <w:uiPriority w:val="99"/>
    <w:semiHidden/>
    <w:rsid w:val="00FA6D25"/>
  </w:style>
  <w:style w:type="character" w:styleId="Hyperlink">
    <w:name w:val="Hyperlink"/>
    <w:basedOn w:val="DefaultParagraphFont"/>
    <w:uiPriority w:val="99"/>
    <w:unhideWhenUsed/>
    <w:rsid w:val="009252D5"/>
    <w:rPr>
      <w:rFonts w:ascii="Arial" w:hAnsi="Arial"/>
      <w:color w:val="00ACE0" w:themeColor="hyperlink"/>
      <w:sz w:val="22"/>
      <w:u w:val="single"/>
    </w:rPr>
  </w:style>
  <w:style w:type="character" w:styleId="UnresolvedMention">
    <w:name w:val="Unresolved Mention"/>
    <w:basedOn w:val="DefaultParagraphFont"/>
    <w:uiPriority w:val="99"/>
    <w:semiHidden/>
    <w:unhideWhenUsed/>
    <w:rsid w:val="00150DF3"/>
    <w:rPr>
      <w:color w:val="605E5C"/>
      <w:shd w:val="clear" w:color="auto" w:fill="E1DFDD"/>
    </w:rPr>
  </w:style>
  <w:style w:type="paragraph" w:customStyle="1" w:styleId="TableTextLeft">
    <w:name w:val="Table Text Left"/>
    <w:basedOn w:val="Normal"/>
    <w:link w:val="TableTextLeftCharChar"/>
    <w:rsid w:val="00A42FB4"/>
    <w:pPr>
      <w:spacing w:before="60" w:after="40" w:line="240" w:lineRule="auto"/>
    </w:pPr>
    <w:rPr>
      <w:rFonts w:eastAsia="MS Mincho" w:cs="Times New Roman"/>
      <w:sz w:val="20"/>
      <w:szCs w:val="24"/>
    </w:rPr>
  </w:style>
  <w:style w:type="character" w:customStyle="1" w:styleId="TableTextLeftCharChar">
    <w:name w:val="Table Text Left Char Char"/>
    <w:basedOn w:val="DefaultParagraphFont"/>
    <w:link w:val="TableTextLeft"/>
    <w:rsid w:val="00A42FB4"/>
    <w:rPr>
      <w:rFonts w:ascii="Arial" w:eastAsia="MS Mincho" w:hAnsi="Arial" w:cs="Times New Roman"/>
      <w:sz w:val="20"/>
    </w:rPr>
  </w:style>
  <w:style w:type="paragraph" w:customStyle="1" w:styleId="TableHeadingLeft">
    <w:name w:val="Table Heading Left"/>
    <w:basedOn w:val="TableTextLeft"/>
    <w:rsid w:val="00A42FB4"/>
    <w:rPr>
      <w:b/>
    </w:rPr>
  </w:style>
  <w:style w:type="paragraph" w:styleId="ListParagraph">
    <w:name w:val="List Paragraph"/>
    <w:aliases w:val="List Paragraph1,List Paragraph11,Recommendation,Bullet copy,Bullets Level 1,standard lewis,Bullet Points,Bullet point,L,List Bullet 1,List Paragraph Number,Body Bullets 1,Bulletr List Paragraph,FooterText,List Paragraph2,List Paragraph21"/>
    <w:basedOn w:val="Normal"/>
    <w:link w:val="ListParagraphChar"/>
    <w:uiPriority w:val="34"/>
    <w:qFormat/>
    <w:rsid w:val="00DC6502"/>
    <w:pPr>
      <w:spacing w:after="0" w:line="240" w:lineRule="auto"/>
      <w:ind w:left="720"/>
      <w:contextualSpacing/>
    </w:pPr>
    <w:rPr>
      <w:rFonts w:asciiTheme="minorHAnsi" w:hAnsiTheme="minorHAnsi"/>
      <w:sz w:val="24"/>
      <w:szCs w:val="24"/>
    </w:rPr>
  </w:style>
  <w:style w:type="character" w:customStyle="1" w:styleId="ListParagraphChar">
    <w:name w:val="List Paragraph Char"/>
    <w:aliases w:val="List Paragraph1 Char,List Paragraph11 Char,Recommendation Char,Bullet copy Char,Bullets Level 1 Char,standard lewis Char,Bullet Points Char,Bullet point Char,L Char,List Bullet 1 Char,List Paragraph Number Char,Body Bullets 1 Char"/>
    <w:link w:val="ListParagraph"/>
    <w:uiPriority w:val="34"/>
    <w:locked/>
    <w:rsid w:val="00DC6502"/>
  </w:style>
  <w:style w:type="character" w:customStyle="1" w:styleId="normaltextrun">
    <w:name w:val="normaltextrun"/>
    <w:basedOn w:val="DefaultParagraphFont"/>
    <w:rsid w:val="00AC68D0"/>
  </w:style>
  <w:style w:type="character" w:customStyle="1" w:styleId="ui-provider">
    <w:name w:val="ui-provider"/>
    <w:basedOn w:val="DefaultParagraphFont"/>
    <w:rsid w:val="007D6292"/>
  </w:style>
  <w:style w:type="paragraph" w:styleId="NormalWeb">
    <w:name w:val="Normal (Web)"/>
    <w:basedOn w:val="Normal"/>
    <w:uiPriority w:val="99"/>
    <w:unhideWhenUsed/>
    <w:rsid w:val="00C930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sonormal">
    <w:name w:val="x_msonormal"/>
    <w:basedOn w:val="Normal"/>
    <w:rsid w:val="00DE3843"/>
    <w:pPr>
      <w:spacing w:before="100" w:beforeAutospacing="1" w:after="100" w:afterAutospacing="1"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B30B45"/>
    <w:rPr>
      <w:color w:val="00A7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4751">
      <w:bodyDiv w:val="1"/>
      <w:marLeft w:val="0"/>
      <w:marRight w:val="0"/>
      <w:marTop w:val="0"/>
      <w:marBottom w:val="0"/>
      <w:divBdr>
        <w:top w:val="none" w:sz="0" w:space="0" w:color="auto"/>
        <w:left w:val="none" w:sz="0" w:space="0" w:color="auto"/>
        <w:bottom w:val="none" w:sz="0" w:space="0" w:color="auto"/>
        <w:right w:val="none" w:sz="0" w:space="0" w:color="auto"/>
      </w:divBdr>
    </w:div>
    <w:div w:id="133765294">
      <w:bodyDiv w:val="1"/>
      <w:marLeft w:val="0"/>
      <w:marRight w:val="0"/>
      <w:marTop w:val="0"/>
      <w:marBottom w:val="0"/>
      <w:divBdr>
        <w:top w:val="none" w:sz="0" w:space="0" w:color="auto"/>
        <w:left w:val="none" w:sz="0" w:space="0" w:color="auto"/>
        <w:bottom w:val="none" w:sz="0" w:space="0" w:color="auto"/>
        <w:right w:val="none" w:sz="0" w:space="0" w:color="auto"/>
      </w:divBdr>
    </w:div>
    <w:div w:id="165679131">
      <w:bodyDiv w:val="1"/>
      <w:marLeft w:val="0"/>
      <w:marRight w:val="0"/>
      <w:marTop w:val="0"/>
      <w:marBottom w:val="0"/>
      <w:divBdr>
        <w:top w:val="none" w:sz="0" w:space="0" w:color="auto"/>
        <w:left w:val="none" w:sz="0" w:space="0" w:color="auto"/>
        <w:bottom w:val="none" w:sz="0" w:space="0" w:color="auto"/>
        <w:right w:val="none" w:sz="0" w:space="0" w:color="auto"/>
      </w:divBdr>
    </w:div>
    <w:div w:id="372850019">
      <w:bodyDiv w:val="1"/>
      <w:marLeft w:val="0"/>
      <w:marRight w:val="0"/>
      <w:marTop w:val="0"/>
      <w:marBottom w:val="0"/>
      <w:divBdr>
        <w:top w:val="none" w:sz="0" w:space="0" w:color="auto"/>
        <w:left w:val="none" w:sz="0" w:space="0" w:color="auto"/>
        <w:bottom w:val="none" w:sz="0" w:space="0" w:color="auto"/>
        <w:right w:val="none" w:sz="0" w:space="0" w:color="auto"/>
      </w:divBdr>
    </w:div>
    <w:div w:id="373964535">
      <w:bodyDiv w:val="1"/>
      <w:marLeft w:val="0"/>
      <w:marRight w:val="0"/>
      <w:marTop w:val="0"/>
      <w:marBottom w:val="0"/>
      <w:divBdr>
        <w:top w:val="none" w:sz="0" w:space="0" w:color="auto"/>
        <w:left w:val="none" w:sz="0" w:space="0" w:color="auto"/>
        <w:bottom w:val="none" w:sz="0" w:space="0" w:color="auto"/>
        <w:right w:val="none" w:sz="0" w:space="0" w:color="auto"/>
      </w:divBdr>
    </w:div>
    <w:div w:id="418794125">
      <w:bodyDiv w:val="1"/>
      <w:marLeft w:val="0"/>
      <w:marRight w:val="0"/>
      <w:marTop w:val="0"/>
      <w:marBottom w:val="0"/>
      <w:divBdr>
        <w:top w:val="none" w:sz="0" w:space="0" w:color="auto"/>
        <w:left w:val="none" w:sz="0" w:space="0" w:color="auto"/>
        <w:bottom w:val="none" w:sz="0" w:space="0" w:color="auto"/>
        <w:right w:val="none" w:sz="0" w:space="0" w:color="auto"/>
      </w:divBdr>
    </w:div>
    <w:div w:id="843133939">
      <w:bodyDiv w:val="1"/>
      <w:marLeft w:val="0"/>
      <w:marRight w:val="0"/>
      <w:marTop w:val="0"/>
      <w:marBottom w:val="0"/>
      <w:divBdr>
        <w:top w:val="none" w:sz="0" w:space="0" w:color="auto"/>
        <w:left w:val="none" w:sz="0" w:space="0" w:color="auto"/>
        <w:bottom w:val="none" w:sz="0" w:space="0" w:color="auto"/>
        <w:right w:val="none" w:sz="0" w:space="0" w:color="auto"/>
      </w:divBdr>
    </w:div>
    <w:div w:id="1037199446">
      <w:bodyDiv w:val="1"/>
      <w:marLeft w:val="0"/>
      <w:marRight w:val="0"/>
      <w:marTop w:val="0"/>
      <w:marBottom w:val="0"/>
      <w:divBdr>
        <w:top w:val="none" w:sz="0" w:space="0" w:color="auto"/>
        <w:left w:val="none" w:sz="0" w:space="0" w:color="auto"/>
        <w:bottom w:val="none" w:sz="0" w:space="0" w:color="auto"/>
        <w:right w:val="none" w:sz="0" w:space="0" w:color="auto"/>
      </w:divBdr>
      <w:divsChild>
        <w:div w:id="94987566">
          <w:marLeft w:val="0"/>
          <w:marRight w:val="0"/>
          <w:marTop w:val="0"/>
          <w:marBottom w:val="0"/>
          <w:divBdr>
            <w:top w:val="none" w:sz="0" w:space="0" w:color="auto"/>
            <w:left w:val="none" w:sz="0" w:space="0" w:color="auto"/>
            <w:bottom w:val="none" w:sz="0" w:space="0" w:color="auto"/>
            <w:right w:val="none" w:sz="0" w:space="0" w:color="auto"/>
          </w:divBdr>
        </w:div>
        <w:div w:id="433552836">
          <w:marLeft w:val="0"/>
          <w:marRight w:val="0"/>
          <w:marTop w:val="0"/>
          <w:marBottom w:val="0"/>
          <w:divBdr>
            <w:top w:val="none" w:sz="0" w:space="0" w:color="auto"/>
            <w:left w:val="none" w:sz="0" w:space="0" w:color="auto"/>
            <w:bottom w:val="none" w:sz="0" w:space="0" w:color="auto"/>
            <w:right w:val="none" w:sz="0" w:space="0" w:color="auto"/>
          </w:divBdr>
          <w:divsChild>
            <w:div w:id="2053069504">
              <w:marLeft w:val="0"/>
              <w:marRight w:val="0"/>
              <w:marTop w:val="30"/>
              <w:marBottom w:val="30"/>
              <w:divBdr>
                <w:top w:val="none" w:sz="0" w:space="0" w:color="auto"/>
                <w:left w:val="none" w:sz="0" w:space="0" w:color="auto"/>
                <w:bottom w:val="none" w:sz="0" w:space="0" w:color="auto"/>
                <w:right w:val="none" w:sz="0" w:space="0" w:color="auto"/>
              </w:divBdr>
              <w:divsChild>
                <w:div w:id="20979977">
                  <w:marLeft w:val="0"/>
                  <w:marRight w:val="0"/>
                  <w:marTop w:val="0"/>
                  <w:marBottom w:val="0"/>
                  <w:divBdr>
                    <w:top w:val="none" w:sz="0" w:space="0" w:color="auto"/>
                    <w:left w:val="none" w:sz="0" w:space="0" w:color="auto"/>
                    <w:bottom w:val="none" w:sz="0" w:space="0" w:color="auto"/>
                    <w:right w:val="none" w:sz="0" w:space="0" w:color="auto"/>
                  </w:divBdr>
                  <w:divsChild>
                    <w:div w:id="300036089">
                      <w:marLeft w:val="0"/>
                      <w:marRight w:val="0"/>
                      <w:marTop w:val="0"/>
                      <w:marBottom w:val="0"/>
                      <w:divBdr>
                        <w:top w:val="none" w:sz="0" w:space="0" w:color="auto"/>
                        <w:left w:val="none" w:sz="0" w:space="0" w:color="auto"/>
                        <w:bottom w:val="none" w:sz="0" w:space="0" w:color="auto"/>
                        <w:right w:val="none" w:sz="0" w:space="0" w:color="auto"/>
                      </w:divBdr>
                    </w:div>
                  </w:divsChild>
                </w:div>
                <w:div w:id="107165540">
                  <w:marLeft w:val="0"/>
                  <w:marRight w:val="0"/>
                  <w:marTop w:val="0"/>
                  <w:marBottom w:val="0"/>
                  <w:divBdr>
                    <w:top w:val="none" w:sz="0" w:space="0" w:color="auto"/>
                    <w:left w:val="none" w:sz="0" w:space="0" w:color="auto"/>
                    <w:bottom w:val="none" w:sz="0" w:space="0" w:color="auto"/>
                    <w:right w:val="none" w:sz="0" w:space="0" w:color="auto"/>
                  </w:divBdr>
                  <w:divsChild>
                    <w:div w:id="329018316">
                      <w:marLeft w:val="0"/>
                      <w:marRight w:val="0"/>
                      <w:marTop w:val="0"/>
                      <w:marBottom w:val="0"/>
                      <w:divBdr>
                        <w:top w:val="none" w:sz="0" w:space="0" w:color="auto"/>
                        <w:left w:val="none" w:sz="0" w:space="0" w:color="auto"/>
                        <w:bottom w:val="none" w:sz="0" w:space="0" w:color="auto"/>
                        <w:right w:val="none" w:sz="0" w:space="0" w:color="auto"/>
                      </w:divBdr>
                    </w:div>
                  </w:divsChild>
                </w:div>
                <w:div w:id="144593275">
                  <w:marLeft w:val="0"/>
                  <w:marRight w:val="0"/>
                  <w:marTop w:val="0"/>
                  <w:marBottom w:val="0"/>
                  <w:divBdr>
                    <w:top w:val="none" w:sz="0" w:space="0" w:color="auto"/>
                    <w:left w:val="none" w:sz="0" w:space="0" w:color="auto"/>
                    <w:bottom w:val="none" w:sz="0" w:space="0" w:color="auto"/>
                    <w:right w:val="none" w:sz="0" w:space="0" w:color="auto"/>
                  </w:divBdr>
                  <w:divsChild>
                    <w:div w:id="1721585963">
                      <w:marLeft w:val="0"/>
                      <w:marRight w:val="0"/>
                      <w:marTop w:val="0"/>
                      <w:marBottom w:val="0"/>
                      <w:divBdr>
                        <w:top w:val="none" w:sz="0" w:space="0" w:color="auto"/>
                        <w:left w:val="none" w:sz="0" w:space="0" w:color="auto"/>
                        <w:bottom w:val="none" w:sz="0" w:space="0" w:color="auto"/>
                        <w:right w:val="none" w:sz="0" w:space="0" w:color="auto"/>
                      </w:divBdr>
                    </w:div>
                  </w:divsChild>
                </w:div>
                <w:div w:id="152643811">
                  <w:marLeft w:val="0"/>
                  <w:marRight w:val="0"/>
                  <w:marTop w:val="0"/>
                  <w:marBottom w:val="0"/>
                  <w:divBdr>
                    <w:top w:val="none" w:sz="0" w:space="0" w:color="auto"/>
                    <w:left w:val="none" w:sz="0" w:space="0" w:color="auto"/>
                    <w:bottom w:val="none" w:sz="0" w:space="0" w:color="auto"/>
                    <w:right w:val="none" w:sz="0" w:space="0" w:color="auto"/>
                  </w:divBdr>
                  <w:divsChild>
                    <w:div w:id="1714573271">
                      <w:marLeft w:val="0"/>
                      <w:marRight w:val="0"/>
                      <w:marTop w:val="0"/>
                      <w:marBottom w:val="0"/>
                      <w:divBdr>
                        <w:top w:val="none" w:sz="0" w:space="0" w:color="auto"/>
                        <w:left w:val="none" w:sz="0" w:space="0" w:color="auto"/>
                        <w:bottom w:val="none" w:sz="0" w:space="0" w:color="auto"/>
                        <w:right w:val="none" w:sz="0" w:space="0" w:color="auto"/>
                      </w:divBdr>
                    </w:div>
                  </w:divsChild>
                </w:div>
                <w:div w:id="237833010">
                  <w:marLeft w:val="0"/>
                  <w:marRight w:val="0"/>
                  <w:marTop w:val="0"/>
                  <w:marBottom w:val="0"/>
                  <w:divBdr>
                    <w:top w:val="none" w:sz="0" w:space="0" w:color="auto"/>
                    <w:left w:val="none" w:sz="0" w:space="0" w:color="auto"/>
                    <w:bottom w:val="none" w:sz="0" w:space="0" w:color="auto"/>
                    <w:right w:val="none" w:sz="0" w:space="0" w:color="auto"/>
                  </w:divBdr>
                  <w:divsChild>
                    <w:div w:id="1878883837">
                      <w:marLeft w:val="0"/>
                      <w:marRight w:val="0"/>
                      <w:marTop w:val="0"/>
                      <w:marBottom w:val="0"/>
                      <w:divBdr>
                        <w:top w:val="none" w:sz="0" w:space="0" w:color="auto"/>
                        <w:left w:val="none" w:sz="0" w:space="0" w:color="auto"/>
                        <w:bottom w:val="none" w:sz="0" w:space="0" w:color="auto"/>
                        <w:right w:val="none" w:sz="0" w:space="0" w:color="auto"/>
                      </w:divBdr>
                    </w:div>
                  </w:divsChild>
                </w:div>
                <w:div w:id="489291983">
                  <w:marLeft w:val="0"/>
                  <w:marRight w:val="0"/>
                  <w:marTop w:val="0"/>
                  <w:marBottom w:val="0"/>
                  <w:divBdr>
                    <w:top w:val="none" w:sz="0" w:space="0" w:color="auto"/>
                    <w:left w:val="none" w:sz="0" w:space="0" w:color="auto"/>
                    <w:bottom w:val="none" w:sz="0" w:space="0" w:color="auto"/>
                    <w:right w:val="none" w:sz="0" w:space="0" w:color="auto"/>
                  </w:divBdr>
                  <w:divsChild>
                    <w:div w:id="1023020237">
                      <w:marLeft w:val="0"/>
                      <w:marRight w:val="0"/>
                      <w:marTop w:val="0"/>
                      <w:marBottom w:val="0"/>
                      <w:divBdr>
                        <w:top w:val="none" w:sz="0" w:space="0" w:color="auto"/>
                        <w:left w:val="none" w:sz="0" w:space="0" w:color="auto"/>
                        <w:bottom w:val="none" w:sz="0" w:space="0" w:color="auto"/>
                        <w:right w:val="none" w:sz="0" w:space="0" w:color="auto"/>
                      </w:divBdr>
                    </w:div>
                  </w:divsChild>
                </w:div>
                <w:div w:id="521090913">
                  <w:marLeft w:val="0"/>
                  <w:marRight w:val="0"/>
                  <w:marTop w:val="0"/>
                  <w:marBottom w:val="0"/>
                  <w:divBdr>
                    <w:top w:val="none" w:sz="0" w:space="0" w:color="auto"/>
                    <w:left w:val="none" w:sz="0" w:space="0" w:color="auto"/>
                    <w:bottom w:val="none" w:sz="0" w:space="0" w:color="auto"/>
                    <w:right w:val="none" w:sz="0" w:space="0" w:color="auto"/>
                  </w:divBdr>
                  <w:divsChild>
                    <w:div w:id="120269020">
                      <w:marLeft w:val="0"/>
                      <w:marRight w:val="0"/>
                      <w:marTop w:val="0"/>
                      <w:marBottom w:val="0"/>
                      <w:divBdr>
                        <w:top w:val="none" w:sz="0" w:space="0" w:color="auto"/>
                        <w:left w:val="none" w:sz="0" w:space="0" w:color="auto"/>
                        <w:bottom w:val="none" w:sz="0" w:space="0" w:color="auto"/>
                        <w:right w:val="none" w:sz="0" w:space="0" w:color="auto"/>
                      </w:divBdr>
                    </w:div>
                  </w:divsChild>
                </w:div>
                <w:div w:id="584800067">
                  <w:marLeft w:val="0"/>
                  <w:marRight w:val="0"/>
                  <w:marTop w:val="0"/>
                  <w:marBottom w:val="0"/>
                  <w:divBdr>
                    <w:top w:val="none" w:sz="0" w:space="0" w:color="auto"/>
                    <w:left w:val="none" w:sz="0" w:space="0" w:color="auto"/>
                    <w:bottom w:val="none" w:sz="0" w:space="0" w:color="auto"/>
                    <w:right w:val="none" w:sz="0" w:space="0" w:color="auto"/>
                  </w:divBdr>
                  <w:divsChild>
                    <w:div w:id="1755858519">
                      <w:marLeft w:val="0"/>
                      <w:marRight w:val="0"/>
                      <w:marTop w:val="0"/>
                      <w:marBottom w:val="0"/>
                      <w:divBdr>
                        <w:top w:val="none" w:sz="0" w:space="0" w:color="auto"/>
                        <w:left w:val="none" w:sz="0" w:space="0" w:color="auto"/>
                        <w:bottom w:val="none" w:sz="0" w:space="0" w:color="auto"/>
                        <w:right w:val="none" w:sz="0" w:space="0" w:color="auto"/>
                      </w:divBdr>
                    </w:div>
                  </w:divsChild>
                </w:div>
                <w:div w:id="649558935">
                  <w:marLeft w:val="0"/>
                  <w:marRight w:val="0"/>
                  <w:marTop w:val="0"/>
                  <w:marBottom w:val="0"/>
                  <w:divBdr>
                    <w:top w:val="none" w:sz="0" w:space="0" w:color="auto"/>
                    <w:left w:val="none" w:sz="0" w:space="0" w:color="auto"/>
                    <w:bottom w:val="none" w:sz="0" w:space="0" w:color="auto"/>
                    <w:right w:val="none" w:sz="0" w:space="0" w:color="auto"/>
                  </w:divBdr>
                  <w:divsChild>
                    <w:div w:id="761335470">
                      <w:marLeft w:val="0"/>
                      <w:marRight w:val="0"/>
                      <w:marTop w:val="0"/>
                      <w:marBottom w:val="0"/>
                      <w:divBdr>
                        <w:top w:val="none" w:sz="0" w:space="0" w:color="auto"/>
                        <w:left w:val="none" w:sz="0" w:space="0" w:color="auto"/>
                        <w:bottom w:val="none" w:sz="0" w:space="0" w:color="auto"/>
                        <w:right w:val="none" w:sz="0" w:space="0" w:color="auto"/>
                      </w:divBdr>
                    </w:div>
                  </w:divsChild>
                </w:div>
                <w:div w:id="766922244">
                  <w:marLeft w:val="0"/>
                  <w:marRight w:val="0"/>
                  <w:marTop w:val="0"/>
                  <w:marBottom w:val="0"/>
                  <w:divBdr>
                    <w:top w:val="none" w:sz="0" w:space="0" w:color="auto"/>
                    <w:left w:val="none" w:sz="0" w:space="0" w:color="auto"/>
                    <w:bottom w:val="none" w:sz="0" w:space="0" w:color="auto"/>
                    <w:right w:val="none" w:sz="0" w:space="0" w:color="auto"/>
                  </w:divBdr>
                  <w:divsChild>
                    <w:div w:id="1294284541">
                      <w:marLeft w:val="0"/>
                      <w:marRight w:val="0"/>
                      <w:marTop w:val="0"/>
                      <w:marBottom w:val="0"/>
                      <w:divBdr>
                        <w:top w:val="none" w:sz="0" w:space="0" w:color="auto"/>
                        <w:left w:val="none" w:sz="0" w:space="0" w:color="auto"/>
                        <w:bottom w:val="none" w:sz="0" w:space="0" w:color="auto"/>
                        <w:right w:val="none" w:sz="0" w:space="0" w:color="auto"/>
                      </w:divBdr>
                    </w:div>
                  </w:divsChild>
                </w:div>
                <w:div w:id="782848663">
                  <w:marLeft w:val="0"/>
                  <w:marRight w:val="0"/>
                  <w:marTop w:val="0"/>
                  <w:marBottom w:val="0"/>
                  <w:divBdr>
                    <w:top w:val="none" w:sz="0" w:space="0" w:color="auto"/>
                    <w:left w:val="none" w:sz="0" w:space="0" w:color="auto"/>
                    <w:bottom w:val="none" w:sz="0" w:space="0" w:color="auto"/>
                    <w:right w:val="none" w:sz="0" w:space="0" w:color="auto"/>
                  </w:divBdr>
                  <w:divsChild>
                    <w:div w:id="1525483979">
                      <w:marLeft w:val="0"/>
                      <w:marRight w:val="0"/>
                      <w:marTop w:val="0"/>
                      <w:marBottom w:val="0"/>
                      <w:divBdr>
                        <w:top w:val="none" w:sz="0" w:space="0" w:color="auto"/>
                        <w:left w:val="none" w:sz="0" w:space="0" w:color="auto"/>
                        <w:bottom w:val="none" w:sz="0" w:space="0" w:color="auto"/>
                        <w:right w:val="none" w:sz="0" w:space="0" w:color="auto"/>
                      </w:divBdr>
                    </w:div>
                  </w:divsChild>
                </w:div>
                <w:div w:id="790443614">
                  <w:marLeft w:val="0"/>
                  <w:marRight w:val="0"/>
                  <w:marTop w:val="0"/>
                  <w:marBottom w:val="0"/>
                  <w:divBdr>
                    <w:top w:val="none" w:sz="0" w:space="0" w:color="auto"/>
                    <w:left w:val="none" w:sz="0" w:space="0" w:color="auto"/>
                    <w:bottom w:val="none" w:sz="0" w:space="0" w:color="auto"/>
                    <w:right w:val="none" w:sz="0" w:space="0" w:color="auto"/>
                  </w:divBdr>
                  <w:divsChild>
                    <w:div w:id="2012760330">
                      <w:marLeft w:val="0"/>
                      <w:marRight w:val="0"/>
                      <w:marTop w:val="0"/>
                      <w:marBottom w:val="0"/>
                      <w:divBdr>
                        <w:top w:val="none" w:sz="0" w:space="0" w:color="auto"/>
                        <w:left w:val="none" w:sz="0" w:space="0" w:color="auto"/>
                        <w:bottom w:val="none" w:sz="0" w:space="0" w:color="auto"/>
                        <w:right w:val="none" w:sz="0" w:space="0" w:color="auto"/>
                      </w:divBdr>
                    </w:div>
                  </w:divsChild>
                </w:div>
                <w:div w:id="816604763">
                  <w:marLeft w:val="0"/>
                  <w:marRight w:val="0"/>
                  <w:marTop w:val="0"/>
                  <w:marBottom w:val="0"/>
                  <w:divBdr>
                    <w:top w:val="none" w:sz="0" w:space="0" w:color="auto"/>
                    <w:left w:val="none" w:sz="0" w:space="0" w:color="auto"/>
                    <w:bottom w:val="none" w:sz="0" w:space="0" w:color="auto"/>
                    <w:right w:val="none" w:sz="0" w:space="0" w:color="auto"/>
                  </w:divBdr>
                  <w:divsChild>
                    <w:div w:id="1943800987">
                      <w:marLeft w:val="0"/>
                      <w:marRight w:val="0"/>
                      <w:marTop w:val="0"/>
                      <w:marBottom w:val="0"/>
                      <w:divBdr>
                        <w:top w:val="none" w:sz="0" w:space="0" w:color="auto"/>
                        <w:left w:val="none" w:sz="0" w:space="0" w:color="auto"/>
                        <w:bottom w:val="none" w:sz="0" w:space="0" w:color="auto"/>
                        <w:right w:val="none" w:sz="0" w:space="0" w:color="auto"/>
                      </w:divBdr>
                    </w:div>
                  </w:divsChild>
                </w:div>
                <w:div w:id="849560304">
                  <w:marLeft w:val="0"/>
                  <w:marRight w:val="0"/>
                  <w:marTop w:val="0"/>
                  <w:marBottom w:val="0"/>
                  <w:divBdr>
                    <w:top w:val="none" w:sz="0" w:space="0" w:color="auto"/>
                    <w:left w:val="none" w:sz="0" w:space="0" w:color="auto"/>
                    <w:bottom w:val="none" w:sz="0" w:space="0" w:color="auto"/>
                    <w:right w:val="none" w:sz="0" w:space="0" w:color="auto"/>
                  </w:divBdr>
                  <w:divsChild>
                    <w:div w:id="3674068">
                      <w:marLeft w:val="0"/>
                      <w:marRight w:val="0"/>
                      <w:marTop w:val="0"/>
                      <w:marBottom w:val="0"/>
                      <w:divBdr>
                        <w:top w:val="none" w:sz="0" w:space="0" w:color="auto"/>
                        <w:left w:val="none" w:sz="0" w:space="0" w:color="auto"/>
                        <w:bottom w:val="none" w:sz="0" w:space="0" w:color="auto"/>
                        <w:right w:val="none" w:sz="0" w:space="0" w:color="auto"/>
                      </w:divBdr>
                    </w:div>
                  </w:divsChild>
                </w:div>
                <w:div w:id="854462923">
                  <w:marLeft w:val="0"/>
                  <w:marRight w:val="0"/>
                  <w:marTop w:val="0"/>
                  <w:marBottom w:val="0"/>
                  <w:divBdr>
                    <w:top w:val="none" w:sz="0" w:space="0" w:color="auto"/>
                    <w:left w:val="none" w:sz="0" w:space="0" w:color="auto"/>
                    <w:bottom w:val="none" w:sz="0" w:space="0" w:color="auto"/>
                    <w:right w:val="none" w:sz="0" w:space="0" w:color="auto"/>
                  </w:divBdr>
                  <w:divsChild>
                    <w:div w:id="1831096153">
                      <w:marLeft w:val="0"/>
                      <w:marRight w:val="0"/>
                      <w:marTop w:val="0"/>
                      <w:marBottom w:val="0"/>
                      <w:divBdr>
                        <w:top w:val="none" w:sz="0" w:space="0" w:color="auto"/>
                        <w:left w:val="none" w:sz="0" w:space="0" w:color="auto"/>
                        <w:bottom w:val="none" w:sz="0" w:space="0" w:color="auto"/>
                        <w:right w:val="none" w:sz="0" w:space="0" w:color="auto"/>
                      </w:divBdr>
                    </w:div>
                  </w:divsChild>
                </w:div>
                <w:div w:id="900099930">
                  <w:marLeft w:val="0"/>
                  <w:marRight w:val="0"/>
                  <w:marTop w:val="0"/>
                  <w:marBottom w:val="0"/>
                  <w:divBdr>
                    <w:top w:val="none" w:sz="0" w:space="0" w:color="auto"/>
                    <w:left w:val="none" w:sz="0" w:space="0" w:color="auto"/>
                    <w:bottom w:val="none" w:sz="0" w:space="0" w:color="auto"/>
                    <w:right w:val="none" w:sz="0" w:space="0" w:color="auto"/>
                  </w:divBdr>
                  <w:divsChild>
                    <w:div w:id="1258557836">
                      <w:marLeft w:val="0"/>
                      <w:marRight w:val="0"/>
                      <w:marTop w:val="0"/>
                      <w:marBottom w:val="0"/>
                      <w:divBdr>
                        <w:top w:val="none" w:sz="0" w:space="0" w:color="auto"/>
                        <w:left w:val="none" w:sz="0" w:space="0" w:color="auto"/>
                        <w:bottom w:val="none" w:sz="0" w:space="0" w:color="auto"/>
                        <w:right w:val="none" w:sz="0" w:space="0" w:color="auto"/>
                      </w:divBdr>
                    </w:div>
                  </w:divsChild>
                </w:div>
                <w:div w:id="1045837239">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0"/>
                      <w:divBdr>
                        <w:top w:val="none" w:sz="0" w:space="0" w:color="auto"/>
                        <w:left w:val="none" w:sz="0" w:space="0" w:color="auto"/>
                        <w:bottom w:val="none" w:sz="0" w:space="0" w:color="auto"/>
                        <w:right w:val="none" w:sz="0" w:space="0" w:color="auto"/>
                      </w:divBdr>
                    </w:div>
                  </w:divsChild>
                </w:div>
                <w:div w:id="1048798790">
                  <w:marLeft w:val="0"/>
                  <w:marRight w:val="0"/>
                  <w:marTop w:val="0"/>
                  <w:marBottom w:val="0"/>
                  <w:divBdr>
                    <w:top w:val="none" w:sz="0" w:space="0" w:color="auto"/>
                    <w:left w:val="none" w:sz="0" w:space="0" w:color="auto"/>
                    <w:bottom w:val="none" w:sz="0" w:space="0" w:color="auto"/>
                    <w:right w:val="none" w:sz="0" w:space="0" w:color="auto"/>
                  </w:divBdr>
                  <w:divsChild>
                    <w:div w:id="146094002">
                      <w:marLeft w:val="0"/>
                      <w:marRight w:val="0"/>
                      <w:marTop w:val="0"/>
                      <w:marBottom w:val="0"/>
                      <w:divBdr>
                        <w:top w:val="none" w:sz="0" w:space="0" w:color="auto"/>
                        <w:left w:val="none" w:sz="0" w:space="0" w:color="auto"/>
                        <w:bottom w:val="none" w:sz="0" w:space="0" w:color="auto"/>
                        <w:right w:val="none" w:sz="0" w:space="0" w:color="auto"/>
                      </w:divBdr>
                    </w:div>
                  </w:divsChild>
                </w:div>
                <w:div w:id="1095252753">
                  <w:marLeft w:val="0"/>
                  <w:marRight w:val="0"/>
                  <w:marTop w:val="0"/>
                  <w:marBottom w:val="0"/>
                  <w:divBdr>
                    <w:top w:val="none" w:sz="0" w:space="0" w:color="auto"/>
                    <w:left w:val="none" w:sz="0" w:space="0" w:color="auto"/>
                    <w:bottom w:val="none" w:sz="0" w:space="0" w:color="auto"/>
                    <w:right w:val="none" w:sz="0" w:space="0" w:color="auto"/>
                  </w:divBdr>
                  <w:divsChild>
                    <w:div w:id="684939906">
                      <w:marLeft w:val="0"/>
                      <w:marRight w:val="0"/>
                      <w:marTop w:val="0"/>
                      <w:marBottom w:val="0"/>
                      <w:divBdr>
                        <w:top w:val="none" w:sz="0" w:space="0" w:color="auto"/>
                        <w:left w:val="none" w:sz="0" w:space="0" w:color="auto"/>
                        <w:bottom w:val="none" w:sz="0" w:space="0" w:color="auto"/>
                        <w:right w:val="none" w:sz="0" w:space="0" w:color="auto"/>
                      </w:divBdr>
                    </w:div>
                  </w:divsChild>
                </w:div>
                <w:div w:id="1161241595">
                  <w:marLeft w:val="0"/>
                  <w:marRight w:val="0"/>
                  <w:marTop w:val="0"/>
                  <w:marBottom w:val="0"/>
                  <w:divBdr>
                    <w:top w:val="none" w:sz="0" w:space="0" w:color="auto"/>
                    <w:left w:val="none" w:sz="0" w:space="0" w:color="auto"/>
                    <w:bottom w:val="none" w:sz="0" w:space="0" w:color="auto"/>
                    <w:right w:val="none" w:sz="0" w:space="0" w:color="auto"/>
                  </w:divBdr>
                  <w:divsChild>
                    <w:div w:id="1446774002">
                      <w:marLeft w:val="0"/>
                      <w:marRight w:val="0"/>
                      <w:marTop w:val="0"/>
                      <w:marBottom w:val="0"/>
                      <w:divBdr>
                        <w:top w:val="none" w:sz="0" w:space="0" w:color="auto"/>
                        <w:left w:val="none" w:sz="0" w:space="0" w:color="auto"/>
                        <w:bottom w:val="none" w:sz="0" w:space="0" w:color="auto"/>
                        <w:right w:val="none" w:sz="0" w:space="0" w:color="auto"/>
                      </w:divBdr>
                    </w:div>
                  </w:divsChild>
                </w:div>
                <w:div w:id="1187526711">
                  <w:marLeft w:val="0"/>
                  <w:marRight w:val="0"/>
                  <w:marTop w:val="0"/>
                  <w:marBottom w:val="0"/>
                  <w:divBdr>
                    <w:top w:val="none" w:sz="0" w:space="0" w:color="auto"/>
                    <w:left w:val="none" w:sz="0" w:space="0" w:color="auto"/>
                    <w:bottom w:val="none" w:sz="0" w:space="0" w:color="auto"/>
                    <w:right w:val="none" w:sz="0" w:space="0" w:color="auto"/>
                  </w:divBdr>
                  <w:divsChild>
                    <w:div w:id="948968645">
                      <w:marLeft w:val="0"/>
                      <w:marRight w:val="0"/>
                      <w:marTop w:val="0"/>
                      <w:marBottom w:val="0"/>
                      <w:divBdr>
                        <w:top w:val="none" w:sz="0" w:space="0" w:color="auto"/>
                        <w:left w:val="none" w:sz="0" w:space="0" w:color="auto"/>
                        <w:bottom w:val="none" w:sz="0" w:space="0" w:color="auto"/>
                        <w:right w:val="none" w:sz="0" w:space="0" w:color="auto"/>
                      </w:divBdr>
                    </w:div>
                  </w:divsChild>
                </w:div>
                <w:div w:id="1339502736">
                  <w:marLeft w:val="0"/>
                  <w:marRight w:val="0"/>
                  <w:marTop w:val="0"/>
                  <w:marBottom w:val="0"/>
                  <w:divBdr>
                    <w:top w:val="none" w:sz="0" w:space="0" w:color="auto"/>
                    <w:left w:val="none" w:sz="0" w:space="0" w:color="auto"/>
                    <w:bottom w:val="none" w:sz="0" w:space="0" w:color="auto"/>
                    <w:right w:val="none" w:sz="0" w:space="0" w:color="auto"/>
                  </w:divBdr>
                  <w:divsChild>
                    <w:div w:id="586038789">
                      <w:marLeft w:val="0"/>
                      <w:marRight w:val="0"/>
                      <w:marTop w:val="0"/>
                      <w:marBottom w:val="0"/>
                      <w:divBdr>
                        <w:top w:val="none" w:sz="0" w:space="0" w:color="auto"/>
                        <w:left w:val="none" w:sz="0" w:space="0" w:color="auto"/>
                        <w:bottom w:val="none" w:sz="0" w:space="0" w:color="auto"/>
                        <w:right w:val="none" w:sz="0" w:space="0" w:color="auto"/>
                      </w:divBdr>
                    </w:div>
                  </w:divsChild>
                </w:div>
                <w:div w:id="1354459623">
                  <w:marLeft w:val="0"/>
                  <w:marRight w:val="0"/>
                  <w:marTop w:val="0"/>
                  <w:marBottom w:val="0"/>
                  <w:divBdr>
                    <w:top w:val="none" w:sz="0" w:space="0" w:color="auto"/>
                    <w:left w:val="none" w:sz="0" w:space="0" w:color="auto"/>
                    <w:bottom w:val="none" w:sz="0" w:space="0" w:color="auto"/>
                    <w:right w:val="none" w:sz="0" w:space="0" w:color="auto"/>
                  </w:divBdr>
                  <w:divsChild>
                    <w:div w:id="1731920231">
                      <w:marLeft w:val="0"/>
                      <w:marRight w:val="0"/>
                      <w:marTop w:val="0"/>
                      <w:marBottom w:val="0"/>
                      <w:divBdr>
                        <w:top w:val="none" w:sz="0" w:space="0" w:color="auto"/>
                        <w:left w:val="none" w:sz="0" w:space="0" w:color="auto"/>
                        <w:bottom w:val="none" w:sz="0" w:space="0" w:color="auto"/>
                        <w:right w:val="none" w:sz="0" w:space="0" w:color="auto"/>
                      </w:divBdr>
                    </w:div>
                  </w:divsChild>
                </w:div>
                <w:div w:id="1539274872">
                  <w:marLeft w:val="0"/>
                  <w:marRight w:val="0"/>
                  <w:marTop w:val="0"/>
                  <w:marBottom w:val="0"/>
                  <w:divBdr>
                    <w:top w:val="none" w:sz="0" w:space="0" w:color="auto"/>
                    <w:left w:val="none" w:sz="0" w:space="0" w:color="auto"/>
                    <w:bottom w:val="none" w:sz="0" w:space="0" w:color="auto"/>
                    <w:right w:val="none" w:sz="0" w:space="0" w:color="auto"/>
                  </w:divBdr>
                  <w:divsChild>
                    <w:div w:id="501748456">
                      <w:marLeft w:val="0"/>
                      <w:marRight w:val="0"/>
                      <w:marTop w:val="0"/>
                      <w:marBottom w:val="0"/>
                      <w:divBdr>
                        <w:top w:val="none" w:sz="0" w:space="0" w:color="auto"/>
                        <w:left w:val="none" w:sz="0" w:space="0" w:color="auto"/>
                        <w:bottom w:val="none" w:sz="0" w:space="0" w:color="auto"/>
                        <w:right w:val="none" w:sz="0" w:space="0" w:color="auto"/>
                      </w:divBdr>
                    </w:div>
                  </w:divsChild>
                </w:div>
                <w:div w:id="1616057522">
                  <w:marLeft w:val="0"/>
                  <w:marRight w:val="0"/>
                  <w:marTop w:val="0"/>
                  <w:marBottom w:val="0"/>
                  <w:divBdr>
                    <w:top w:val="none" w:sz="0" w:space="0" w:color="auto"/>
                    <w:left w:val="none" w:sz="0" w:space="0" w:color="auto"/>
                    <w:bottom w:val="none" w:sz="0" w:space="0" w:color="auto"/>
                    <w:right w:val="none" w:sz="0" w:space="0" w:color="auto"/>
                  </w:divBdr>
                  <w:divsChild>
                    <w:div w:id="1971788597">
                      <w:marLeft w:val="0"/>
                      <w:marRight w:val="0"/>
                      <w:marTop w:val="0"/>
                      <w:marBottom w:val="0"/>
                      <w:divBdr>
                        <w:top w:val="none" w:sz="0" w:space="0" w:color="auto"/>
                        <w:left w:val="none" w:sz="0" w:space="0" w:color="auto"/>
                        <w:bottom w:val="none" w:sz="0" w:space="0" w:color="auto"/>
                        <w:right w:val="none" w:sz="0" w:space="0" w:color="auto"/>
                      </w:divBdr>
                    </w:div>
                  </w:divsChild>
                </w:div>
                <w:div w:id="1634486553">
                  <w:marLeft w:val="0"/>
                  <w:marRight w:val="0"/>
                  <w:marTop w:val="0"/>
                  <w:marBottom w:val="0"/>
                  <w:divBdr>
                    <w:top w:val="none" w:sz="0" w:space="0" w:color="auto"/>
                    <w:left w:val="none" w:sz="0" w:space="0" w:color="auto"/>
                    <w:bottom w:val="none" w:sz="0" w:space="0" w:color="auto"/>
                    <w:right w:val="none" w:sz="0" w:space="0" w:color="auto"/>
                  </w:divBdr>
                  <w:divsChild>
                    <w:div w:id="457187263">
                      <w:marLeft w:val="0"/>
                      <w:marRight w:val="0"/>
                      <w:marTop w:val="0"/>
                      <w:marBottom w:val="0"/>
                      <w:divBdr>
                        <w:top w:val="none" w:sz="0" w:space="0" w:color="auto"/>
                        <w:left w:val="none" w:sz="0" w:space="0" w:color="auto"/>
                        <w:bottom w:val="none" w:sz="0" w:space="0" w:color="auto"/>
                        <w:right w:val="none" w:sz="0" w:space="0" w:color="auto"/>
                      </w:divBdr>
                    </w:div>
                  </w:divsChild>
                </w:div>
                <w:div w:id="1641576476">
                  <w:marLeft w:val="0"/>
                  <w:marRight w:val="0"/>
                  <w:marTop w:val="0"/>
                  <w:marBottom w:val="0"/>
                  <w:divBdr>
                    <w:top w:val="none" w:sz="0" w:space="0" w:color="auto"/>
                    <w:left w:val="none" w:sz="0" w:space="0" w:color="auto"/>
                    <w:bottom w:val="none" w:sz="0" w:space="0" w:color="auto"/>
                    <w:right w:val="none" w:sz="0" w:space="0" w:color="auto"/>
                  </w:divBdr>
                  <w:divsChild>
                    <w:div w:id="1188180201">
                      <w:marLeft w:val="0"/>
                      <w:marRight w:val="0"/>
                      <w:marTop w:val="0"/>
                      <w:marBottom w:val="0"/>
                      <w:divBdr>
                        <w:top w:val="none" w:sz="0" w:space="0" w:color="auto"/>
                        <w:left w:val="none" w:sz="0" w:space="0" w:color="auto"/>
                        <w:bottom w:val="none" w:sz="0" w:space="0" w:color="auto"/>
                        <w:right w:val="none" w:sz="0" w:space="0" w:color="auto"/>
                      </w:divBdr>
                    </w:div>
                  </w:divsChild>
                </w:div>
                <w:div w:id="1757746660">
                  <w:marLeft w:val="0"/>
                  <w:marRight w:val="0"/>
                  <w:marTop w:val="0"/>
                  <w:marBottom w:val="0"/>
                  <w:divBdr>
                    <w:top w:val="none" w:sz="0" w:space="0" w:color="auto"/>
                    <w:left w:val="none" w:sz="0" w:space="0" w:color="auto"/>
                    <w:bottom w:val="none" w:sz="0" w:space="0" w:color="auto"/>
                    <w:right w:val="none" w:sz="0" w:space="0" w:color="auto"/>
                  </w:divBdr>
                  <w:divsChild>
                    <w:div w:id="1396852313">
                      <w:marLeft w:val="0"/>
                      <w:marRight w:val="0"/>
                      <w:marTop w:val="0"/>
                      <w:marBottom w:val="0"/>
                      <w:divBdr>
                        <w:top w:val="none" w:sz="0" w:space="0" w:color="auto"/>
                        <w:left w:val="none" w:sz="0" w:space="0" w:color="auto"/>
                        <w:bottom w:val="none" w:sz="0" w:space="0" w:color="auto"/>
                        <w:right w:val="none" w:sz="0" w:space="0" w:color="auto"/>
                      </w:divBdr>
                    </w:div>
                  </w:divsChild>
                </w:div>
                <w:div w:id="1757827600">
                  <w:marLeft w:val="0"/>
                  <w:marRight w:val="0"/>
                  <w:marTop w:val="0"/>
                  <w:marBottom w:val="0"/>
                  <w:divBdr>
                    <w:top w:val="none" w:sz="0" w:space="0" w:color="auto"/>
                    <w:left w:val="none" w:sz="0" w:space="0" w:color="auto"/>
                    <w:bottom w:val="none" w:sz="0" w:space="0" w:color="auto"/>
                    <w:right w:val="none" w:sz="0" w:space="0" w:color="auto"/>
                  </w:divBdr>
                  <w:divsChild>
                    <w:div w:id="834608349">
                      <w:marLeft w:val="0"/>
                      <w:marRight w:val="0"/>
                      <w:marTop w:val="0"/>
                      <w:marBottom w:val="0"/>
                      <w:divBdr>
                        <w:top w:val="none" w:sz="0" w:space="0" w:color="auto"/>
                        <w:left w:val="none" w:sz="0" w:space="0" w:color="auto"/>
                        <w:bottom w:val="none" w:sz="0" w:space="0" w:color="auto"/>
                        <w:right w:val="none" w:sz="0" w:space="0" w:color="auto"/>
                      </w:divBdr>
                    </w:div>
                  </w:divsChild>
                </w:div>
                <w:div w:id="1784423172">
                  <w:marLeft w:val="0"/>
                  <w:marRight w:val="0"/>
                  <w:marTop w:val="0"/>
                  <w:marBottom w:val="0"/>
                  <w:divBdr>
                    <w:top w:val="none" w:sz="0" w:space="0" w:color="auto"/>
                    <w:left w:val="none" w:sz="0" w:space="0" w:color="auto"/>
                    <w:bottom w:val="none" w:sz="0" w:space="0" w:color="auto"/>
                    <w:right w:val="none" w:sz="0" w:space="0" w:color="auto"/>
                  </w:divBdr>
                  <w:divsChild>
                    <w:div w:id="401025800">
                      <w:marLeft w:val="0"/>
                      <w:marRight w:val="0"/>
                      <w:marTop w:val="0"/>
                      <w:marBottom w:val="0"/>
                      <w:divBdr>
                        <w:top w:val="none" w:sz="0" w:space="0" w:color="auto"/>
                        <w:left w:val="none" w:sz="0" w:space="0" w:color="auto"/>
                        <w:bottom w:val="none" w:sz="0" w:space="0" w:color="auto"/>
                        <w:right w:val="none" w:sz="0" w:space="0" w:color="auto"/>
                      </w:divBdr>
                    </w:div>
                  </w:divsChild>
                </w:div>
                <w:div w:id="1793162364">
                  <w:marLeft w:val="0"/>
                  <w:marRight w:val="0"/>
                  <w:marTop w:val="0"/>
                  <w:marBottom w:val="0"/>
                  <w:divBdr>
                    <w:top w:val="none" w:sz="0" w:space="0" w:color="auto"/>
                    <w:left w:val="none" w:sz="0" w:space="0" w:color="auto"/>
                    <w:bottom w:val="none" w:sz="0" w:space="0" w:color="auto"/>
                    <w:right w:val="none" w:sz="0" w:space="0" w:color="auto"/>
                  </w:divBdr>
                  <w:divsChild>
                    <w:div w:id="18817476">
                      <w:marLeft w:val="0"/>
                      <w:marRight w:val="0"/>
                      <w:marTop w:val="0"/>
                      <w:marBottom w:val="0"/>
                      <w:divBdr>
                        <w:top w:val="none" w:sz="0" w:space="0" w:color="auto"/>
                        <w:left w:val="none" w:sz="0" w:space="0" w:color="auto"/>
                        <w:bottom w:val="none" w:sz="0" w:space="0" w:color="auto"/>
                        <w:right w:val="none" w:sz="0" w:space="0" w:color="auto"/>
                      </w:divBdr>
                    </w:div>
                  </w:divsChild>
                </w:div>
                <w:div w:id="1821533989">
                  <w:marLeft w:val="0"/>
                  <w:marRight w:val="0"/>
                  <w:marTop w:val="0"/>
                  <w:marBottom w:val="0"/>
                  <w:divBdr>
                    <w:top w:val="none" w:sz="0" w:space="0" w:color="auto"/>
                    <w:left w:val="none" w:sz="0" w:space="0" w:color="auto"/>
                    <w:bottom w:val="none" w:sz="0" w:space="0" w:color="auto"/>
                    <w:right w:val="none" w:sz="0" w:space="0" w:color="auto"/>
                  </w:divBdr>
                  <w:divsChild>
                    <w:div w:id="2078895398">
                      <w:marLeft w:val="0"/>
                      <w:marRight w:val="0"/>
                      <w:marTop w:val="0"/>
                      <w:marBottom w:val="0"/>
                      <w:divBdr>
                        <w:top w:val="none" w:sz="0" w:space="0" w:color="auto"/>
                        <w:left w:val="none" w:sz="0" w:space="0" w:color="auto"/>
                        <w:bottom w:val="none" w:sz="0" w:space="0" w:color="auto"/>
                        <w:right w:val="none" w:sz="0" w:space="0" w:color="auto"/>
                      </w:divBdr>
                    </w:div>
                  </w:divsChild>
                </w:div>
                <w:div w:id="2038890527">
                  <w:marLeft w:val="0"/>
                  <w:marRight w:val="0"/>
                  <w:marTop w:val="0"/>
                  <w:marBottom w:val="0"/>
                  <w:divBdr>
                    <w:top w:val="none" w:sz="0" w:space="0" w:color="auto"/>
                    <w:left w:val="none" w:sz="0" w:space="0" w:color="auto"/>
                    <w:bottom w:val="none" w:sz="0" w:space="0" w:color="auto"/>
                    <w:right w:val="none" w:sz="0" w:space="0" w:color="auto"/>
                  </w:divBdr>
                  <w:divsChild>
                    <w:div w:id="1791627111">
                      <w:marLeft w:val="0"/>
                      <w:marRight w:val="0"/>
                      <w:marTop w:val="0"/>
                      <w:marBottom w:val="0"/>
                      <w:divBdr>
                        <w:top w:val="none" w:sz="0" w:space="0" w:color="auto"/>
                        <w:left w:val="none" w:sz="0" w:space="0" w:color="auto"/>
                        <w:bottom w:val="none" w:sz="0" w:space="0" w:color="auto"/>
                        <w:right w:val="none" w:sz="0" w:space="0" w:color="auto"/>
                      </w:divBdr>
                    </w:div>
                  </w:divsChild>
                </w:div>
                <w:div w:id="2044017481">
                  <w:marLeft w:val="0"/>
                  <w:marRight w:val="0"/>
                  <w:marTop w:val="0"/>
                  <w:marBottom w:val="0"/>
                  <w:divBdr>
                    <w:top w:val="none" w:sz="0" w:space="0" w:color="auto"/>
                    <w:left w:val="none" w:sz="0" w:space="0" w:color="auto"/>
                    <w:bottom w:val="none" w:sz="0" w:space="0" w:color="auto"/>
                    <w:right w:val="none" w:sz="0" w:space="0" w:color="auto"/>
                  </w:divBdr>
                  <w:divsChild>
                    <w:div w:id="306595718">
                      <w:marLeft w:val="0"/>
                      <w:marRight w:val="0"/>
                      <w:marTop w:val="0"/>
                      <w:marBottom w:val="0"/>
                      <w:divBdr>
                        <w:top w:val="none" w:sz="0" w:space="0" w:color="auto"/>
                        <w:left w:val="none" w:sz="0" w:space="0" w:color="auto"/>
                        <w:bottom w:val="none" w:sz="0" w:space="0" w:color="auto"/>
                        <w:right w:val="none" w:sz="0" w:space="0" w:color="auto"/>
                      </w:divBdr>
                    </w:div>
                  </w:divsChild>
                </w:div>
                <w:div w:id="2122916329">
                  <w:marLeft w:val="0"/>
                  <w:marRight w:val="0"/>
                  <w:marTop w:val="0"/>
                  <w:marBottom w:val="0"/>
                  <w:divBdr>
                    <w:top w:val="none" w:sz="0" w:space="0" w:color="auto"/>
                    <w:left w:val="none" w:sz="0" w:space="0" w:color="auto"/>
                    <w:bottom w:val="none" w:sz="0" w:space="0" w:color="auto"/>
                    <w:right w:val="none" w:sz="0" w:space="0" w:color="auto"/>
                  </w:divBdr>
                  <w:divsChild>
                    <w:div w:id="94912253">
                      <w:marLeft w:val="0"/>
                      <w:marRight w:val="0"/>
                      <w:marTop w:val="0"/>
                      <w:marBottom w:val="0"/>
                      <w:divBdr>
                        <w:top w:val="none" w:sz="0" w:space="0" w:color="auto"/>
                        <w:left w:val="none" w:sz="0" w:space="0" w:color="auto"/>
                        <w:bottom w:val="none" w:sz="0" w:space="0" w:color="auto"/>
                        <w:right w:val="none" w:sz="0" w:space="0" w:color="auto"/>
                      </w:divBdr>
                    </w:div>
                  </w:divsChild>
                </w:div>
                <w:div w:id="2125075757">
                  <w:marLeft w:val="0"/>
                  <w:marRight w:val="0"/>
                  <w:marTop w:val="0"/>
                  <w:marBottom w:val="0"/>
                  <w:divBdr>
                    <w:top w:val="none" w:sz="0" w:space="0" w:color="auto"/>
                    <w:left w:val="none" w:sz="0" w:space="0" w:color="auto"/>
                    <w:bottom w:val="none" w:sz="0" w:space="0" w:color="auto"/>
                    <w:right w:val="none" w:sz="0" w:space="0" w:color="auto"/>
                  </w:divBdr>
                  <w:divsChild>
                    <w:div w:id="100316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6429">
          <w:marLeft w:val="0"/>
          <w:marRight w:val="0"/>
          <w:marTop w:val="0"/>
          <w:marBottom w:val="0"/>
          <w:divBdr>
            <w:top w:val="none" w:sz="0" w:space="0" w:color="auto"/>
            <w:left w:val="none" w:sz="0" w:space="0" w:color="auto"/>
            <w:bottom w:val="none" w:sz="0" w:space="0" w:color="auto"/>
            <w:right w:val="none" w:sz="0" w:space="0" w:color="auto"/>
          </w:divBdr>
        </w:div>
        <w:div w:id="1335188271">
          <w:marLeft w:val="0"/>
          <w:marRight w:val="0"/>
          <w:marTop w:val="0"/>
          <w:marBottom w:val="0"/>
          <w:divBdr>
            <w:top w:val="none" w:sz="0" w:space="0" w:color="auto"/>
            <w:left w:val="none" w:sz="0" w:space="0" w:color="auto"/>
            <w:bottom w:val="none" w:sz="0" w:space="0" w:color="auto"/>
            <w:right w:val="none" w:sz="0" w:space="0" w:color="auto"/>
          </w:divBdr>
          <w:divsChild>
            <w:div w:id="1229800962">
              <w:marLeft w:val="0"/>
              <w:marRight w:val="0"/>
              <w:marTop w:val="30"/>
              <w:marBottom w:val="30"/>
              <w:divBdr>
                <w:top w:val="none" w:sz="0" w:space="0" w:color="auto"/>
                <w:left w:val="none" w:sz="0" w:space="0" w:color="auto"/>
                <w:bottom w:val="none" w:sz="0" w:space="0" w:color="auto"/>
                <w:right w:val="none" w:sz="0" w:space="0" w:color="auto"/>
              </w:divBdr>
              <w:divsChild>
                <w:div w:id="137311271">
                  <w:marLeft w:val="0"/>
                  <w:marRight w:val="0"/>
                  <w:marTop w:val="0"/>
                  <w:marBottom w:val="0"/>
                  <w:divBdr>
                    <w:top w:val="none" w:sz="0" w:space="0" w:color="auto"/>
                    <w:left w:val="none" w:sz="0" w:space="0" w:color="auto"/>
                    <w:bottom w:val="none" w:sz="0" w:space="0" w:color="auto"/>
                    <w:right w:val="none" w:sz="0" w:space="0" w:color="auto"/>
                  </w:divBdr>
                  <w:divsChild>
                    <w:div w:id="1395737058">
                      <w:marLeft w:val="0"/>
                      <w:marRight w:val="0"/>
                      <w:marTop w:val="0"/>
                      <w:marBottom w:val="0"/>
                      <w:divBdr>
                        <w:top w:val="none" w:sz="0" w:space="0" w:color="auto"/>
                        <w:left w:val="none" w:sz="0" w:space="0" w:color="auto"/>
                        <w:bottom w:val="none" w:sz="0" w:space="0" w:color="auto"/>
                        <w:right w:val="none" w:sz="0" w:space="0" w:color="auto"/>
                      </w:divBdr>
                    </w:div>
                  </w:divsChild>
                </w:div>
                <w:div w:id="186716791">
                  <w:marLeft w:val="0"/>
                  <w:marRight w:val="0"/>
                  <w:marTop w:val="0"/>
                  <w:marBottom w:val="0"/>
                  <w:divBdr>
                    <w:top w:val="none" w:sz="0" w:space="0" w:color="auto"/>
                    <w:left w:val="none" w:sz="0" w:space="0" w:color="auto"/>
                    <w:bottom w:val="none" w:sz="0" w:space="0" w:color="auto"/>
                    <w:right w:val="none" w:sz="0" w:space="0" w:color="auto"/>
                  </w:divBdr>
                  <w:divsChild>
                    <w:div w:id="1137726864">
                      <w:marLeft w:val="0"/>
                      <w:marRight w:val="0"/>
                      <w:marTop w:val="0"/>
                      <w:marBottom w:val="0"/>
                      <w:divBdr>
                        <w:top w:val="none" w:sz="0" w:space="0" w:color="auto"/>
                        <w:left w:val="none" w:sz="0" w:space="0" w:color="auto"/>
                        <w:bottom w:val="none" w:sz="0" w:space="0" w:color="auto"/>
                        <w:right w:val="none" w:sz="0" w:space="0" w:color="auto"/>
                      </w:divBdr>
                    </w:div>
                  </w:divsChild>
                </w:div>
                <w:div w:id="300156416">
                  <w:marLeft w:val="0"/>
                  <w:marRight w:val="0"/>
                  <w:marTop w:val="0"/>
                  <w:marBottom w:val="0"/>
                  <w:divBdr>
                    <w:top w:val="none" w:sz="0" w:space="0" w:color="auto"/>
                    <w:left w:val="none" w:sz="0" w:space="0" w:color="auto"/>
                    <w:bottom w:val="none" w:sz="0" w:space="0" w:color="auto"/>
                    <w:right w:val="none" w:sz="0" w:space="0" w:color="auto"/>
                  </w:divBdr>
                  <w:divsChild>
                    <w:div w:id="2119131914">
                      <w:marLeft w:val="0"/>
                      <w:marRight w:val="0"/>
                      <w:marTop w:val="0"/>
                      <w:marBottom w:val="0"/>
                      <w:divBdr>
                        <w:top w:val="none" w:sz="0" w:space="0" w:color="auto"/>
                        <w:left w:val="none" w:sz="0" w:space="0" w:color="auto"/>
                        <w:bottom w:val="none" w:sz="0" w:space="0" w:color="auto"/>
                        <w:right w:val="none" w:sz="0" w:space="0" w:color="auto"/>
                      </w:divBdr>
                    </w:div>
                  </w:divsChild>
                </w:div>
                <w:div w:id="331759286">
                  <w:marLeft w:val="0"/>
                  <w:marRight w:val="0"/>
                  <w:marTop w:val="0"/>
                  <w:marBottom w:val="0"/>
                  <w:divBdr>
                    <w:top w:val="none" w:sz="0" w:space="0" w:color="auto"/>
                    <w:left w:val="none" w:sz="0" w:space="0" w:color="auto"/>
                    <w:bottom w:val="none" w:sz="0" w:space="0" w:color="auto"/>
                    <w:right w:val="none" w:sz="0" w:space="0" w:color="auto"/>
                  </w:divBdr>
                  <w:divsChild>
                    <w:div w:id="709307355">
                      <w:marLeft w:val="0"/>
                      <w:marRight w:val="0"/>
                      <w:marTop w:val="0"/>
                      <w:marBottom w:val="0"/>
                      <w:divBdr>
                        <w:top w:val="none" w:sz="0" w:space="0" w:color="auto"/>
                        <w:left w:val="none" w:sz="0" w:space="0" w:color="auto"/>
                        <w:bottom w:val="none" w:sz="0" w:space="0" w:color="auto"/>
                        <w:right w:val="none" w:sz="0" w:space="0" w:color="auto"/>
                      </w:divBdr>
                    </w:div>
                  </w:divsChild>
                </w:div>
                <w:div w:id="479005031">
                  <w:marLeft w:val="0"/>
                  <w:marRight w:val="0"/>
                  <w:marTop w:val="0"/>
                  <w:marBottom w:val="0"/>
                  <w:divBdr>
                    <w:top w:val="none" w:sz="0" w:space="0" w:color="auto"/>
                    <w:left w:val="none" w:sz="0" w:space="0" w:color="auto"/>
                    <w:bottom w:val="none" w:sz="0" w:space="0" w:color="auto"/>
                    <w:right w:val="none" w:sz="0" w:space="0" w:color="auto"/>
                  </w:divBdr>
                  <w:divsChild>
                    <w:div w:id="1423840939">
                      <w:marLeft w:val="0"/>
                      <w:marRight w:val="0"/>
                      <w:marTop w:val="0"/>
                      <w:marBottom w:val="0"/>
                      <w:divBdr>
                        <w:top w:val="none" w:sz="0" w:space="0" w:color="auto"/>
                        <w:left w:val="none" w:sz="0" w:space="0" w:color="auto"/>
                        <w:bottom w:val="none" w:sz="0" w:space="0" w:color="auto"/>
                        <w:right w:val="none" w:sz="0" w:space="0" w:color="auto"/>
                      </w:divBdr>
                    </w:div>
                  </w:divsChild>
                </w:div>
                <w:div w:id="660501857">
                  <w:marLeft w:val="0"/>
                  <w:marRight w:val="0"/>
                  <w:marTop w:val="0"/>
                  <w:marBottom w:val="0"/>
                  <w:divBdr>
                    <w:top w:val="none" w:sz="0" w:space="0" w:color="auto"/>
                    <w:left w:val="none" w:sz="0" w:space="0" w:color="auto"/>
                    <w:bottom w:val="none" w:sz="0" w:space="0" w:color="auto"/>
                    <w:right w:val="none" w:sz="0" w:space="0" w:color="auto"/>
                  </w:divBdr>
                  <w:divsChild>
                    <w:div w:id="347293805">
                      <w:marLeft w:val="0"/>
                      <w:marRight w:val="0"/>
                      <w:marTop w:val="0"/>
                      <w:marBottom w:val="0"/>
                      <w:divBdr>
                        <w:top w:val="none" w:sz="0" w:space="0" w:color="auto"/>
                        <w:left w:val="none" w:sz="0" w:space="0" w:color="auto"/>
                        <w:bottom w:val="none" w:sz="0" w:space="0" w:color="auto"/>
                        <w:right w:val="none" w:sz="0" w:space="0" w:color="auto"/>
                      </w:divBdr>
                    </w:div>
                  </w:divsChild>
                </w:div>
                <w:div w:id="661351051">
                  <w:marLeft w:val="0"/>
                  <w:marRight w:val="0"/>
                  <w:marTop w:val="0"/>
                  <w:marBottom w:val="0"/>
                  <w:divBdr>
                    <w:top w:val="none" w:sz="0" w:space="0" w:color="auto"/>
                    <w:left w:val="none" w:sz="0" w:space="0" w:color="auto"/>
                    <w:bottom w:val="none" w:sz="0" w:space="0" w:color="auto"/>
                    <w:right w:val="none" w:sz="0" w:space="0" w:color="auto"/>
                  </w:divBdr>
                  <w:divsChild>
                    <w:div w:id="978992667">
                      <w:marLeft w:val="0"/>
                      <w:marRight w:val="0"/>
                      <w:marTop w:val="0"/>
                      <w:marBottom w:val="0"/>
                      <w:divBdr>
                        <w:top w:val="none" w:sz="0" w:space="0" w:color="auto"/>
                        <w:left w:val="none" w:sz="0" w:space="0" w:color="auto"/>
                        <w:bottom w:val="none" w:sz="0" w:space="0" w:color="auto"/>
                        <w:right w:val="none" w:sz="0" w:space="0" w:color="auto"/>
                      </w:divBdr>
                    </w:div>
                  </w:divsChild>
                </w:div>
                <w:div w:id="721907101">
                  <w:marLeft w:val="0"/>
                  <w:marRight w:val="0"/>
                  <w:marTop w:val="0"/>
                  <w:marBottom w:val="0"/>
                  <w:divBdr>
                    <w:top w:val="none" w:sz="0" w:space="0" w:color="auto"/>
                    <w:left w:val="none" w:sz="0" w:space="0" w:color="auto"/>
                    <w:bottom w:val="none" w:sz="0" w:space="0" w:color="auto"/>
                    <w:right w:val="none" w:sz="0" w:space="0" w:color="auto"/>
                  </w:divBdr>
                  <w:divsChild>
                    <w:div w:id="1246380334">
                      <w:marLeft w:val="0"/>
                      <w:marRight w:val="0"/>
                      <w:marTop w:val="0"/>
                      <w:marBottom w:val="0"/>
                      <w:divBdr>
                        <w:top w:val="none" w:sz="0" w:space="0" w:color="auto"/>
                        <w:left w:val="none" w:sz="0" w:space="0" w:color="auto"/>
                        <w:bottom w:val="none" w:sz="0" w:space="0" w:color="auto"/>
                        <w:right w:val="none" w:sz="0" w:space="0" w:color="auto"/>
                      </w:divBdr>
                    </w:div>
                  </w:divsChild>
                </w:div>
                <w:div w:id="801851022">
                  <w:marLeft w:val="0"/>
                  <w:marRight w:val="0"/>
                  <w:marTop w:val="0"/>
                  <w:marBottom w:val="0"/>
                  <w:divBdr>
                    <w:top w:val="none" w:sz="0" w:space="0" w:color="auto"/>
                    <w:left w:val="none" w:sz="0" w:space="0" w:color="auto"/>
                    <w:bottom w:val="none" w:sz="0" w:space="0" w:color="auto"/>
                    <w:right w:val="none" w:sz="0" w:space="0" w:color="auto"/>
                  </w:divBdr>
                  <w:divsChild>
                    <w:div w:id="489180460">
                      <w:marLeft w:val="0"/>
                      <w:marRight w:val="0"/>
                      <w:marTop w:val="0"/>
                      <w:marBottom w:val="0"/>
                      <w:divBdr>
                        <w:top w:val="none" w:sz="0" w:space="0" w:color="auto"/>
                        <w:left w:val="none" w:sz="0" w:space="0" w:color="auto"/>
                        <w:bottom w:val="none" w:sz="0" w:space="0" w:color="auto"/>
                        <w:right w:val="none" w:sz="0" w:space="0" w:color="auto"/>
                      </w:divBdr>
                    </w:div>
                  </w:divsChild>
                </w:div>
                <w:div w:id="1002973504">
                  <w:marLeft w:val="0"/>
                  <w:marRight w:val="0"/>
                  <w:marTop w:val="0"/>
                  <w:marBottom w:val="0"/>
                  <w:divBdr>
                    <w:top w:val="none" w:sz="0" w:space="0" w:color="auto"/>
                    <w:left w:val="none" w:sz="0" w:space="0" w:color="auto"/>
                    <w:bottom w:val="none" w:sz="0" w:space="0" w:color="auto"/>
                    <w:right w:val="none" w:sz="0" w:space="0" w:color="auto"/>
                  </w:divBdr>
                  <w:divsChild>
                    <w:div w:id="150558818">
                      <w:marLeft w:val="0"/>
                      <w:marRight w:val="0"/>
                      <w:marTop w:val="0"/>
                      <w:marBottom w:val="0"/>
                      <w:divBdr>
                        <w:top w:val="none" w:sz="0" w:space="0" w:color="auto"/>
                        <w:left w:val="none" w:sz="0" w:space="0" w:color="auto"/>
                        <w:bottom w:val="none" w:sz="0" w:space="0" w:color="auto"/>
                        <w:right w:val="none" w:sz="0" w:space="0" w:color="auto"/>
                      </w:divBdr>
                    </w:div>
                  </w:divsChild>
                </w:div>
                <w:div w:id="1062874424">
                  <w:marLeft w:val="0"/>
                  <w:marRight w:val="0"/>
                  <w:marTop w:val="0"/>
                  <w:marBottom w:val="0"/>
                  <w:divBdr>
                    <w:top w:val="none" w:sz="0" w:space="0" w:color="auto"/>
                    <w:left w:val="none" w:sz="0" w:space="0" w:color="auto"/>
                    <w:bottom w:val="none" w:sz="0" w:space="0" w:color="auto"/>
                    <w:right w:val="none" w:sz="0" w:space="0" w:color="auto"/>
                  </w:divBdr>
                  <w:divsChild>
                    <w:div w:id="1247033443">
                      <w:marLeft w:val="0"/>
                      <w:marRight w:val="0"/>
                      <w:marTop w:val="0"/>
                      <w:marBottom w:val="0"/>
                      <w:divBdr>
                        <w:top w:val="none" w:sz="0" w:space="0" w:color="auto"/>
                        <w:left w:val="none" w:sz="0" w:space="0" w:color="auto"/>
                        <w:bottom w:val="none" w:sz="0" w:space="0" w:color="auto"/>
                        <w:right w:val="none" w:sz="0" w:space="0" w:color="auto"/>
                      </w:divBdr>
                    </w:div>
                  </w:divsChild>
                </w:div>
                <w:div w:id="1297757504">
                  <w:marLeft w:val="0"/>
                  <w:marRight w:val="0"/>
                  <w:marTop w:val="0"/>
                  <w:marBottom w:val="0"/>
                  <w:divBdr>
                    <w:top w:val="none" w:sz="0" w:space="0" w:color="auto"/>
                    <w:left w:val="none" w:sz="0" w:space="0" w:color="auto"/>
                    <w:bottom w:val="none" w:sz="0" w:space="0" w:color="auto"/>
                    <w:right w:val="none" w:sz="0" w:space="0" w:color="auto"/>
                  </w:divBdr>
                  <w:divsChild>
                    <w:div w:id="893202898">
                      <w:marLeft w:val="0"/>
                      <w:marRight w:val="0"/>
                      <w:marTop w:val="0"/>
                      <w:marBottom w:val="0"/>
                      <w:divBdr>
                        <w:top w:val="none" w:sz="0" w:space="0" w:color="auto"/>
                        <w:left w:val="none" w:sz="0" w:space="0" w:color="auto"/>
                        <w:bottom w:val="none" w:sz="0" w:space="0" w:color="auto"/>
                        <w:right w:val="none" w:sz="0" w:space="0" w:color="auto"/>
                      </w:divBdr>
                    </w:div>
                  </w:divsChild>
                </w:div>
                <w:div w:id="1368264242">
                  <w:marLeft w:val="0"/>
                  <w:marRight w:val="0"/>
                  <w:marTop w:val="0"/>
                  <w:marBottom w:val="0"/>
                  <w:divBdr>
                    <w:top w:val="none" w:sz="0" w:space="0" w:color="auto"/>
                    <w:left w:val="none" w:sz="0" w:space="0" w:color="auto"/>
                    <w:bottom w:val="none" w:sz="0" w:space="0" w:color="auto"/>
                    <w:right w:val="none" w:sz="0" w:space="0" w:color="auto"/>
                  </w:divBdr>
                  <w:divsChild>
                    <w:div w:id="1212380127">
                      <w:marLeft w:val="0"/>
                      <w:marRight w:val="0"/>
                      <w:marTop w:val="0"/>
                      <w:marBottom w:val="0"/>
                      <w:divBdr>
                        <w:top w:val="none" w:sz="0" w:space="0" w:color="auto"/>
                        <w:left w:val="none" w:sz="0" w:space="0" w:color="auto"/>
                        <w:bottom w:val="none" w:sz="0" w:space="0" w:color="auto"/>
                        <w:right w:val="none" w:sz="0" w:space="0" w:color="auto"/>
                      </w:divBdr>
                    </w:div>
                  </w:divsChild>
                </w:div>
                <w:div w:id="1461723783">
                  <w:marLeft w:val="0"/>
                  <w:marRight w:val="0"/>
                  <w:marTop w:val="0"/>
                  <w:marBottom w:val="0"/>
                  <w:divBdr>
                    <w:top w:val="none" w:sz="0" w:space="0" w:color="auto"/>
                    <w:left w:val="none" w:sz="0" w:space="0" w:color="auto"/>
                    <w:bottom w:val="none" w:sz="0" w:space="0" w:color="auto"/>
                    <w:right w:val="none" w:sz="0" w:space="0" w:color="auto"/>
                  </w:divBdr>
                  <w:divsChild>
                    <w:div w:id="1100485445">
                      <w:marLeft w:val="0"/>
                      <w:marRight w:val="0"/>
                      <w:marTop w:val="0"/>
                      <w:marBottom w:val="0"/>
                      <w:divBdr>
                        <w:top w:val="none" w:sz="0" w:space="0" w:color="auto"/>
                        <w:left w:val="none" w:sz="0" w:space="0" w:color="auto"/>
                        <w:bottom w:val="none" w:sz="0" w:space="0" w:color="auto"/>
                        <w:right w:val="none" w:sz="0" w:space="0" w:color="auto"/>
                      </w:divBdr>
                    </w:div>
                  </w:divsChild>
                </w:div>
                <w:div w:id="1483816561">
                  <w:marLeft w:val="0"/>
                  <w:marRight w:val="0"/>
                  <w:marTop w:val="0"/>
                  <w:marBottom w:val="0"/>
                  <w:divBdr>
                    <w:top w:val="none" w:sz="0" w:space="0" w:color="auto"/>
                    <w:left w:val="none" w:sz="0" w:space="0" w:color="auto"/>
                    <w:bottom w:val="none" w:sz="0" w:space="0" w:color="auto"/>
                    <w:right w:val="none" w:sz="0" w:space="0" w:color="auto"/>
                  </w:divBdr>
                  <w:divsChild>
                    <w:div w:id="490370248">
                      <w:marLeft w:val="0"/>
                      <w:marRight w:val="0"/>
                      <w:marTop w:val="0"/>
                      <w:marBottom w:val="0"/>
                      <w:divBdr>
                        <w:top w:val="none" w:sz="0" w:space="0" w:color="auto"/>
                        <w:left w:val="none" w:sz="0" w:space="0" w:color="auto"/>
                        <w:bottom w:val="none" w:sz="0" w:space="0" w:color="auto"/>
                        <w:right w:val="none" w:sz="0" w:space="0" w:color="auto"/>
                      </w:divBdr>
                    </w:div>
                  </w:divsChild>
                </w:div>
                <w:div w:id="1579944785">
                  <w:marLeft w:val="0"/>
                  <w:marRight w:val="0"/>
                  <w:marTop w:val="0"/>
                  <w:marBottom w:val="0"/>
                  <w:divBdr>
                    <w:top w:val="none" w:sz="0" w:space="0" w:color="auto"/>
                    <w:left w:val="none" w:sz="0" w:space="0" w:color="auto"/>
                    <w:bottom w:val="none" w:sz="0" w:space="0" w:color="auto"/>
                    <w:right w:val="none" w:sz="0" w:space="0" w:color="auto"/>
                  </w:divBdr>
                  <w:divsChild>
                    <w:div w:id="741215122">
                      <w:marLeft w:val="0"/>
                      <w:marRight w:val="0"/>
                      <w:marTop w:val="0"/>
                      <w:marBottom w:val="0"/>
                      <w:divBdr>
                        <w:top w:val="none" w:sz="0" w:space="0" w:color="auto"/>
                        <w:left w:val="none" w:sz="0" w:space="0" w:color="auto"/>
                        <w:bottom w:val="none" w:sz="0" w:space="0" w:color="auto"/>
                        <w:right w:val="none" w:sz="0" w:space="0" w:color="auto"/>
                      </w:divBdr>
                    </w:div>
                  </w:divsChild>
                </w:div>
                <w:div w:id="1588153881">
                  <w:marLeft w:val="0"/>
                  <w:marRight w:val="0"/>
                  <w:marTop w:val="0"/>
                  <w:marBottom w:val="0"/>
                  <w:divBdr>
                    <w:top w:val="none" w:sz="0" w:space="0" w:color="auto"/>
                    <w:left w:val="none" w:sz="0" w:space="0" w:color="auto"/>
                    <w:bottom w:val="none" w:sz="0" w:space="0" w:color="auto"/>
                    <w:right w:val="none" w:sz="0" w:space="0" w:color="auto"/>
                  </w:divBdr>
                  <w:divsChild>
                    <w:div w:id="1197889117">
                      <w:marLeft w:val="0"/>
                      <w:marRight w:val="0"/>
                      <w:marTop w:val="0"/>
                      <w:marBottom w:val="0"/>
                      <w:divBdr>
                        <w:top w:val="none" w:sz="0" w:space="0" w:color="auto"/>
                        <w:left w:val="none" w:sz="0" w:space="0" w:color="auto"/>
                        <w:bottom w:val="none" w:sz="0" w:space="0" w:color="auto"/>
                        <w:right w:val="none" w:sz="0" w:space="0" w:color="auto"/>
                      </w:divBdr>
                    </w:div>
                  </w:divsChild>
                </w:div>
                <w:div w:id="1613588484">
                  <w:marLeft w:val="0"/>
                  <w:marRight w:val="0"/>
                  <w:marTop w:val="0"/>
                  <w:marBottom w:val="0"/>
                  <w:divBdr>
                    <w:top w:val="none" w:sz="0" w:space="0" w:color="auto"/>
                    <w:left w:val="none" w:sz="0" w:space="0" w:color="auto"/>
                    <w:bottom w:val="none" w:sz="0" w:space="0" w:color="auto"/>
                    <w:right w:val="none" w:sz="0" w:space="0" w:color="auto"/>
                  </w:divBdr>
                  <w:divsChild>
                    <w:div w:id="1795245126">
                      <w:marLeft w:val="0"/>
                      <w:marRight w:val="0"/>
                      <w:marTop w:val="0"/>
                      <w:marBottom w:val="0"/>
                      <w:divBdr>
                        <w:top w:val="none" w:sz="0" w:space="0" w:color="auto"/>
                        <w:left w:val="none" w:sz="0" w:space="0" w:color="auto"/>
                        <w:bottom w:val="none" w:sz="0" w:space="0" w:color="auto"/>
                        <w:right w:val="none" w:sz="0" w:space="0" w:color="auto"/>
                      </w:divBdr>
                    </w:div>
                  </w:divsChild>
                </w:div>
                <w:div w:id="1651520935">
                  <w:marLeft w:val="0"/>
                  <w:marRight w:val="0"/>
                  <w:marTop w:val="0"/>
                  <w:marBottom w:val="0"/>
                  <w:divBdr>
                    <w:top w:val="none" w:sz="0" w:space="0" w:color="auto"/>
                    <w:left w:val="none" w:sz="0" w:space="0" w:color="auto"/>
                    <w:bottom w:val="none" w:sz="0" w:space="0" w:color="auto"/>
                    <w:right w:val="none" w:sz="0" w:space="0" w:color="auto"/>
                  </w:divBdr>
                  <w:divsChild>
                    <w:div w:id="146364631">
                      <w:marLeft w:val="0"/>
                      <w:marRight w:val="0"/>
                      <w:marTop w:val="0"/>
                      <w:marBottom w:val="0"/>
                      <w:divBdr>
                        <w:top w:val="none" w:sz="0" w:space="0" w:color="auto"/>
                        <w:left w:val="none" w:sz="0" w:space="0" w:color="auto"/>
                        <w:bottom w:val="none" w:sz="0" w:space="0" w:color="auto"/>
                        <w:right w:val="none" w:sz="0" w:space="0" w:color="auto"/>
                      </w:divBdr>
                    </w:div>
                  </w:divsChild>
                </w:div>
                <w:div w:id="1716193416">
                  <w:marLeft w:val="0"/>
                  <w:marRight w:val="0"/>
                  <w:marTop w:val="0"/>
                  <w:marBottom w:val="0"/>
                  <w:divBdr>
                    <w:top w:val="none" w:sz="0" w:space="0" w:color="auto"/>
                    <w:left w:val="none" w:sz="0" w:space="0" w:color="auto"/>
                    <w:bottom w:val="none" w:sz="0" w:space="0" w:color="auto"/>
                    <w:right w:val="none" w:sz="0" w:space="0" w:color="auto"/>
                  </w:divBdr>
                  <w:divsChild>
                    <w:div w:id="1160123439">
                      <w:marLeft w:val="0"/>
                      <w:marRight w:val="0"/>
                      <w:marTop w:val="0"/>
                      <w:marBottom w:val="0"/>
                      <w:divBdr>
                        <w:top w:val="none" w:sz="0" w:space="0" w:color="auto"/>
                        <w:left w:val="none" w:sz="0" w:space="0" w:color="auto"/>
                        <w:bottom w:val="none" w:sz="0" w:space="0" w:color="auto"/>
                        <w:right w:val="none" w:sz="0" w:space="0" w:color="auto"/>
                      </w:divBdr>
                    </w:div>
                  </w:divsChild>
                </w:div>
                <w:div w:id="1743259610">
                  <w:marLeft w:val="0"/>
                  <w:marRight w:val="0"/>
                  <w:marTop w:val="0"/>
                  <w:marBottom w:val="0"/>
                  <w:divBdr>
                    <w:top w:val="none" w:sz="0" w:space="0" w:color="auto"/>
                    <w:left w:val="none" w:sz="0" w:space="0" w:color="auto"/>
                    <w:bottom w:val="none" w:sz="0" w:space="0" w:color="auto"/>
                    <w:right w:val="none" w:sz="0" w:space="0" w:color="auto"/>
                  </w:divBdr>
                  <w:divsChild>
                    <w:div w:id="1521159408">
                      <w:marLeft w:val="0"/>
                      <w:marRight w:val="0"/>
                      <w:marTop w:val="0"/>
                      <w:marBottom w:val="0"/>
                      <w:divBdr>
                        <w:top w:val="none" w:sz="0" w:space="0" w:color="auto"/>
                        <w:left w:val="none" w:sz="0" w:space="0" w:color="auto"/>
                        <w:bottom w:val="none" w:sz="0" w:space="0" w:color="auto"/>
                        <w:right w:val="none" w:sz="0" w:space="0" w:color="auto"/>
                      </w:divBdr>
                    </w:div>
                  </w:divsChild>
                </w:div>
                <w:div w:id="1781022963">
                  <w:marLeft w:val="0"/>
                  <w:marRight w:val="0"/>
                  <w:marTop w:val="0"/>
                  <w:marBottom w:val="0"/>
                  <w:divBdr>
                    <w:top w:val="none" w:sz="0" w:space="0" w:color="auto"/>
                    <w:left w:val="none" w:sz="0" w:space="0" w:color="auto"/>
                    <w:bottom w:val="none" w:sz="0" w:space="0" w:color="auto"/>
                    <w:right w:val="none" w:sz="0" w:space="0" w:color="auto"/>
                  </w:divBdr>
                  <w:divsChild>
                    <w:div w:id="1589195035">
                      <w:marLeft w:val="0"/>
                      <w:marRight w:val="0"/>
                      <w:marTop w:val="0"/>
                      <w:marBottom w:val="0"/>
                      <w:divBdr>
                        <w:top w:val="none" w:sz="0" w:space="0" w:color="auto"/>
                        <w:left w:val="none" w:sz="0" w:space="0" w:color="auto"/>
                        <w:bottom w:val="none" w:sz="0" w:space="0" w:color="auto"/>
                        <w:right w:val="none" w:sz="0" w:space="0" w:color="auto"/>
                      </w:divBdr>
                    </w:div>
                  </w:divsChild>
                </w:div>
                <w:div w:id="1803231275">
                  <w:marLeft w:val="0"/>
                  <w:marRight w:val="0"/>
                  <w:marTop w:val="0"/>
                  <w:marBottom w:val="0"/>
                  <w:divBdr>
                    <w:top w:val="none" w:sz="0" w:space="0" w:color="auto"/>
                    <w:left w:val="none" w:sz="0" w:space="0" w:color="auto"/>
                    <w:bottom w:val="none" w:sz="0" w:space="0" w:color="auto"/>
                    <w:right w:val="none" w:sz="0" w:space="0" w:color="auto"/>
                  </w:divBdr>
                  <w:divsChild>
                    <w:div w:id="1750618778">
                      <w:marLeft w:val="0"/>
                      <w:marRight w:val="0"/>
                      <w:marTop w:val="0"/>
                      <w:marBottom w:val="0"/>
                      <w:divBdr>
                        <w:top w:val="none" w:sz="0" w:space="0" w:color="auto"/>
                        <w:left w:val="none" w:sz="0" w:space="0" w:color="auto"/>
                        <w:bottom w:val="none" w:sz="0" w:space="0" w:color="auto"/>
                        <w:right w:val="none" w:sz="0" w:space="0" w:color="auto"/>
                      </w:divBdr>
                    </w:div>
                  </w:divsChild>
                </w:div>
                <w:div w:id="1918634689">
                  <w:marLeft w:val="0"/>
                  <w:marRight w:val="0"/>
                  <w:marTop w:val="0"/>
                  <w:marBottom w:val="0"/>
                  <w:divBdr>
                    <w:top w:val="none" w:sz="0" w:space="0" w:color="auto"/>
                    <w:left w:val="none" w:sz="0" w:space="0" w:color="auto"/>
                    <w:bottom w:val="none" w:sz="0" w:space="0" w:color="auto"/>
                    <w:right w:val="none" w:sz="0" w:space="0" w:color="auto"/>
                  </w:divBdr>
                  <w:divsChild>
                    <w:div w:id="481506694">
                      <w:marLeft w:val="0"/>
                      <w:marRight w:val="0"/>
                      <w:marTop w:val="0"/>
                      <w:marBottom w:val="0"/>
                      <w:divBdr>
                        <w:top w:val="none" w:sz="0" w:space="0" w:color="auto"/>
                        <w:left w:val="none" w:sz="0" w:space="0" w:color="auto"/>
                        <w:bottom w:val="none" w:sz="0" w:space="0" w:color="auto"/>
                        <w:right w:val="none" w:sz="0" w:space="0" w:color="auto"/>
                      </w:divBdr>
                    </w:div>
                  </w:divsChild>
                </w:div>
                <w:div w:id="2012294368">
                  <w:marLeft w:val="0"/>
                  <w:marRight w:val="0"/>
                  <w:marTop w:val="0"/>
                  <w:marBottom w:val="0"/>
                  <w:divBdr>
                    <w:top w:val="none" w:sz="0" w:space="0" w:color="auto"/>
                    <w:left w:val="none" w:sz="0" w:space="0" w:color="auto"/>
                    <w:bottom w:val="none" w:sz="0" w:space="0" w:color="auto"/>
                    <w:right w:val="none" w:sz="0" w:space="0" w:color="auto"/>
                  </w:divBdr>
                  <w:divsChild>
                    <w:div w:id="1080642588">
                      <w:marLeft w:val="0"/>
                      <w:marRight w:val="0"/>
                      <w:marTop w:val="0"/>
                      <w:marBottom w:val="0"/>
                      <w:divBdr>
                        <w:top w:val="none" w:sz="0" w:space="0" w:color="auto"/>
                        <w:left w:val="none" w:sz="0" w:space="0" w:color="auto"/>
                        <w:bottom w:val="none" w:sz="0" w:space="0" w:color="auto"/>
                        <w:right w:val="none" w:sz="0" w:space="0" w:color="auto"/>
                      </w:divBdr>
                    </w:div>
                  </w:divsChild>
                </w:div>
                <w:div w:id="2058579621">
                  <w:marLeft w:val="0"/>
                  <w:marRight w:val="0"/>
                  <w:marTop w:val="0"/>
                  <w:marBottom w:val="0"/>
                  <w:divBdr>
                    <w:top w:val="none" w:sz="0" w:space="0" w:color="auto"/>
                    <w:left w:val="none" w:sz="0" w:space="0" w:color="auto"/>
                    <w:bottom w:val="none" w:sz="0" w:space="0" w:color="auto"/>
                    <w:right w:val="none" w:sz="0" w:space="0" w:color="auto"/>
                  </w:divBdr>
                  <w:divsChild>
                    <w:div w:id="1239755398">
                      <w:marLeft w:val="0"/>
                      <w:marRight w:val="0"/>
                      <w:marTop w:val="0"/>
                      <w:marBottom w:val="0"/>
                      <w:divBdr>
                        <w:top w:val="none" w:sz="0" w:space="0" w:color="auto"/>
                        <w:left w:val="none" w:sz="0" w:space="0" w:color="auto"/>
                        <w:bottom w:val="none" w:sz="0" w:space="0" w:color="auto"/>
                        <w:right w:val="none" w:sz="0" w:space="0" w:color="auto"/>
                      </w:divBdr>
                    </w:div>
                  </w:divsChild>
                </w:div>
                <w:div w:id="2127892065">
                  <w:marLeft w:val="0"/>
                  <w:marRight w:val="0"/>
                  <w:marTop w:val="0"/>
                  <w:marBottom w:val="0"/>
                  <w:divBdr>
                    <w:top w:val="none" w:sz="0" w:space="0" w:color="auto"/>
                    <w:left w:val="none" w:sz="0" w:space="0" w:color="auto"/>
                    <w:bottom w:val="none" w:sz="0" w:space="0" w:color="auto"/>
                    <w:right w:val="none" w:sz="0" w:space="0" w:color="auto"/>
                  </w:divBdr>
                  <w:divsChild>
                    <w:div w:id="10435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40681">
      <w:bodyDiv w:val="1"/>
      <w:marLeft w:val="0"/>
      <w:marRight w:val="0"/>
      <w:marTop w:val="0"/>
      <w:marBottom w:val="0"/>
      <w:divBdr>
        <w:top w:val="none" w:sz="0" w:space="0" w:color="auto"/>
        <w:left w:val="none" w:sz="0" w:space="0" w:color="auto"/>
        <w:bottom w:val="none" w:sz="0" w:space="0" w:color="auto"/>
        <w:right w:val="none" w:sz="0" w:space="0" w:color="auto"/>
      </w:divBdr>
    </w:div>
    <w:div w:id="1297562003">
      <w:bodyDiv w:val="1"/>
      <w:marLeft w:val="0"/>
      <w:marRight w:val="0"/>
      <w:marTop w:val="0"/>
      <w:marBottom w:val="0"/>
      <w:divBdr>
        <w:top w:val="none" w:sz="0" w:space="0" w:color="auto"/>
        <w:left w:val="none" w:sz="0" w:space="0" w:color="auto"/>
        <w:bottom w:val="none" w:sz="0" w:space="0" w:color="auto"/>
        <w:right w:val="none" w:sz="0" w:space="0" w:color="auto"/>
      </w:divBdr>
    </w:div>
    <w:div w:id="1309285000">
      <w:bodyDiv w:val="1"/>
      <w:marLeft w:val="0"/>
      <w:marRight w:val="0"/>
      <w:marTop w:val="0"/>
      <w:marBottom w:val="0"/>
      <w:divBdr>
        <w:top w:val="none" w:sz="0" w:space="0" w:color="auto"/>
        <w:left w:val="none" w:sz="0" w:space="0" w:color="auto"/>
        <w:bottom w:val="none" w:sz="0" w:space="0" w:color="auto"/>
        <w:right w:val="none" w:sz="0" w:space="0" w:color="auto"/>
      </w:divBdr>
    </w:div>
    <w:div w:id="1381052041">
      <w:bodyDiv w:val="1"/>
      <w:marLeft w:val="0"/>
      <w:marRight w:val="0"/>
      <w:marTop w:val="0"/>
      <w:marBottom w:val="0"/>
      <w:divBdr>
        <w:top w:val="none" w:sz="0" w:space="0" w:color="auto"/>
        <w:left w:val="none" w:sz="0" w:space="0" w:color="auto"/>
        <w:bottom w:val="none" w:sz="0" w:space="0" w:color="auto"/>
        <w:right w:val="none" w:sz="0" w:space="0" w:color="auto"/>
      </w:divBdr>
    </w:div>
    <w:div w:id="1703239726">
      <w:bodyDiv w:val="1"/>
      <w:marLeft w:val="0"/>
      <w:marRight w:val="0"/>
      <w:marTop w:val="0"/>
      <w:marBottom w:val="0"/>
      <w:divBdr>
        <w:top w:val="none" w:sz="0" w:space="0" w:color="auto"/>
        <w:left w:val="none" w:sz="0" w:space="0" w:color="auto"/>
        <w:bottom w:val="none" w:sz="0" w:space="0" w:color="auto"/>
        <w:right w:val="none" w:sz="0" w:space="0" w:color="auto"/>
      </w:divBdr>
    </w:div>
    <w:div w:id="1751003170">
      <w:bodyDiv w:val="1"/>
      <w:marLeft w:val="0"/>
      <w:marRight w:val="0"/>
      <w:marTop w:val="0"/>
      <w:marBottom w:val="0"/>
      <w:divBdr>
        <w:top w:val="none" w:sz="0" w:space="0" w:color="auto"/>
        <w:left w:val="none" w:sz="0" w:space="0" w:color="auto"/>
        <w:bottom w:val="none" w:sz="0" w:space="0" w:color="auto"/>
        <w:right w:val="none" w:sz="0" w:space="0" w:color="auto"/>
      </w:divBdr>
    </w:div>
    <w:div w:id="1792746771">
      <w:bodyDiv w:val="1"/>
      <w:marLeft w:val="0"/>
      <w:marRight w:val="0"/>
      <w:marTop w:val="0"/>
      <w:marBottom w:val="0"/>
      <w:divBdr>
        <w:top w:val="none" w:sz="0" w:space="0" w:color="auto"/>
        <w:left w:val="none" w:sz="0" w:space="0" w:color="auto"/>
        <w:bottom w:val="none" w:sz="0" w:space="0" w:color="auto"/>
        <w:right w:val="none" w:sz="0" w:space="0" w:color="auto"/>
      </w:divBdr>
    </w:div>
    <w:div w:id="1816411208">
      <w:bodyDiv w:val="1"/>
      <w:marLeft w:val="0"/>
      <w:marRight w:val="0"/>
      <w:marTop w:val="0"/>
      <w:marBottom w:val="0"/>
      <w:divBdr>
        <w:top w:val="none" w:sz="0" w:space="0" w:color="auto"/>
        <w:left w:val="none" w:sz="0" w:space="0" w:color="auto"/>
        <w:bottom w:val="none" w:sz="0" w:space="0" w:color="auto"/>
        <w:right w:val="none" w:sz="0" w:space="0" w:color="auto"/>
      </w:divBdr>
    </w:div>
    <w:div w:id="1911036336">
      <w:bodyDiv w:val="1"/>
      <w:marLeft w:val="0"/>
      <w:marRight w:val="0"/>
      <w:marTop w:val="0"/>
      <w:marBottom w:val="0"/>
      <w:divBdr>
        <w:top w:val="none" w:sz="0" w:space="0" w:color="auto"/>
        <w:left w:val="none" w:sz="0" w:space="0" w:color="auto"/>
        <w:bottom w:val="none" w:sz="0" w:space="0" w:color="auto"/>
        <w:right w:val="none" w:sz="0" w:space="0" w:color="auto"/>
      </w:divBdr>
    </w:div>
    <w:div w:id="1928341905">
      <w:bodyDiv w:val="1"/>
      <w:marLeft w:val="0"/>
      <w:marRight w:val="0"/>
      <w:marTop w:val="0"/>
      <w:marBottom w:val="0"/>
      <w:divBdr>
        <w:top w:val="none" w:sz="0" w:space="0" w:color="auto"/>
        <w:left w:val="none" w:sz="0" w:space="0" w:color="auto"/>
        <w:bottom w:val="none" w:sz="0" w:space="0" w:color="auto"/>
        <w:right w:val="none" w:sz="0" w:space="0" w:color="auto"/>
      </w:divBdr>
    </w:div>
    <w:div w:id="2053798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yjma.qld.gov.au/resources/campaign/supporting-families/our-way-evaluation-program-logic.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4.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ur Way colours">
      <a:dk1>
        <a:srgbClr val="000000"/>
      </a:dk1>
      <a:lt1>
        <a:sysClr val="window" lastClr="FFFFFF"/>
      </a:lt1>
      <a:dk2>
        <a:srgbClr val="00ACE0"/>
      </a:dk2>
      <a:lt2>
        <a:srgbClr val="F58220"/>
      </a:lt2>
      <a:accent1>
        <a:srgbClr val="C11C7C"/>
      </a:accent1>
      <a:accent2>
        <a:srgbClr val="FCB325"/>
      </a:accent2>
      <a:accent3>
        <a:srgbClr val="EECAE0"/>
      </a:accent3>
      <a:accent4>
        <a:srgbClr val="D81B5E"/>
      </a:accent4>
      <a:accent5>
        <a:srgbClr val="00A79D"/>
      </a:accent5>
      <a:accent6>
        <a:srgbClr val="39B54A"/>
      </a:accent6>
      <a:hlink>
        <a:srgbClr val="00ACE0"/>
      </a:hlink>
      <a:folHlink>
        <a:srgbClr val="00A79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226E15AC4FDC44910FA22D5F29C293" ma:contentTypeVersion="5" ma:contentTypeDescription="Create a new document." ma:contentTypeScope="" ma:versionID="1404dabb36f8a9bfc96f68dfd1dbe062">
  <xsd:schema xmlns:xsd="http://www.w3.org/2001/XMLSchema" xmlns:xs="http://www.w3.org/2001/XMLSchema" xmlns:p="http://schemas.microsoft.com/office/2006/metadata/properties" xmlns:ns2="ce27c458-dc4f-4f10-b36d-a167043a3eb2" xmlns:ns3="8ee36aad-fdf6-4946-a09c-c99ea38daa91" targetNamespace="http://schemas.microsoft.com/office/2006/metadata/properties" ma:root="true" ma:fieldsID="64e225f4cba6556ce9b6c9da06cdaafe" ns2:_="" ns3:_="">
    <xsd:import namespace="ce27c458-dc4f-4f10-b36d-a167043a3eb2"/>
    <xsd:import namespace="8ee36aad-fdf6-4946-a09c-c99ea38daa9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7c458-dc4f-4f10-b36d-a167043a3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36aad-fdf6-4946-a09c-c99ea38daa9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ee36aad-fdf6-4946-a09c-c99ea38daa91">
      <UserInfo>
        <DisplayName>Stacey X Brooks</DisplayName>
        <AccountId>12</AccountId>
        <AccountType/>
      </UserInfo>
      <UserInfo>
        <DisplayName>Sarah D Bodel</DisplayName>
        <AccountId>15</AccountId>
        <AccountType/>
      </UserInfo>
      <UserInfo>
        <DisplayName>Kimberley Galea</DisplayName>
        <AccountId>10</AccountId>
        <AccountType/>
      </UserInfo>
      <UserInfo>
        <DisplayName>Letitia Creevy</DisplayName>
        <AccountId>11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8EF87-19DD-45FD-B449-5077DC9BF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7c458-dc4f-4f10-b36d-a167043a3eb2"/>
    <ds:schemaRef ds:uri="8ee36aad-fdf6-4946-a09c-c99ea38da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1C6D8C-59F4-42E4-A1C1-F3DF3E941DA4}">
  <ds:schemaRefs>
    <ds:schemaRef ds:uri="http://schemas.microsoft.com/sharepoint/v3/contenttype/forms"/>
  </ds:schemaRefs>
</ds:datastoreItem>
</file>

<file path=customXml/itemProps3.xml><?xml version="1.0" encoding="utf-8"?>
<ds:datastoreItem xmlns:ds="http://schemas.openxmlformats.org/officeDocument/2006/customXml" ds:itemID="{B08F00D3-D4A3-4F60-B7AD-97CFEC3B4C43}">
  <ds:schemaRefs>
    <ds:schemaRef ds:uri="http://purl.org/dc/terms/"/>
    <ds:schemaRef ds:uri="8ee36aad-fdf6-4946-a09c-c99ea38daa91"/>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ce27c458-dc4f-4f10-b36d-a167043a3eb2"/>
    <ds:schemaRef ds:uri="http://schemas.microsoft.com/office/2006/metadata/properties"/>
  </ds:schemaRefs>
</ds:datastoreItem>
</file>

<file path=customXml/itemProps4.xml><?xml version="1.0" encoding="utf-8"?>
<ds:datastoreItem xmlns:ds="http://schemas.openxmlformats.org/officeDocument/2006/customXml" ds:itemID="{5817B40D-F8E2-4BC9-B994-4F085166D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11103</Words>
  <Characters>63291</Characters>
  <Application>Microsoft Office Word</Application>
  <DocSecurity>4</DocSecurity>
  <Lines>527</Lines>
  <Paragraphs>148</Paragraphs>
  <ScaleCrop>false</ScaleCrop>
  <HeadingPairs>
    <vt:vector size="2" baseType="variant">
      <vt:variant>
        <vt:lpstr>Title</vt:lpstr>
      </vt:variant>
      <vt:variant>
        <vt:i4>1</vt:i4>
      </vt:variant>
    </vt:vector>
  </HeadingPairs>
  <TitlesOfParts>
    <vt:vector size="1" baseType="lpstr">
      <vt:lpstr>Breaking Cycles actions in detail</vt:lpstr>
    </vt:vector>
  </TitlesOfParts>
  <Company/>
  <LinksUpToDate>false</LinksUpToDate>
  <CharactersWithSpaces>74246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Breaking Cycles actions in detail</dc:title>
  <dc:subject>Child Safety</dc:subject>
  <dc:creator>Queensland Government</dc:creator>
  <cp:keywords>breaking; cycles; actions; in-detail</cp:keywords>
  <dc:description/>
  <cp:lastModifiedBy>Tanya R Campbell</cp:lastModifiedBy>
  <cp:revision>2</cp:revision>
  <cp:lastPrinted>2023-05-18T00:21:00Z</cp:lastPrinted>
  <dcterms:created xsi:type="dcterms:W3CDTF">2023-09-27T02:25:00Z</dcterms:created>
  <dcterms:modified xsi:type="dcterms:W3CDTF">2023-09-27T02:25:00Z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0x010100D0226E15AC4FDC44910FA22D5F29C293</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