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C3CC" w14:textId="77777777" w:rsidR="00703595" w:rsidRDefault="00364812">
      <w:pPr>
        <w:spacing w:after="83"/>
        <w:ind w:left="708"/>
      </w:pP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sz w:val="27"/>
        </w:rPr>
        <w:t xml:space="preserve"> </w:t>
      </w:r>
    </w:p>
    <w:p w14:paraId="5DE339BA" w14:textId="77777777" w:rsidR="004A56D6" w:rsidRDefault="004A56D6">
      <w:pPr>
        <w:spacing w:after="0"/>
        <w:ind w:left="3356"/>
        <w:rPr>
          <w:rFonts w:ascii="Arial" w:eastAsia="Arial" w:hAnsi="Arial" w:cs="Arial"/>
          <w:b/>
          <w:sz w:val="32"/>
        </w:rPr>
      </w:pPr>
    </w:p>
    <w:p w14:paraId="78DA26B3" w14:textId="453002AB" w:rsidR="00703595" w:rsidRDefault="00364812">
      <w:pPr>
        <w:spacing w:after="0"/>
        <w:ind w:left="3356"/>
      </w:pPr>
      <w:r>
        <w:rPr>
          <w:rFonts w:ascii="Arial" w:eastAsia="Arial" w:hAnsi="Arial" w:cs="Arial"/>
          <w:b/>
          <w:sz w:val="32"/>
        </w:rPr>
        <w:t>Schedule A: Regional and Remote Incentives Summary – All Employees</w:t>
      </w:r>
      <w:r>
        <w:rPr>
          <w:rFonts w:ascii="Arial" w:eastAsia="Arial" w:hAnsi="Arial" w:cs="Arial"/>
          <w:sz w:val="32"/>
        </w:rPr>
        <w:t xml:space="preserve"> </w:t>
      </w:r>
    </w:p>
    <w:p w14:paraId="640B86B4" w14:textId="248E437D" w:rsidR="00703595" w:rsidRDefault="0036481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61FA2A" wp14:editId="00BFC990">
                <wp:simplePos x="0" y="0"/>
                <wp:positionH relativeFrom="page">
                  <wp:posOffset>0</wp:posOffset>
                </wp:positionH>
                <wp:positionV relativeFrom="page">
                  <wp:posOffset>-87248</wp:posOffset>
                </wp:positionV>
                <wp:extent cx="28587" cy="128839"/>
                <wp:effectExtent l="0" t="0" r="0" b="0"/>
                <wp:wrapTopAndBottom/>
                <wp:docPr id="16318" name="Group 16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7" cy="128839"/>
                          <a:chOff x="0" y="0"/>
                          <a:chExt cx="28587" cy="12883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303D6" w14:textId="77777777" w:rsidR="00703595" w:rsidRDefault="0036481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1FA2A" id="Group 16318" o:spid="_x0000_s1026" style="position:absolute;margin-left:0;margin-top:-6.85pt;width:2.25pt;height:10.15pt;z-index:251659264;mso-position-horizontal-relative:page;mso-position-vertical-relative:page" coordsize="28587,12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">
                <v:rect id="Rectangle 8" o:spid="_x0000_s1027" style="position:absolute;width:38021;height:17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E4303D6" w14:textId="77777777" w:rsidR="00703595" w:rsidRDefault="0036481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5169" w:type="dxa"/>
        <w:tblInd w:w="542" w:type="dxa"/>
        <w:tblCellMar>
          <w:left w:w="7" w:type="dxa"/>
          <w:right w:w="66" w:type="dxa"/>
        </w:tblCellMar>
        <w:tblLook w:val="04A0" w:firstRow="1" w:lastRow="0" w:firstColumn="1" w:lastColumn="0" w:noHBand="0" w:noVBand="1"/>
      </w:tblPr>
      <w:tblGrid>
        <w:gridCol w:w="1894"/>
        <w:gridCol w:w="1896"/>
        <w:gridCol w:w="1622"/>
        <w:gridCol w:w="1951"/>
        <w:gridCol w:w="1846"/>
        <w:gridCol w:w="1986"/>
        <w:gridCol w:w="1985"/>
        <w:gridCol w:w="1989"/>
      </w:tblGrid>
      <w:tr w:rsidR="00703595" w14:paraId="28633CF1" w14:textId="77777777">
        <w:trPr>
          <w:trHeight w:val="3318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93B93F7" w14:textId="73174697" w:rsidR="00703595" w:rsidRDefault="00364812" w:rsidP="000B7B7B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</w:rPr>
              <w:t>Remoteness</w:t>
            </w:r>
          </w:p>
          <w:p w14:paraId="6DA825C6" w14:textId="5EFBFE46" w:rsidR="00703595" w:rsidRDefault="00364812" w:rsidP="000B7B7B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</w:rPr>
              <w:t>Area</w:t>
            </w:r>
          </w:p>
          <w:p w14:paraId="66BDFBDD" w14:textId="0456A12B" w:rsidR="00703595" w:rsidRDefault="00364812" w:rsidP="000B7B7B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</w:rPr>
              <w:t>Category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1742C85" w14:textId="0A71AB04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Work Location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00DCBEFD" w14:textId="45BA7B5D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Departmental</w:t>
            </w:r>
          </w:p>
          <w:p w14:paraId="2F97AD21" w14:textId="1E1B807E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Incentive</w:t>
            </w:r>
          </w:p>
          <w:p w14:paraId="68D98DD3" w14:textId="201D3638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Payment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7D22BDE3" w14:textId="1BB5D105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Locality</w:t>
            </w:r>
          </w:p>
          <w:p w14:paraId="38DBBB15" w14:textId="29207C04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Allowance</w:t>
            </w:r>
          </w:p>
          <w:p w14:paraId="60A4D3CB" w14:textId="5E427F11" w:rsidR="00703595" w:rsidRDefault="00703595" w:rsidP="000B7B7B">
            <w:pPr>
              <w:jc w:val="center"/>
            </w:pPr>
          </w:p>
          <w:p w14:paraId="2E5DF14F" w14:textId="3811924F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(refer</w:t>
            </w:r>
            <w:r>
              <w:rPr>
                <w:rFonts w:ascii="Arial" w:eastAsia="Arial" w:hAnsi="Arial" w:cs="Arial"/>
                <w:sz w:val="18"/>
              </w:rPr>
              <w:t xml:space="preserve"> to Directive to determine applicable amount and if full or half rate payable for individual staff)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64FF2004" w14:textId="1526A017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Annual</w:t>
            </w:r>
          </w:p>
          <w:p w14:paraId="2A7C1BC3" w14:textId="05D85F76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Recreation</w:t>
            </w:r>
          </w:p>
          <w:p w14:paraId="7641C74D" w14:textId="58D2E1D2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Leave</w:t>
            </w:r>
          </w:p>
          <w:p w14:paraId="5487CF68" w14:textId="2D2E18B8" w:rsidR="00703595" w:rsidRDefault="00703595" w:rsidP="000B7B7B">
            <w:pPr>
              <w:jc w:val="center"/>
            </w:pPr>
          </w:p>
          <w:p w14:paraId="792C9B20" w14:textId="5C77261B" w:rsidR="00703595" w:rsidRDefault="00364812" w:rsidP="000B7B7B">
            <w:pPr>
              <w:ind w:left="103" w:right="148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 ‘Recreation Leave’)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3F480C5E" w14:textId="61FDBCCA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Annual Isolated</w:t>
            </w:r>
          </w:p>
          <w:p w14:paraId="4A0F41CC" w14:textId="5E406932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Centre</w:t>
            </w:r>
          </w:p>
          <w:p w14:paraId="465C0C2C" w14:textId="68109EDE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Concessional</w:t>
            </w:r>
          </w:p>
          <w:p w14:paraId="544BBE63" w14:textId="60ABA694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Leave</w:t>
            </w:r>
          </w:p>
          <w:p w14:paraId="78D3C3F6" w14:textId="3422663D" w:rsidR="00703595" w:rsidRDefault="00703595" w:rsidP="000B7B7B">
            <w:pPr>
              <w:jc w:val="center"/>
            </w:pPr>
          </w:p>
          <w:p w14:paraId="6F11B910" w14:textId="26B91046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</w:t>
            </w:r>
          </w:p>
          <w:p w14:paraId="15F58F07" w14:textId="24B2064D" w:rsidR="00703595" w:rsidRDefault="00364812" w:rsidP="000B7B7B">
            <w:pPr>
              <w:spacing w:after="13" w:line="243" w:lineRule="auto"/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‘Leave and Travel </w:t>
            </w:r>
            <w:r>
              <w:rPr>
                <w:rFonts w:ascii="Arial" w:eastAsia="Arial" w:hAnsi="Arial" w:cs="Arial"/>
                <w:sz w:val="18"/>
              </w:rPr>
              <w:t>Concessions –</w:t>
            </w:r>
          </w:p>
          <w:p w14:paraId="087CCEE5" w14:textId="5CA88CA4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Isolated Centres’.</w:t>
            </w:r>
          </w:p>
          <w:p w14:paraId="3719E861" w14:textId="49285328" w:rsidR="00703595" w:rsidRDefault="00364812" w:rsidP="000B7B7B">
            <w:pPr>
              <w:ind w:left="103" w:right="118"/>
              <w:jc w:val="center"/>
            </w:pPr>
            <w:r>
              <w:rPr>
                <w:rFonts w:ascii="Arial" w:eastAsia="Arial" w:hAnsi="Arial" w:cs="Arial"/>
                <w:sz w:val="18"/>
              </w:rPr>
              <w:t>N.B: does not apply to temporary employees; leave does not attract leave loading)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77F4AC20" w14:textId="2B0B0EBB" w:rsidR="00703595" w:rsidRDefault="00364812" w:rsidP="000B7B7B">
            <w:pPr>
              <w:ind w:left="104" w:right="51"/>
              <w:jc w:val="center"/>
            </w:pPr>
            <w:r>
              <w:rPr>
                <w:rFonts w:ascii="Arial" w:eastAsia="Arial" w:hAnsi="Arial" w:cs="Arial"/>
                <w:b/>
              </w:rPr>
              <w:t>Annual Return to Airfare to</w:t>
            </w:r>
          </w:p>
          <w:p w14:paraId="007C2E22" w14:textId="6240F6AC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Designated</w:t>
            </w:r>
          </w:p>
          <w:p w14:paraId="37026E0C" w14:textId="7143FD0C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Major Coastal</w:t>
            </w:r>
          </w:p>
          <w:p w14:paraId="734495D4" w14:textId="584FAA06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Centre</w:t>
            </w:r>
          </w:p>
          <w:p w14:paraId="2934D8A8" w14:textId="033A7AFB" w:rsidR="00703595" w:rsidRDefault="00703595" w:rsidP="000B7B7B">
            <w:pPr>
              <w:ind w:left="1"/>
              <w:jc w:val="center"/>
            </w:pPr>
          </w:p>
          <w:p w14:paraId="6B687B92" w14:textId="758C97A4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</w:t>
            </w:r>
          </w:p>
          <w:p w14:paraId="22598860" w14:textId="2DA27215" w:rsidR="00703595" w:rsidRDefault="00364812" w:rsidP="000B7B7B">
            <w:pPr>
              <w:spacing w:after="13" w:line="243" w:lineRule="auto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‘Leave and Travel Concessions –</w:t>
            </w:r>
          </w:p>
          <w:p w14:paraId="5FD199EC" w14:textId="4BFF51A4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Isolated Centres’.</w:t>
            </w:r>
          </w:p>
          <w:p w14:paraId="070AE4C7" w14:textId="1CEBDB65" w:rsidR="00703595" w:rsidRDefault="00364812" w:rsidP="000B7B7B">
            <w:pPr>
              <w:ind w:left="104"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N.B: </w:t>
            </w:r>
            <w:r>
              <w:rPr>
                <w:rFonts w:ascii="Arial" w:eastAsia="Arial" w:hAnsi="Arial" w:cs="Arial"/>
                <w:sz w:val="18"/>
              </w:rPr>
              <w:t>does not apply to temporary employees)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47F76B4D" w14:textId="1F4C6ADD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Annual Return</w:t>
            </w:r>
          </w:p>
          <w:p w14:paraId="79DC4DF9" w14:textId="43068D63" w:rsidR="00703595" w:rsidRDefault="00364812" w:rsidP="000B7B7B">
            <w:pPr>
              <w:spacing w:line="239" w:lineRule="auto"/>
              <w:ind w:left="104" w:right="23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Airfare to Brisbane (or equivalent fare to elsewhere in State)</w:t>
            </w:r>
          </w:p>
          <w:p w14:paraId="6D6AE189" w14:textId="77777777" w:rsidR="000B7B7B" w:rsidRDefault="000B7B7B" w:rsidP="000B7B7B">
            <w:pPr>
              <w:spacing w:line="239" w:lineRule="auto"/>
              <w:ind w:left="104" w:right="239"/>
              <w:jc w:val="center"/>
            </w:pPr>
          </w:p>
          <w:p w14:paraId="13A843F8" w14:textId="5E7D2A53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</w:t>
            </w:r>
          </w:p>
          <w:p w14:paraId="394433F9" w14:textId="02CD9CDB" w:rsidR="00703595" w:rsidRDefault="00364812" w:rsidP="000B7B7B">
            <w:pPr>
              <w:spacing w:after="16" w:line="243" w:lineRule="auto"/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‘Leave and Travel Concessions –</w:t>
            </w:r>
          </w:p>
          <w:p w14:paraId="088A97C0" w14:textId="250723D9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Isolated Centres’.</w:t>
            </w:r>
          </w:p>
          <w:p w14:paraId="47EC4E62" w14:textId="1DF70EB5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sz w:val="18"/>
              </w:rPr>
              <w:t>N.B: does not apply to</w:t>
            </w:r>
          </w:p>
          <w:p w14:paraId="4F87D0D4" w14:textId="29FBFC30" w:rsidR="00703595" w:rsidRDefault="00364812" w:rsidP="000B7B7B">
            <w:pPr>
              <w:ind w:left="104"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temporary employees)</w:t>
            </w:r>
          </w:p>
        </w:tc>
      </w:tr>
      <w:tr w:rsidR="00703595" w14:paraId="1606A7FE" w14:textId="77777777" w:rsidTr="004A56D6">
        <w:trPr>
          <w:trHeight w:val="20"/>
        </w:trPr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C0EC" w14:textId="77777777" w:rsidR="00703595" w:rsidRDefault="00364812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>Very Remote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C944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Bamaga 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23FF" w14:textId="77777777" w:rsidR="00703595" w:rsidRDefault="00364812">
            <w:pPr>
              <w:spacing w:after="62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025ECF1" w14:textId="77777777" w:rsidR="00703595" w:rsidRDefault="00364812">
            <w:pPr>
              <w:spacing w:after="62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9FFA468" w14:textId="77777777" w:rsidR="00703595" w:rsidRDefault="00364812">
            <w:pPr>
              <w:spacing w:after="62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F52EEDE" w14:textId="77777777" w:rsidR="00703595" w:rsidRDefault="0036481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$10,000 per annum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8042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3400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BD8A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334C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AE1E" w14:textId="77777777" w:rsidR="00703595" w:rsidRDefault="00364812">
            <w:pPr>
              <w:ind w:lef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  <w:tr w:rsidR="00703595" w14:paraId="4D4C4B0B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676EC0" w14:textId="77777777" w:rsidR="00703595" w:rsidRDefault="00703595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8D6C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Cunnamulla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0E41A0" w14:textId="77777777" w:rsidR="00703595" w:rsidRDefault="0070359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6559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F972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7CC1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D8FF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833B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1E2FF8BA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E7D252" w14:textId="77777777" w:rsidR="00703595" w:rsidRDefault="00703595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47CB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Lockhart River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DAEC79" w14:textId="77777777" w:rsidR="00703595" w:rsidRDefault="0070359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B181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69A5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B93C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E18D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C53F" w14:textId="77777777" w:rsidR="00703595" w:rsidRDefault="00364812">
            <w:pPr>
              <w:ind w:lef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  <w:tr w:rsidR="00703595" w14:paraId="62710D14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65AE58" w14:textId="77777777" w:rsidR="00703595" w:rsidRDefault="00703595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3758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Longreach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FDE87B" w14:textId="77777777" w:rsidR="00703595" w:rsidRDefault="0070359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BBC1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CBBC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9F00" w14:textId="77777777" w:rsidR="00703595" w:rsidRDefault="00364812">
            <w:pPr>
              <w:ind w:left="1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8337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A203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0540C59D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0F96C1" w14:textId="77777777" w:rsidR="00703595" w:rsidRDefault="00703595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1F76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Mornington Island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1ED84B" w14:textId="77777777" w:rsidR="00703595" w:rsidRDefault="0070359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9AB3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9CC4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FFF1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9A3E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0042" w14:textId="77777777" w:rsidR="00703595" w:rsidRDefault="00364812">
            <w:pPr>
              <w:ind w:lef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  <w:tr w:rsidR="00703595" w14:paraId="4E752D2B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E9BF26" w14:textId="77777777" w:rsidR="00703595" w:rsidRDefault="00703595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E79A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Normanton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FFCDC6" w14:textId="77777777" w:rsidR="00703595" w:rsidRDefault="0070359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DBB3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59C3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71B7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7E8E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D7D8" w14:textId="77777777" w:rsidR="00703595" w:rsidRDefault="00364812">
            <w:pPr>
              <w:ind w:lef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  <w:tr w:rsidR="00703595" w14:paraId="1696CD36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52B134" w14:textId="77777777" w:rsidR="00703595" w:rsidRDefault="00703595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BE8D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Thursday Island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EF1CEF" w14:textId="77777777" w:rsidR="00703595" w:rsidRDefault="0070359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F2D6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D8CD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213D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092A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483A" w14:textId="77777777" w:rsidR="00703595" w:rsidRDefault="00364812">
            <w:pPr>
              <w:ind w:lef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  <w:tr w:rsidR="00703595" w14:paraId="0BA11D69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58ED" w14:textId="77777777" w:rsidR="00703595" w:rsidRDefault="00703595"/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3A71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Weipa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B952" w14:textId="77777777" w:rsidR="00703595" w:rsidRDefault="00703595"/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686F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6EDF" w14:textId="77777777" w:rsidR="00703595" w:rsidRDefault="00364812">
            <w:pPr>
              <w:ind w:left="16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474A" w14:textId="77777777" w:rsidR="00703595" w:rsidRDefault="00364812">
            <w:pPr>
              <w:ind w:left="1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B979" w14:textId="77777777" w:rsidR="00703595" w:rsidRDefault="00364812">
            <w:pPr>
              <w:ind w:left="16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3DC3" w14:textId="77777777" w:rsidR="00703595" w:rsidRDefault="00364812">
            <w:pPr>
              <w:ind w:lef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</w:tbl>
    <w:p w14:paraId="3EF20821" w14:textId="07C8C394" w:rsidR="00703595" w:rsidRDefault="00364812">
      <w:pPr>
        <w:spacing w:after="0"/>
        <w:ind w:left="2880"/>
      </w:pPr>
      <w:r>
        <w:t xml:space="preserve"> </w:t>
      </w:r>
    </w:p>
    <w:p w14:paraId="3C03C0A2" w14:textId="7701E5B5" w:rsidR="004A56D6" w:rsidRDefault="004A56D6">
      <w:pPr>
        <w:spacing w:after="0"/>
        <w:ind w:left="2880"/>
      </w:pPr>
    </w:p>
    <w:p w14:paraId="1ED64F4F" w14:textId="1EAD5B99" w:rsidR="004A56D6" w:rsidRDefault="004A56D6">
      <w:pPr>
        <w:spacing w:after="0"/>
        <w:ind w:left="2880"/>
      </w:pPr>
    </w:p>
    <w:p w14:paraId="7B9FC483" w14:textId="58A440CC" w:rsidR="004A56D6" w:rsidRDefault="004A56D6">
      <w:pPr>
        <w:spacing w:after="0"/>
        <w:ind w:left="2880"/>
      </w:pPr>
    </w:p>
    <w:p w14:paraId="3056C7C0" w14:textId="77777777" w:rsidR="004A56D6" w:rsidRDefault="004A56D6">
      <w:pPr>
        <w:spacing w:after="0"/>
        <w:ind w:left="2880"/>
      </w:pPr>
    </w:p>
    <w:p w14:paraId="0A78C7E1" w14:textId="5698CB1E" w:rsidR="004A56D6" w:rsidRDefault="004A56D6">
      <w:pPr>
        <w:spacing w:after="0"/>
        <w:ind w:left="2880"/>
      </w:pPr>
    </w:p>
    <w:p w14:paraId="3EB52992" w14:textId="77777777" w:rsidR="004A56D6" w:rsidRDefault="004A56D6">
      <w:pPr>
        <w:spacing w:after="0"/>
        <w:ind w:left="2880"/>
      </w:pPr>
    </w:p>
    <w:tbl>
      <w:tblPr>
        <w:tblStyle w:val="TableGrid"/>
        <w:tblW w:w="15334" w:type="dxa"/>
        <w:tblInd w:w="542" w:type="dxa"/>
        <w:tblCellMar>
          <w:top w:w="7" w:type="dxa"/>
          <w:left w:w="7" w:type="dxa"/>
          <w:right w:w="108" w:type="dxa"/>
        </w:tblCellMar>
        <w:tblLook w:val="04A0" w:firstRow="1" w:lastRow="0" w:firstColumn="1" w:lastColumn="0" w:noHBand="0" w:noVBand="1"/>
      </w:tblPr>
      <w:tblGrid>
        <w:gridCol w:w="1894"/>
        <w:gridCol w:w="1501"/>
        <w:gridCol w:w="1841"/>
        <w:gridCol w:w="1987"/>
        <w:gridCol w:w="1841"/>
        <w:gridCol w:w="2126"/>
        <w:gridCol w:w="2019"/>
        <w:gridCol w:w="2125"/>
      </w:tblGrid>
      <w:tr w:rsidR="00703595" w14:paraId="7CC592EC" w14:textId="77777777" w:rsidTr="00847549">
        <w:trPr>
          <w:trHeight w:val="2985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662EC2A9" w14:textId="385B250E" w:rsidR="00703595" w:rsidRDefault="00364812" w:rsidP="000B7B7B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</w:rPr>
              <w:t>Remoteness Area Category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AEEC415" w14:textId="1BA94D4D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Work</w:t>
            </w:r>
          </w:p>
          <w:p w14:paraId="24E528AE" w14:textId="490733D3" w:rsidR="00703595" w:rsidRDefault="00364812" w:rsidP="000B7B7B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</w:rPr>
              <w:t>Location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065666E4" w14:textId="345C0FFA" w:rsidR="00703595" w:rsidRDefault="00364812" w:rsidP="000B7B7B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</w:rPr>
              <w:t>Departmental</w:t>
            </w:r>
          </w:p>
          <w:p w14:paraId="3BB5FDD6" w14:textId="4ADDB9FE" w:rsidR="00703595" w:rsidRDefault="00364812" w:rsidP="000B7B7B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</w:rPr>
              <w:t>Incentive</w:t>
            </w:r>
          </w:p>
          <w:p w14:paraId="4FD7DFBF" w14:textId="37352CC0" w:rsidR="00703595" w:rsidRDefault="00364812" w:rsidP="000B7B7B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</w:rPr>
              <w:t>Payment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2"/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7AF7688" w14:textId="0E0295AC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Locality</w:t>
            </w:r>
          </w:p>
          <w:p w14:paraId="11631893" w14:textId="1434ABBF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Allowance</w:t>
            </w:r>
          </w:p>
          <w:p w14:paraId="21B278BA" w14:textId="43AD8412" w:rsidR="00703595" w:rsidRDefault="00703595" w:rsidP="000B7B7B">
            <w:pPr>
              <w:jc w:val="center"/>
            </w:pPr>
          </w:p>
          <w:p w14:paraId="56CE2952" w14:textId="72B07D87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z w:val="18"/>
              </w:rPr>
              <w:t>refer to Directive to determine applicable amount and if full or half rate payable for individual staff)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3E142002" w14:textId="77CC9FD2" w:rsidR="00703595" w:rsidRDefault="00364812" w:rsidP="000B7B7B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</w:rPr>
              <w:t>Annual</w:t>
            </w:r>
          </w:p>
          <w:p w14:paraId="251CB1D0" w14:textId="001C3E31" w:rsidR="00703595" w:rsidRDefault="00364812" w:rsidP="000B7B7B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</w:rPr>
              <w:t>Recreation</w:t>
            </w:r>
          </w:p>
          <w:p w14:paraId="58DE3E2B" w14:textId="568A9DDD" w:rsidR="00703595" w:rsidRDefault="00364812" w:rsidP="000B7B7B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</w:rPr>
              <w:t>Leave</w:t>
            </w:r>
          </w:p>
          <w:p w14:paraId="6103EE02" w14:textId="1ED70CBE" w:rsidR="00703595" w:rsidRDefault="00703595" w:rsidP="000B7B7B">
            <w:pPr>
              <w:jc w:val="center"/>
            </w:pPr>
          </w:p>
          <w:p w14:paraId="6ECE9C43" w14:textId="3B1094A3" w:rsidR="00703595" w:rsidRDefault="00364812" w:rsidP="000B7B7B">
            <w:pPr>
              <w:ind w:left="96" w:right="108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 ‘Recreation Leave’)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074DB8DE" w14:textId="0623133A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Annual Isolated</w:t>
            </w:r>
          </w:p>
          <w:p w14:paraId="4BB9E04F" w14:textId="0AA53BAA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Centre</w:t>
            </w:r>
          </w:p>
          <w:p w14:paraId="34DF115D" w14:textId="7FEEA6F2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Concessional</w:t>
            </w:r>
          </w:p>
          <w:p w14:paraId="6CA9EE61" w14:textId="018788FB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Leave</w:t>
            </w:r>
          </w:p>
          <w:p w14:paraId="4E2AF806" w14:textId="479EAA6C" w:rsidR="00703595" w:rsidRDefault="00703595" w:rsidP="000B7B7B">
            <w:pPr>
              <w:jc w:val="center"/>
            </w:pPr>
          </w:p>
          <w:p w14:paraId="6179D086" w14:textId="2CFCD5A4" w:rsidR="00703595" w:rsidRDefault="00364812" w:rsidP="000B7B7B">
            <w:pPr>
              <w:spacing w:after="1"/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(as</w:t>
            </w:r>
            <w:r>
              <w:rPr>
                <w:rFonts w:ascii="Arial" w:eastAsia="Arial" w:hAnsi="Arial" w:cs="Arial"/>
                <w:sz w:val="18"/>
              </w:rPr>
              <w:t xml:space="preserve"> per Directive ‘Leave and Travel</w:t>
            </w:r>
          </w:p>
          <w:p w14:paraId="1941966C" w14:textId="7A9CC2CD" w:rsidR="00703595" w:rsidRDefault="00364812" w:rsidP="000B7B7B">
            <w:pPr>
              <w:ind w:left="103" w:right="79"/>
              <w:jc w:val="center"/>
            </w:pPr>
            <w:r>
              <w:rPr>
                <w:rFonts w:ascii="Arial" w:eastAsia="Arial" w:hAnsi="Arial" w:cs="Arial"/>
                <w:sz w:val="18"/>
              </w:rPr>
              <w:t>Concessions – Isolated Centres’. Does not apply to temporary employees. Does not attract leave loading)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04347CBD" w14:textId="6AEA2496" w:rsidR="00703595" w:rsidRDefault="00364812" w:rsidP="000B7B7B">
            <w:pPr>
              <w:spacing w:line="238" w:lineRule="auto"/>
              <w:ind w:left="103" w:right="43"/>
              <w:jc w:val="center"/>
            </w:pPr>
            <w:r>
              <w:rPr>
                <w:rFonts w:ascii="Arial" w:eastAsia="Arial" w:hAnsi="Arial" w:cs="Arial"/>
                <w:b/>
              </w:rPr>
              <w:t>Annual Return to Airfare to</w:t>
            </w:r>
          </w:p>
          <w:p w14:paraId="6CA2076B" w14:textId="338A80E9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Designated</w:t>
            </w:r>
          </w:p>
          <w:p w14:paraId="1F038CE2" w14:textId="63802C34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Major Coastal</w:t>
            </w:r>
          </w:p>
          <w:p w14:paraId="66407B10" w14:textId="472CC49F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Centre</w:t>
            </w:r>
          </w:p>
          <w:p w14:paraId="52BE0128" w14:textId="1B7FD9A9" w:rsidR="00703595" w:rsidRDefault="00703595" w:rsidP="000B7B7B">
            <w:pPr>
              <w:jc w:val="center"/>
            </w:pPr>
          </w:p>
          <w:p w14:paraId="5E3F4E65" w14:textId="12CDF054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</w:t>
            </w:r>
          </w:p>
          <w:p w14:paraId="3DAF63FD" w14:textId="01898862" w:rsidR="00703595" w:rsidRDefault="00364812" w:rsidP="000B7B7B">
            <w:pPr>
              <w:spacing w:after="13" w:line="243" w:lineRule="auto"/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‘Leave and Travel Concessions –</w:t>
            </w:r>
          </w:p>
          <w:p w14:paraId="0C9BBEF3" w14:textId="1441BE1E" w:rsidR="00703595" w:rsidRDefault="00364812" w:rsidP="000B7B7B">
            <w:pPr>
              <w:ind w:left="103" w:right="7"/>
              <w:jc w:val="center"/>
            </w:pPr>
            <w:r>
              <w:rPr>
                <w:rFonts w:ascii="Arial" w:eastAsia="Arial" w:hAnsi="Arial" w:cs="Arial"/>
                <w:sz w:val="18"/>
              </w:rPr>
              <w:t>Isolated Centres’. Does not apply to temporary employees)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4DF9222E" w14:textId="39274650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</w:rPr>
              <w:t>Annual Return</w:t>
            </w:r>
          </w:p>
          <w:p w14:paraId="69A11780" w14:textId="32C13FFF" w:rsidR="00703595" w:rsidRDefault="00364812" w:rsidP="000B7B7B">
            <w:pPr>
              <w:spacing w:line="239" w:lineRule="auto"/>
              <w:ind w:left="103" w:right="333"/>
              <w:jc w:val="center"/>
            </w:pPr>
            <w:r>
              <w:rPr>
                <w:rFonts w:ascii="Arial" w:eastAsia="Arial" w:hAnsi="Arial" w:cs="Arial"/>
                <w:b/>
              </w:rPr>
              <w:t>Airfare to Brisbane (or equivalent fare to elsewhere in state)</w:t>
            </w:r>
          </w:p>
          <w:p w14:paraId="640F6CB4" w14:textId="3AC0DC06" w:rsidR="00703595" w:rsidRDefault="00703595" w:rsidP="000B7B7B">
            <w:pPr>
              <w:jc w:val="center"/>
            </w:pPr>
          </w:p>
          <w:p w14:paraId="3ECA221D" w14:textId="13C5A979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</w:t>
            </w:r>
          </w:p>
          <w:p w14:paraId="6B8B7B83" w14:textId="210351E3" w:rsidR="00703595" w:rsidRDefault="00364812" w:rsidP="000B7B7B">
            <w:pPr>
              <w:ind w:left="103"/>
              <w:jc w:val="center"/>
            </w:pPr>
            <w:r>
              <w:rPr>
                <w:rFonts w:ascii="Arial" w:eastAsia="Arial" w:hAnsi="Arial" w:cs="Arial"/>
                <w:sz w:val="18"/>
              </w:rPr>
              <w:t>‘Leave and Travel</w:t>
            </w:r>
          </w:p>
          <w:p w14:paraId="610E4DA5" w14:textId="17693D85" w:rsidR="00703595" w:rsidRDefault="00364812" w:rsidP="000B7B7B">
            <w:pPr>
              <w:ind w:left="103"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Concessions – Isolated Centres’. Does not apply to temporary employees)</w:t>
            </w:r>
          </w:p>
        </w:tc>
      </w:tr>
      <w:tr w:rsidR="00703595" w14:paraId="2AB71046" w14:textId="77777777" w:rsidTr="00847549">
        <w:trPr>
          <w:trHeight w:val="20"/>
        </w:trPr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5BB9" w14:textId="77777777" w:rsidR="00703595" w:rsidRDefault="00364812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>Remote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A8F0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Charleville 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EEC23" w14:textId="77777777" w:rsidR="00703595" w:rsidRDefault="00364812">
            <w:pPr>
              <w:spacing w:after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5C5B23C" w14:textId="77777777" w:rsidR="00703595" w:rsidRDefault="00364812">
            <w:pPr>
              <w:spacing w:after="62"/>
              <w:ind w:left="1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C53987E" w14:textId="77777777" w:rsidR="00703595" w:rsidRDefault="00364812">
            <w:pPr>
              <w:ind w:left="446" w:right="3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$7500 per annum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D471" w14:textId="77777777" w:rsidR="00703595" w:rsidRDefault="00364812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D583" w14:textId="77777777" w:rsidR="00703595" w:rsidRDefault="00364812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A9A2" w14:textId="77777777" w:rsidR="00703595" w:rsidRDefault="00364812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5152" w14:textId="77777777" w:rsidR="00703595" w:rsidRDefault="00364812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635F" w14:textId="77777777" w:rsidR="00703595" w:rsidRDefault="00364812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5393C05D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F82253" w14:textId="77777777" w:rsidR="00703595" w:rsidRDefault="00703595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9C47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Cooktown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FD0644" w14:textId="77777777" w:rsidR="00703595" w:rsidRDefault="0070359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3A90" w14:textId="77777777" w:rsidR="00703595" w:rsidRDefault="00364812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9AAD" w14:textId="77777777" w:rsidR="00703595" w:rsidRDefault="00364812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BC21" w14:textId="77777777" w:rsidR="00703595" w:rsidRDefault="00364812">
            <w:pPr>
              <w:ind w:left="2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43A9" w14:textId="77777777" w:rsidR="00703595" w:rsidRDefault="00364812">
            <w:pPr>
              <w:ind w:left="2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8608" w14:textId="77777777" w:rsidR="00703595" w:rsidRDefault="00364812">
            <w:pPr>
              <w:ind w:left="2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  <w:tr w:rsidR="00703595" w14:paraId="02B59F31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479982" w14:textId="77777777" w:rsidR="00703595" w:rsidRDefault="00703595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F561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Mount Isa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4A6C53" w14:textId="77777777" w:rsidR="00703595" w:rsidRDefault="0070359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56B6" w14:textId="77777777" w:rsidR="00703595" w:rsidRDefault="00364812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648C" w14:textId="77777777" w:rsidR="00703595" w:rsidRDefault="00364812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464C" w14:textId="77777777" w:rsidR="00703595" w:rsidRDefault="00364812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999E" w14:textId="77777777" w:rsidR="00703595" w:rsidRDefault="00364812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0B3A" w14:textId="77777777" w:rsidR="00703595" w:rsidRDefault="00364812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2BDA0783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A8DC97" w14:textId="77777777" w:rsidR="00703595" w:rsidRDefault="00703595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52C4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Palm Island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2B05BA" w14:textId="77777777" w:rsidR="00703595" w:rsidRDefault="0070359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AE00" w14:textId="77777777" w:rsidR="00703595" w:rsidRDefault="00364812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128A" w14:textId="77777777" w:rsidR="00703595" w:rsidRDefault="00364812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F81F" w14:textId="77777777" w:rsidR="00703595" w:rsidRDefault="00364812">
            <w:pPr>
              <w:ind w:left="2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days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9BC0" w14:textId="77777777" w:rsidR="00703595" w:rsidRDefault="00364812">
            <w:pPr>
              <w:ind w:left="2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CA1A" w14:textId="77777777" w:rsidR="00703595" w:rsidRDefault="00364812">
            <w:pPr>
              <w:ind w:left="2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</w:tr>
      <w:tr w:rsidR="00703595" w14:paraId="1884CA30" w14:textId="77777777" w:rsidTr="004A56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EBAD" w14:textId="77777777" w:rsidR="00703595" w:rsidRDefault="00703595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49CD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St George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2447" w14:textId="77777777" w:rsidR="00703595" w:rsidRDefault="00703595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735C" w14:textId="77777777" w:rsidR="00703595" w:rsidRDefault="00364812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79C6" w14:textId="77777777" w:rsidR="00703595" w:rsidRDefault="00364812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6364" w14:textId="77777777" w:rsidR="00703595" w:rsidRDefault="00364812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D197" w14:textId="77777777" w:rsidR="00703595" w:rsidRDefault="00364812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54AA" w14:textId="77777777" w:rsidR="00703595" w:rsidRDefault="00364812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847549" w14:paraId="78797B97" w14:textId="77777777" w:rsidTr="006B2905">
        <w:trPr>
          <w:trHeight w:val="20"/>
        </w:trPr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B6D85" w14:textId="2423B764" w:rsidR="00847549" w:rsidRDefault="00847549" w:rsidP="00847549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>Outer Regional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4C06" w14:textId="77777777" w:rsidR="00847549" w:rsidRDefault="00847549" w:rsidP="00E82DE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Atherton 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C271AC" w14:textId="77777777" w:rsidR="00847549" w:rsidRDefault="00847549" w:rsidP="00E82DE2">
            <w:pPr>
              <w:spacing w:after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68FB81E" w14:textId="516AAA7E" w:rsidR="00847549" w:rsidRDefault="00847549" w:rsidP="006B2905">
            <w:pPr>
              <w:ind w:left="446" w:right="3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$5000 per annum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0833" w14:textId="77777777" w:rsidR="00847549" w:rsidRDefault="00847549" w:rsidP="00E82DE2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7A4D" w14:textId="77777777" w:rsidR="00847549" w:rsidRDefault="00847549" w:rsidP="00E82DE2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936B" w14:textId="77777777" w:rsidR="00847549" w:rsidRDefault="00847549" w:rsidP="00E82DE2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5999" w14:textId="77777777" w:rsidR="00847549" w:rsidRDefault="00847549" w:rsidP="00E82DE2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0160" w14:textId="77777777" w:rsidR="00847549" w:rsidRDefault="00847549" w:rsidP="00E82DE2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847549" w14:paraId="7CB6B77D" w14:textId="77777777" w:rsidTr="006B2905">
        <w:trPr>
          <w:trHeight w:val="20"/>
        </w:trPr>
        <w:tc>
          <w:tcPr>
            <w:tcW w:w="18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4D5167" w14:textId="23F7DDA9" w:rsidR="00847549" w:rsidRDefault="00847549">
            <w:pPr>
              <w:ind w:left="101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BE92" w14:textId="0A26C0F8" w:rsidR="00847549" w:rsidRDefault="00847549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Mareeba 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B04A90" w14:textId="0C5A9099" w:rsidR="00847549" w:rsidRDefault="00847549">
            <w:pPr>
              <w:ind w:left="446" w:right="341"/>
              <w:jc w:val="center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2165" w14:textId="77777777" w:rsidR="00847549" w:rsidRDefault="00847549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0A8A" w14:textId="77777777" w:rsidR="00847549" w:rsidRDefault="00847549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2AB9" w14:textId="77777777" w:rsidR="00847549" w:rsidRDefault="00847549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C5D5" w14:textId="77777777" w:rsidR="00847549" w:rsidRDefault="00847549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7948" w14:textId="77777777" w:rsidR="00847549" w:rsidRDefault="00847549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847549" w14:paraId="158EFF34" w14:textId="77777777" w:rsidTr="006B290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AA2BD4" w14:textId="77777777" w:rsidR="00847549" w:rsidRDefault="00847549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0969" w14:textId="77777777" w:rsidR="00847549" w:rsidRDefault="00847549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Emerald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55A6C3" w14:textId="77777777" w:rsidR="00847549" w:rsidRDefault="0084754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415B" w14:textId="77777777" w:rsidR="00847549" w:rsidRDefault="00847549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3AF1" w14:textId="77777777" w:rsidR="00847549" w:rsidRDefault="00847549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0532" w14:textId="77777777" w:rsidR="00847549" w:rsidRDefault="00847549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D1A3E" w14:textId="77777777" w:rsidR="00847549" w:rsidRDefault="00847549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9683" w14:textId="77777777" w:rsidR="00847549" w:rsidRDefault="00847549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847549" w14:paraId="2DAA4033" w14:textId="77777777" w:rsidTr="006B290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E118AD" w14:textId="77777777" w:rsidR="00847549" w:rsidRDefault="00847549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73D3" w14:textId="77777777" w:rsidR="00847549" w:rsidRDefault="00847549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Roma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2A5D" w14:textId="77777777" w:rsidR="00847549" w:rsidRDefault="00847549"/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9FAEA" w14:textId="77777777" w:rsidR="00847549" w:rsidRDefault="00847549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C7A4" w14:textId="77777777" w:rsidR="00847549" w:rsidRDefault="00847549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8FF5" w14:textId="77777777" w:rsidR="00847549" w:rsidRDefault="00847549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7861" w14:textId="77777777" w:rsidR="00847549" w:rsidRDefault="00847549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FAED" w14:textId="77777777" w:rsidR="00847549" w:rsidRDefault="00847549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847549" w14:paraId="58C4608A" w14:textId="77777777" w:rsidTr="00A23A40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9FCB" w14:textId="77777777" w:rsidR="00847549" w:rsidRDefault="00847549"/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2296" w14:textId="77777777" w:rsidR="00847549" w:rsidRDefault="00847549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Murgon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A770" w14:textId="77777777" w:rsidR="00847549" w:rsidRDefault="00847549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$2500 per annum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5072" w14:textId="77777777" w:rsidR="00847549" w:rsidRDefault="00847549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A20AB" w14:textId="77777777" w:rsidR="00847549" w:rsidRDefault="00847549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38AE" w14:textId="77777777" w:rsidR="00847549" w:rsidRDefault="00847549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4F04" w14:textId="77777777" w:rsidR="00847549" w:rsidRDefault="00847549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2432" w14:textId="77777777" w:rsidR="00847549" w:rsidRDefault="00847549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5AB3711C" w14:textId="77777777" w:rsidTr="00847549">
        <w:trPr>
          <w:trHeight w:val="20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67D3" w14:textId="77777777" w:rsidR="00703595" w:rsidRDefault="00364812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>Inner Regional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CD63" w14:textId="77777777" w:rsidR="00703595" w:rsidRDefault="00364812">
            <w:pPr>
              <w:ind w:left="104"/>
            </w:pPr>
            <w:r>
              <w:rPr>
                <w:rFonts w:ascii="Arial" w:eastAsia="Arial" w:hAnsi="Arial" w:cs="Arial"/>
                <w:sz w:val="20"/>
              </w:rPr>
              <w:t xml:space="preserve">Kingaroy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309A" w14:textId="77777777" w:rsidR="00703595" w:rsidRDefault="00364812">
            <w:pPr>
              <w:ind w:left="103"/>
            </w:pPr>
            <w:r>
              <w:rPr>
                <w:rFonts w:ascii="Arial" w:eastAsia="Arial" w:hAnsi="Arial" w:cs="Arial"/>
                <w:sz w:val="20"/>
              </w:rPr>
              <w:t xml:space="preserve">$2500 per annum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43686" w14:textId="77777777" w:rsidR="00703595" w:rsidRDefault="00364812">
            <w:pPr>
              <w:ind w:left="19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7D76" w14:textId="77777777" w:rsidR="00703595" w:rsidRDefault="00364812">
            <w:pPr>
              <w:ind w:left="19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D5FC" w14:textId="77777777" w:rsidR="00703595" w:rsidRDefault="00364812">
            <w:pPr>
              <w:ind w:left="2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EE48" w14:textId="77777777" w:rsidR="00703595" w:rsidRDefault="00364812">
            <w:pPr>
              <w:ind w:left="20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E972" w14:textId="77777777" w:rsidR="00703595" w:rsidRDefault="00364812">
            <w:pPr>
              <w:ind w:left="20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</w:tbl>
    <w:p w14:paraId="31072FF1" w14:textId="77777777" w:rsidR="00703595" w:rsidRDefault="00364812">
      <w:pPr>
        <w:spacing w:after="280"/>
      </w:pPr>
      <w:r>
        <w:rPr>
          <w:rFonts w:ascii="Arial" w:eastAsia="Arial" w:hAnsi="Arial" w:cs="Arial"/>
          <w:b/>
          <w:sz w:val="7"/>
        </w:rPr>
        <w:t xml:space="preserve"> </w:t>
      </w:r>
      <w:r>
        <w:rPr>
          <w:rFonts w:ascii="Arial" w:eastAsia="Arial" w:hAnsi="Arial" w:cs="Arial"/>
          <w:b/>
          <w:sz w:val="7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1A45F9C6" w14:textId="77777777" w:rsidR="00703595" w:rsidRDefault="00364812">
      <w:pPr>
        <w:spacing w:after="0"/>
        <w:ind w:left="2880"/>
      </w:pPr>
      <w:r>
        <w:t xml:space="preserve"> </w:t>
      </w:r>
    </w:p>
    <w:p w14:paraId="31042B3F" w14:textId="77777777" w:rsidR="004A56D6" w:rsidRDefault="004A56D6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br w:type="page"/>
      </w:r>
    </w:p>
    <w:p w14:paraId="6661F4D1" w14:textId="77777777" w:rsidR="004A56D6" w:rsidRDefault="004A56D6">
      <w:pPr>
        <w:spacing w:after="0"/>
        <w:ind w:right="1208"/>
        <w:jc w:val="right"/>
        <w:rPr>
          <w:rFonts w:ascii="Arial" w:eastAsia="Arial" w:hAnsi="Arial" w:cs="Arial"/>
          <w:b/>
          <w:sz w:val="32"/>
        </w:rPr>
      </w:pPr>
    </w:p>
    <w:p w14:paraId="4D478E77" w14:textId="77777777" w:rsidR="004A56D6" w:rsidRDefault="004A56D6">
      <w:pPr>
        <w:spacing w:after="0"/>
        <w:ind w:right="1208"/>
        <w:jc w:val="right"/>
        <w:rPr>
          <w:rFonts w:ascii="Arial" w:eastAsia="Arial" w:hAnsi="Arial" w:cs="Arial"/>
          <w:b/>
          <w:sz w:val="32"/>
        </w:rPr>
      </w:pPr>
    </w:p>
    <w:p w14:paraId="098BEEC9" w14:textId="3F5FEAC4" w:rsidR="00703595" w:rsidRDefault="00364812">
      <w:pPr>
        <w:spacing w:after="0"/>
        <w:ind w:right="1208"/>
        <w:jc w:val="right"/>
      </w:pPr>
      <w:r>
        <w:rPr>
          <w:rFonts w:ascii="Arial" w:eastAsia="Arial" w:hAnsi="Arial" w:cs="Arial"/>
          <w:b/>
          <w:sz w:val="32"/>
        </w:rPr>
        <w:t>Schedule B: Remote and Regional Incentives Summary – CSOs (</w:t>
      </w:r>
      <w:r w:rsidR="004A56D6">
        <w:rPr>
          <w:rFonts w:ascii="Arial" w:eastAsia="Arial" w:hAnsi="Arial" w:cs="Arial"/>
          <w:b/>
          <w:sz w:val="32"/>
        </w:rPr>
        <w:t>PO3</w:t>
      </w:r>
      <w:r>
        <w:rPr>
          <w:rFonts w:ascii="Arial" w:eastAsia="Arial" w:hAnsi="Arial" w:cs="Arial"/>
          <w:b/>
          <w:sz w:val="32"/>
        </w:rPr>
        <w:t xml:space="preserve">) </w:t>
      </w:r>
    </w:p>
    <w:p w14:paraId="58543DEE" w14:textId="49D98201" w:rsidR="00703595" w:rsidRDefault="0036481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5033" w:type="dxa"/>
        <w:tblInd w:w="774" w:type="dxa"/>
        <w:tblCellMar>
          <w:top w:w="10" w:type="dxa"/>
          <w:left w:w="22" w:type="dxa"/>
        </w:tblCellMar>
        <w:tblLook w:val="04A0" w:firstRow="1" w:lastRow="0" w:firstColumn="1" w:lastColumn="0" w:noHBand="0" w:noVBand="1"/>
      </w:tblPr>
      <w:tblGrid>
        <w:gridCol w:w="3592"/>
        <w:gridCol w:w="1561"/>
        <w:gridCol w:w="1975"/>
        <w:gridCol w:w="1978"/>
        <w:gridCol w:w="1975"/>
        <w:gridCol w:w="1977"/>
        <w:gridCol w:w="1975"/>
      </w:tblGrid>
      <w:tr w:rsidR="00703595" w14:paraId="57F5AD26" w14:textId="77777777" w:rsidTr="003F1DE8">
        <w:trPr>
          <w:trHeight w:val="247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AD9"/>
          </w:tcPr>
          <w:p w14:paraId="32D8B40B" w14:textId="3B69D8CE" w:rsidR="00703595" w:rsidRDefault="00364812" w:rsidP="000B7B7B">
            <w:pPr>
              <w:ind w:left="85" w:right="8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Rural or Remote Child Safety work location of CSO (</w:t>
            </w:r>
            <w:r w:rsidR="004A56D6">
              <w:rPr>
                <w:rFonts w:ascii="Arial" w:eastAsia="Arial" w:hAnsi="Arial" w:cs="Arial"/>
                <w:b/>
                <w:sz w:val="20"/>
              </w:rPr>
              <w:t>PO3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AD9"/>
          </w:tcPr>
          <w:p w14:paraId="3E7FE901" w14:textId="66AF273B" w:rsidR="00703595" w:rsidRDefault="00364812" w:rsidP="000B7B7B">
            <w:pPr>
              <w:ind w:left="1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Departmental</w:t>
            </w:r>
          </w:p>
          <w:p w14:paraId="4C1AB17D" w14:textId="6880FED0" w:rsidR="00703595" w:rsidRDefault="00364812" w:rsidP="000B7B7B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Incentive</w:t>
            </w:r>
          </w:p>
          <w:p w14:paraId="3717F85B" w14:textId="37BC5F7C" w:rsidR="00703595" w:rsidRDefault="00364812" w:rsidP="000B7B7B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Payment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footnoteReference w:id="3"/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AD9"/>
          </w:tcPr>
          <w:p w14:paraId="2D9F7CC6" w14:textId="50A7DD6E" w:rsidR="00703595" w:rsidRDefault="00364812" w:rsidP="000B7B7B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Locality</w:t>
            </w:r>
          </w:p>
          <w:p w14:paraId="5A8276DE" w14:textId="52E6A671" w:rsidR="00703595" w:rsidRDefault="00364812" w:rsidP="000B7B7B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Allowance</w:t>
            </w:r>
          </w:p>
          <w:p w14:paraId="5A1712AA" w14:textId="758C22F3" w:rsidR="00703595" w:rsidRDefault="00703595" w:rsidP="000B7B7B">
            <w:pPr>
              <w:ind w:left="26"/>
              <w:jc w:val="center"/>
            </w:pPr>
          </w:p>
          <w:p w14:paraId="4233F2CD" w14:textId="1C25C5AE" w:rsidR="00703595" w:rsidRDefault="00364812" w:rsidP="000B7B7B">
            <w:pPr>
              <w:ind w:left="27" w:right="2"/>
              <w:jc w:val="center"/>
            </w:pPr>
            <w:r>
              <w:rPr>
                <w:rFonts w:ascii="Arial" w:eastAsia="Arial" w:hAnsi="Arial" w:cs="Arial"/>
                <w:sz w:val="18"/>
              </w:rPr>
              <w:t>(refer</w:t>
            </w:r>
            <w:r>
              <w:rPr>
                <w:rFonts w:ascii="Arial" w:eastAsia="Arial" w:hAnsi="Arial" w:cs="Arial"/>
                <w:sz w:val="18"/>
              </w:rPr>
              <w:t xml:space="preserve"> to Directive to determine applicable amount and if full or half rate payable for individual staff)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AD9"/>
          </w:tcPr>
          <w:p w14:paraId="5DF683A7" w14:textId="701D725C" w:rsidR="00703595" w:rsidRDefault="00364812" w:rsidP="000B7B7B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Annual</w:t>
            </w:r>
          </w:p>
          <w:p w14:paraId="55258E0F" w14:textId="34B91E92" w:rsidR="00703595" w:rsidRDefault="00364812" w:rsidP="000B7B7B">
            <w:pPr>
              <w:ind w:left="1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Recreation Leave</w:t>
            </w:r>
          </w:p>
          <w:p w14:paraId="1CC7C0F9" w14:textId="3CD6974A" w:rsidR="00703595" w:rsidRDefault="00703595" w:rsidP="000B7B7B">
            <w:pPr>
              <w:ind w:left="28"/>
              <w:jc w:val="center"/>
            </w:pPr>
          </w:p>
          <w:p w14:paraId="3642DD09" w14:textId="0F76B9F8" w:rsidR="00703595" w:rsidRDefault="00364812" w:rsidP="000B7B7B">
            <w:pPr>
              <w:spacing w:after="14"/>
              <w:ind w:right="26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</w:t>
            </w:r>
          </w:p>
          <w:p w14:paraId="3E266E2C" w14:textId="58C90887" w:rsidR="00703595" w:rsidRDefault="00364812" w:rsidP="000B7B7B">
            <w:pPr>
              <w:ind w:right="24"/>
              <w:jc w:val="center"/>
            </w:pPr>
            <w:r>
              <w:rPr>
                <w:rFonts w:ascii="Arial" w:eastAsia="Arial" w:hAnsi="Arial" w:cs="Arial"/>
                <w:sz w:val="18"/>
              </w:rPr>
              <w:t>‘Recreation Leave’)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AD9"/>
          </w:tcPr>
          <w:p w14:paraId="635D67E6" w14:textId="33590E0B" w:rsidR="00703595" w:rsidRDefault="00364812" w:rsidP="000B7B7B">
            <w:pPr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Annual Isolated</w:t>
            </w:r>
          </w:p>
          <w:p w14:paraId="1167BB33" w14:textId="7A7C7E28" w:rsidR="00703595" w:rsidRDefault="00364812" w:rsidP="000B7B7B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Centre</w:t>
            </w:r>
          </w:p>
          <w:p w14:paraId="5385426E" w14:textId="1500AD49" w:rsidR="00703595" w:rsidRDefault="00364812" w:rsidP="000B7B7B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Concessional</w:t>
            </w:r>
          </w:p>
          <w:p w14:paraId="3A526AED" w14:textId="56047A99" w:rsidR="00703595" w:rsidRDefault="00364812" w:rsidP="000B7B7B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Leave</w:t>
            </w:r>
          </w:p>
          <w:p w14:paraId="06DCCE55" w14:textId="04E01873" w:rsidR="00703595" w:rsidRDefault="00703595" w:rsidP="000B7B7B">
            <w:pPr>
              <w:ind w:left="86"/>
              <w:jc w:val="center"/>
            </w:pPr>
          </w:p>
          <w:p w14:paraId="5FE44A40" w14:textId="2416B797" w:rsidR="00703595" w:rsidRDefault="00364812" w:rsidP="000B7B7B">
            <w:pPr>
              <w:spacing w:after="25" w:line="243" w:lineRule="auto"/>
              <w:ind w:left="86"/>
              <w:jc w:val="center"/>
            </w:pPr>
            <w:r>
              <w:rPr>
                <w:rFonts w:ascii="Arial" w:eastAsia="Arial" w:hAnsi="Arial" w:cs="Arial"/>
                <w:sz w:val="18"/>
              </w:rPr>
              <w:t>(as</w:t>
            </w:r>
            <w:r>
              <w:rPr>
                <w:rFonts w:ascii="Arial" w:eastAsia="Arial" w:hAnsi="Arial" w:cs="Arial"/>
                <w:sz w:val="18"/>
              </w:rPr>
              <w:t xml:space="preserve"> per Directive ‘Leave and Travel Concessions –</w:t>
            </w:r>
          </w:p>
          <w:p w14:paraId="54015C01" w14:textId="168DDE18" w:rsidR="00703595" w:rsidRDefault="00364812" w:rsidP="000B7B7B">
            <w:pPr>
              <w:ind w:left="86"/>
              <w:jc w:val="center"/>
            </w:pPr>
            <w:r>
              <w:rPr>
                <w:rFonts w:ascii="Arial" w:eastAsia="Arial" w:hAnsi="Arial" w:cs="Arial"/>
                <w:sz w:val="18"/>
              </w:rPr>
              <w:t>Isolated Centres’).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AD9"/>
          </w:tcPr>
          <w:p w14:paraId="53337BA3" w14:textId="5B8E0812" w:rsidR="00703595" w:rsidRDefault="00364812" w:rsidP="000B7B7B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Annual Return to Airfare to</w:t>
            </w:r>
          </w:p>
          <w:p w14:paraId="791AFDEB" w14:textId="72D89412" w:rsidR="00703595" w:rsidRDefault="00364812" w:rsidP="000B7B7B">
            <w:pPr>
              <w:ind w:left="1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Designated Major</w:t>
            </w:r>
          </w:p>
          <w:p w14:paraId="1B8C1B2E" w14:textId="79B56834" w:rsidR="00703595" w:rsidRDefault="00364812" w:rsidP="000B7B7B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Coastal Centre</w:t>
            </w:r>
          </w:p>
          <w:p w14:paraId="68FB8275" w14:textId="3F6B81DC" w:rsidR="00703595" w:rsidRDefault="00703595" w:rsidP="000B7B7B">
            <w:pPr>
              <w:ind w:left="25"/>
              <w:jc w:val="center"/>
            </w:pPr>
          </w:p>
          <w:p w14:paraId="13C8BF0A" w14:textId="1A61AF37" w:rsidR="00703595" w:rsidRDefault="00364812" w:rsidP="000B7B7B">
            <w:pPr>
              <w:spacing w:after="29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 ‘Leave and Travel Concessions</w:t>
            </w:r>
          </w:p>
          <w:p w14:paraId="175591C4" w14:textId="308B7FBD" w:rsidR="00703595" w:rsidRDefault="00364812" w:rsidP="000B7B7B">
            <w:pPr>
              <w:spacing w:after="2"/>
              <w:ind w:right="26"/>
              <w:jc w:val="center"/>
            </w:pPr>
            <w:r>
              <w:rPr>
                <w:rFonts w:ascii="Arial" w:eastAsia="Arial" w:hAnsi="Arial" w:cs="Arial"/>
                <w:sz w:val="18"/>
              </w:rPr>
              <w:t>– Isolated Centres’).</w:t>
            </w:r>
          </w:p>
          <w:p w14:paraId="48C5C958" w14:textId="72B03652" w:rsidR="00703595" w:rsidRDefault="00703595" w:rsidP="000B7B7B">
            <w:pPr>
              <w:ind w:left="31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AD9"/>
          </w:tcPr>
          <w:p w14:paraId="66CA1733" w14:textId="6D20DE9F" w:rsidR="00703595" w:rsidRDefault="00364812" w:rsidP="000B7B7B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Annual Return</w:t>
            </w:r>
          </w:p>
          <w:p w14:paraId="71E8DE62" w14:textId="21097D43" w:rsidR="00703595" w:rsidRDefault="00364812" w:rsidP="000B7B7B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Airfare to Brisbane</w:t>
            </w:r>
          </w:p>
          <w:p w14:paraId="0DA85429" w14:textId="041744CA" w:rsidR="00703595" w:rsidRDefault="00364812" w:rsidP="000B7B7B">
            <w:pPr>
              <w:spacing w:line="241" w:lineRule="auto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(or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equivalent fare to elsewhere in</w:t>
            </w:r>
          </w:p>
          <w:p w14:paraId="0DB1546E" w14:textId="0BB6BDDF" w:rsidR="00703595" w:rsidRDefault="00364812" w:rsidP="000B7B7B">
            <w:pPr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State)</w:t>
            </w:r>
          </w:p>
          <w:p w14:paraId="6700C7E4" w14:textId="7C9EC83C" w:rsidR="00703595" w:rsidRDefault="00703595" w:rsidP="000B7B7B">
            <w:pPr>
              <w:ind w:left="94"/>
              <w:jc w:val="center"/>
            </w:pPr>
          </w:p>
          <w:p w14:paraId="24015E0E" w14:textId="727496C9" w:rsidR="00703595" w:rsidRDefault="00364812" w:rsidP="000B7B7B">
            <w:pPr>
              <w:spacing w:after="25" w:line="242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(as per Directive ‘Leave and Travel Concessions</w:t>
            </w:r>
          </w:p>
          <w:p w14:paraId="63820BF6" w14:textId="7DC999EC" w:rsidR="00703595" w:rsidRDefault="00364812" w:rsidP="000B7B7B">
            <w:pPr>
              <w:spacing w:after="2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– Isolated Centres’).</w:t>
            </w:r>
          </w:p>
          <w:p w14:paraId="0F11C425" w14:textId="3A22EB25" w:rsidR="00703595" w:rsidRDefault="00703595" w:rsidP="000B7B7B">
            <w:pPr>
              <w:ind w:left="39"/>
              <w:jc w:val="center"/>
            </w:pPr>
          </w:p>
          <w:p w14:paraId="379E88DF" w14:textId="68A3C062" w:rsidR="00703595" w:rsidRDefault="00703595" w:rsidP="000B7B7B">
            <w:pPr>
              <w:ind w:left="39"/>
              <w:jc w:val="center"/>
            </w:pPr>
          </w:p>
        </w:tc>
      </w:tr>
      <w:tr w:rsidR="00703595" w14:paraId="7B442ABC" w14:textId="77777777" w:rsidTr="004A56D6">
        <w:trPr>
          <w:trHeight w:val="2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785B" w14:textId="77777777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 xml:space="preserve">Gladstone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DD9A" w14:textId="77777777" w:rsidR="00703595" w:rsidRDefault="00364812">
            <w:pPr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821E74" w14:textId="1029417A" w:rsidR="00703595" w:rsidRDefault="00364812" w:rsidP="004A56D6">
            <w:pPr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5A586B" w14:textId="2BFEE234" w:rsidR="004A56D6" w:rsidRPr="004A56D6" w:rsidRDefault="00364812" w:rsidP="004A56D6">
            <w:pPr>
              <w:ind w:left="28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4AD54FB" w14:textId="60DE7607" w:rsidR="00703595" w:rsidRDefault="00364812">
            <w:pPr>
              <w:spacing w:line="241" w:lineRule="auto"/>
              <w:ind w:left="278" w:right="24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$2500 per annum </w:t>
            </w:r>
          </w:p>
          <w:p w14:paraId="68A200B7" w14:textId="77777777" w:rsidR="00703595" w:rsidRDefault="00364812">
            <w:pPr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B78247" w14:textId="54CFFBDB" w:rsidR="00703595" w:rsidRDefault="00364812" w:rsidP="004A56D6">
            <w:pPr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0DA221" w14:textId="77777777" w:rsidR="00703595" w:rsidRDefault="00364812">
            <w:pPr>
              <w:ind w:left="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98A4" w14:textId="77777777" w:rsidR="00703595" w:rsidRDefault="00364812">
            <w:pPr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9E73" w14:textId="77777777" w:rsidR="00703595" w:rsidRDefault="00364812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7792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F50E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EBD6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>No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03595" w14:paraId="61611973" w14:textId="77777777" w:rsidTr="004A56D6">
        <w:trPr>
          <w:trHeight w:val="2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5EC5" w14:textId="77777777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 xml:space="preserve">Mackay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85169" w14:textId="77777777" w:rsidR="00703595" w:rsidRDefault="00703595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D236" w14:textId="77777777" w:rsidR="00703595" w:rsidRDefault="00364812">
            <w:pPr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0EE8" w14:textId="77777777" w:rsidR="00703595" w:rsidRDefault="00364812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B812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7C21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E5EA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0570A65F" w14:textId="77777777" w:rsidTr="004A56D6">
        <w:trPr>
          <w:trHeight w:val="2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29A4" w14:textId="77777777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 xml:space="preserve">Bowen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C62C1" w14:textId="77777777" w:rsidR="00703595" w:rsidRDefault="00703595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4859" w14:textId="77777777" w:rsidR="00703595" w:rsidRDefault="00364812">
            <w:pPr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6E0D" w14:textId="77777777" w:rsidR="00703595" w:rsidRDefault="00364812">
            <w:pPr>
              <w:ind w:right="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BBE4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0B7F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CFAC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7ABA6D20" w14:textId="77777777" w:rsidTr="004A56D6">
        <w:trPr>
          <w:trHeight w:val="2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366B" w14:textId="77777777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 xml:space="preserve">Rockhampton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391A5" w14:textId="77777777" w:rsidR="00703595" w:rsidRDefault="00703595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3A8F" w14:textId="77777777" w:rsidR="00703595" w:rsidRDefault="00364812">
            <w:pPr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7510" w14:textId="77777777" w:rsidR="00703595" w:rsidRDefault="00364812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BD0E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9E8C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403F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2A1D719E" w14:textId="77777777" w:rsidTr="004A56D6">
        <w:trPr>
          <w:trHeight w:val="2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6653" w14:textId="77777777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 xml:space="preserve">Maryborough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7682D" w14:textId="77777777" w:rsidR="00703595" w:rsidRDefault="00703595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02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81B0" w14:textId="77777777" w:rsidR="00703595" w:rsidRDefault="00364812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days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0F6F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EEA4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D0D7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2B05A964" w14:textId="77777777" w:rsidTr="004A56D6">
        <w:trPr>
          <w:trHeight w:val="2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8600" w14:textId="77777777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 xml:space="preserve">Edmonton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D9267" w14:textId="77777777" w:rsidR="00703595" w:rsidRDefault="00703595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628B" w14:textId="77777777" w:rsidR="00703595" w:rsidRDefault="00364812">
            <w:pPr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4258" w14:textId="77777777" w:rsidR="00703595" w:rsidRDefault="00364812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E743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BF25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C510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49AB6743" w14:textId="77777777" w:rsidTr="004A56D6">
        <w:trPr>
          <w:trHeight w:val="2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2C1C" w14:textId="77777777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 xml:space="preserve">Innisfail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8EC4A" w14:textId="77777777" w:rsidR="00703595" w:rsidRDefault="00703595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9C9D" w14:textId="77777777" w:rsidR="00703595" w:rsidRDefault="00364812">
            <w:pPr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02B0" w14:textId="77777777" w:rsidR="00703595" w:rsidRDefault="00364812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D0A2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C79F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E07A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03595" w14:paraId="05B4F6CB" w14:textId="77777777" w:rsidTr="004A56D6">
        <w:trPr>
          <w:trHeight w:val="237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3EFE" w14:textId="71D5ADB9" w:rsidR="00703595" w:rsidRDefault="00364812">
            <w:pPr>
              <w:ind w:left="85"/>
            </w:pPr>
            <w:r>
              <w:rPr>
                <w:rFonts w:ascii="Arial" w:eastAsia="Arial" w:hAnsi="Arial" w:cs="Arial"/>
                <w:sz w:val="20"/>
              </w:rPr>
              <w:t>Cairns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8552" w14:textId="77777777" w:rsidR="00703595" w:rsidRDefault="00703595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559B" w14:textId="77777777" w:rsidR="00703595" w:rsidRDefault="00364812">
            <w:pPr>
              <w:ind w:righ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Yes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0BB4" w14:textId="77777777" w:rsidR="00703595" w:rsidRDefault="00364812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days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BD8C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96CC" w14:textId="77777777" w:rsidR="00703595" w:rsidRDefault="00364812">
            <w:pPr>
              <w:ind w:right="2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0260" w14:textId="77777777" w:rsidR="00703595" w:rsidRDefault="00364812">
            <w:pPr>
              <w:ind w:right="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</w:tbl>
    <w:p w14:paraId="0A6C7C07" w14:textId="77777777" w:rsidR="00703595" w:rsidRDefault="00364812">
      <w:pPr>
        <w:spacing w:after="27"/>
        <w:ind w:left="569"/>
      </w:pPr>
      <w:r>
        <w:rPr>
          <w:rFonts w:ascii="Arial" w:eastAsia="Arial" w:hAnsi="Arial" w:cs="Arial"/>
          <w:sz w:val="18"/>
        </w:rPr>
        <w:t xml:space="preserve"> </w:t>
      </w:r>
    </w:p>
    <w:p w14:paraId="43965561" w14:textId="385D46B7" w:rsidR="00703595" w:rsidRDefault="00364812" w:rsidP="004A56D6">
      <w:pPr>
        <w:spacing w:after="1473"/>
      </w:pPr>
      <w:r>
        <w:t xml:space="preserve">  </w:t>
      </w:r>
    </w:p>
    <w:sectPr w:rsidR="0070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50" w:h="11921" w:orient="landscape"/>
      <w:pgMar w:top="1524" w:right="1563" w:bottom="1132" w:left="0" w:header="72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EC2B" w14:textId="77777777" w:rsidR="00447AF4" w:rsidRDefault="00447AF4">
      <w:pPr>
        <w:spacing w:after="0" w:line="240" w:lineRule="auto"/>
      </w:pPr>
      <w:r>
        <w:separator/>
      </w:r>
    </w:p>
  </w:endnote>
  <w:endnote w:type="continuationSeparator" w:id="0">
    <w:p w14:paraId="23D1D0B1" w14:textId="77777777" w:rsidR="00447AF4" w:rsidRDefault="0044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A2C" w14:textId="77777777" w:rsidR="00703595" w:rsidRDefault="00364812">
    <w:pPr>
      <w:spacing w:after="0"/>
    </w:pPr>
    <w:r>
      <w:t xml:space="preserve"> </w:t>
    </w:r>
  </w:p>
  <w:p w14:paraId="28647B0E" w14:textId="77777777" w:rsidR="00703595" w:rsidRDefault="00364812">
    <w:pPr>
      <w:tabs>
        <w:tab w:val="center" w:pos="4512"/>
        <w:tab w:val="center" w:pos="9028"/>
        <w:tab w:val="center" w:pos="9361"/>
        <w:tab w:val="center" w:pos="10081"/>
        <w:tab w:val="center" w:pos="10801"/>
        <w:tab w:val="center" w:pos="11521"/>
        <w:tab w:val="center" w:pos="12241"/>
        <w:tab w:val="center" w:pos="12962"/>
        <w:tab w:val="center" w:pos="14136"/>
      </w:tabs>
      <w:spacing w:after="52"/>
    </w:pPr>
    <w:r>
      <w:rPr>
        <w:i/>
        <w:sz w:val="20"/>
      </w:rPr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</w:r>
    <w:r>
      <w:rPr>
        <w:i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i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20"/>
      </w:rPr>
      <w:t>3</w:t>
    </w:r>
    <w:r>
      <w:rPr>
        <w:b/>
        <w:i/>
        <w:sz w:val="20"/>
      </w:rPr>
      <w:fldChar w:fldCharType="end"/>
    </w:r>
    <w:r>
      <w:t xml:space="preserve"> </w:t>
    </w:r>
  </w:p>
  <w:p w14:paraId="31D17F3C" w14:textId="77777777" w:rsidR="00703595" w:rsidRDefault="00364812">
    <w:pPr>
      <w:spacing w:after="0"/>
    </w:pPr>
    <w:r>
      <w:t xml:space="preserve"> 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2594" w14:textId="7E7C22E4" w:rsidR="00703595" w:rsidRDefault="004A56D6">
    <w:pPr>
      <w:spacing w:after="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B538E8B" wp14:editId="6C2FB7AE">
          <wp:simplePos x="0" y="0"/>
          <wp:positionH relativeFrom="margin">
            <wp:align>left</wp:align>
          </wp:positionH>
          <wp:positionV relativeFrom="paragraph">
            <wp:posOffset>-353435</wp:posOffset>
          </wp:positionV>
          <wp:extent cx="10692000" cy="1065600"/>
          <wp:effectExtent l="0" t="0" r="0" b="1270"/>
          <wp:wrapNone/>
          <wp:docPr id="156292481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2481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31187F59" w14:textId="52C65827" w:rsidR="00703595" w:rsidRDefault="00364812">
    <w:pPr>
      <w:tabs>
        <w:tab w:val="center" w:pos="4512"/>
        <w:tab w:val="center" w:pos="9028"/>
        <w:tab w:val="center" w:pos="9361"/>
        <w:tab w:val="center" w:pos="10081"/>
        <w:tab w:val="center" w:pos="10801"/>
        <w:tab w:val="center" w:pos="11521"/>
        <w:tab w:val="center" w:pos="12241"/>
        <w:tab w:val="center" w:pos="12962"/>
        <w:tab w:val="center" w:pos="14136"/>
      </w:tabs>
      <w:spacing w:after="52"/>
    </w:pPr>
    <w:r>
      <w:rPr>
        <w:i/>
        <w:sz w:val="20"/>
      </w:rPr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i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20"/>
      </w:rPr>
      <w:t>3</w:t>
    </w:r>
    <w:r>
      <w:rPr>
        <w:b/>
        <w:i/>
        <w:sz w:val="20"/>
      </w:rPr>
      <w:fldChar w:fldCharType="end"/>
    </w:r>
    <w:r>
      <w:t xml:space="preserve"> </w:t>
    </w:r>
  </w:p>
  <w:p w14:paraId="13DA5858" w14:textId="77777777" w:rsidR="00703595" w:rsidRDefault="00364812">
    <w:pPr>
      <w:spacing w:after="0"/>
    </w:pPr>
    <w:r>
      <w:t xml:space="preserve"> 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F615" w14:textId="77777777" w:rsidR="00703595" w:rsidRDefault="00364812">
    <w:pPr>
      <w:spacing w:after="0"/>
    </w:pPr>
    <w:r>
      <w:t xml:space="preserve"> </w:t>
    </w:r>
  </w:p>
  <w:p w14:paraId="4B074D48" w14:textId="77777777" w:rsidR="00703595" w:rsidRDefault="00364812">
    <w:pPr>
      <w:tabs>
        <w:tab w:val="center" w:pos="4512"/>
        <w:tab w:val="center" w:pos="9028"/>
        <w:tab w:val="center" w:pos="9361"/>
        <w:tab w:val="center" w:pos="10081"/>
        <w:tab w:val="center" w:pos="10801"/>
        <w:tab w:val="center" w:pos="11521"/>
        <w:tab w:val="center" w:pos="12241"/>
        <w:tab w:val="center" w:pos="12962"/>
        <w:tab w:val="center" w:pos="14136"/>
      </w:tabs>
      <w:spacing w:after="52"/>
    </w:pPr>
    <w:r>
      <w:rPr>
        <w:i/>
        <w:sz w:val="20"/>
      </w:rPr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i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  <w:i/>
        <w:sz w:val="20"/>
      </w:rPr>
      <w:t>3</w:t>
    </w:r>
    <w:r>
      <w:rPr>
        <w:b/>
        <w:i/>
        <w:sz w:val="20"/>
      </w:rPr>
      <w:fldChar w:fldCharType="end"/>
    </w:r>
    <w:r>
      <w:t xml:space="preserve"> </w:t>
    </w:r>
  </w:p>
  <w:p w14:paraId="722CB232" w14:textId="77777777" w:rsidR="00703595" w:rsidRDefault="00364812">
    <w:pPr>
      <w:spacing w:after="0"/>
    </w:pPr>
    <w:r>
      <w:t xml:space="preserve">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C2B2" w14:textId="77777777" w:rsidR="00447AF4" w:rsidRDefault="00447AF4">
      <w:pPr>
        <w:spacing w:after="0" w:line="250" w:lineRule="auto"/>
        <w:ind w:left="566"/>
      </w:pPr>
      <w:r>
        <w:separator/>
      </w:r>
    </w:p>
  </w:footnote>
  <w:footnote w:type="continuationSeparator" w:id="0">
    <w:p w14:paraId="03483718" w14:textId="77777777" w:rsidR="00447AF4" w:rsidRDefault="00447AF4">
      <w:pPr>
        <w:spacing w:after="0" w:line="250" w:lineRule="auto"/>
        <w:ind w:left="566"/>
      </w:pPr>
      <w:r>
        <w:continuationSeparator/>
      </w:r>
    </w:p>
  </w:footnote>
  <w:footnote w:id="1">
    <w:p w14:paraId="551C507A" w14:textId="77777777" w:rsidR="004A56D6" w:rsidRDefault="00364812">
      <w:pPr>
        <w:pStyle w:val="footnotedescription"/>
        <w:spacing w:line="250" w:lineRule="auto"/>
      </w:pPr>
      <w:r>
        <w:rPr>
          <w:rStyle w:val="footnotemark"/>
        </w:rPr>
        <w:footnoteRef/>
      </w:r>
      <w:r>
        <w:t xml:space="preserve"> The remoteness area categories are linked to the Australian Standard Geographical Classification – Remoteness Areas (ASGC-RA) systems used by the Australian Bureau of Statistics (ABS). This is a geographical approach that classifies areas into given categ</w:t>
      </w:r>
      <w:r>
        <w:t>ories ranging from very remote areas to major cities.</w:t>
      </w:r>
    </w:p>
    <w:p w14:paraId="6821DB12" w14:textId="4BBAB771" w:rsidR="004A56D6" w:rsidRDefault="00364812">
      <w:pPr>
        <w:pStyle w:val="footnotedescription"/>
        <w:spacing w:line="250" w:lineRule="auto"/>
      </w:pPr>
      <w:r>
        <w:rPr>
          <w:vertAlign w:val="superscript"/>
        </w:rPr>
        <w:t>2</w:t>
      </w:r>
      <w:r>
        <w:t xml:space="preserve"> Pro-rata for part-time employees.</w:t>
      </w:r>
    </w:p>
    <w:p w14:paraId="2601D3E5" w14:textId="24F86405" w:rsidR="00703595" w:rsidRDefault="00364812">
      <w:pPr>
        <w:pStyle w:val="footnotedescription"/>
        <w:spacing w:line="250" w:lineRule="auto"/>
      </w:pPr>
      <w:r>
        <w:t xml:space="preserve"> </w:t>
      </w:r>
    </w:p>
  </w:footnote>
  <w:footnote w:id="2">
    <w:p w14:paraId="2F2AB3C3" w14:textId="77777777" w:rsidR="00703595" w:rsidRDefault="00364812">
      <w:pPr>
        <w:pStyle w:val="footnotedescription"/>
      </w:pPr>
      <w:r>
        <w:rPr>
          <w:rStyle w:val="footnotemark"/>
        </w:rPr>
        <w:footnoteRef/>
      </w:r>
      <w:r>
        <w:t xml:space="preserve"> Pro-rata for part-time employees. </w:t>
      </w:r>
    </w:p>
  </w:footnote>
  <w:footnote w:id="3">
    <w:p w14:paraId="143F02D4" w14:textId="77777777" w:rsidR="00703595" w:rsidRDefault="00364812">
      <w:pPr>
        <w:pStyle w:val="footnotedescription"/>
        <w:ind w:left="708"/>
      </w:pPr>
      <w:r>
        <w:rPr>
          <w:rStyle w:val="footnotemark"/>
        </w:rPr>
        <w:footnoteRef/>
      </w:r>
      <w:r>
        <w:t xml:space="preserve"> Pro-rata for part-time employees.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553C" w14:textId="77777777" w:rsidR="00703595" w:rsidRDefault="0036481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B400DD5" wp14:editId="135F9333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10691495" cy="7563232"/>
              <wp:effectExtent l="0" t="0" r="0" b="0"/>
              <wp:wrapNone/>
              <wp:docPr id="16422" name="Group 16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1495" cy="7563232"/>
                        <a:chOff x="0" y="0"/>
                        <a:chExt cx="10691495" cy="7563232"/>
                      </a:xfrm>
                    </wpg:grpSpPr>
                    <pic:pic xmlns:pic="http://schemas.openxmlformats.org/drawingml/2006/picture">
                      <pic:nvPicPr>
                        <pic:cNvPr id="16423" name="Picture 16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495" cy="7563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422" style="width:841.85pt;height:595.53pt;position:absolute;z-index:-2147483648;mso-position-horizontal-relative:page;mso-position-horizontal:absolute;margin-left:0pt;mso-position-vertical-relative:page;margin-top:0.000793457pt;" coordsize="106914,75632">
              <v:shape id="Picture 16423" style="position:absolute;width:106914;height:75632;left:0;top:0;" filled="f">
                <v:imagedata r:id="rId1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4CB0" w14:textId="12BF4A66" w:rsidR="00703595" w:rsidRDefault="004A56D6">
    <w:r>
      <w:rPr>
        <w:noProof/>
      </w:rPr>
      <w:drawing>
        <wp:anchor distT="0" distB="0" distL="114300" distR="114300" simplePos="0" relativeHeight="251662336" behindDoc="1" locked="0" layoutInCell="1" allowOverlap="1" wp14:anchorId="4F95EBF1" wp14:editId="58B22486">
          <wp:simplePos x="0" y="0"/>
          <wp:positionH relativeFrom="margin">
            <wp:align>left</wp:align>
          </wp:positionH>
          <wp:positionV relativeFrom="paragraph">
            <wp:posOffset>-460800</wp:posOffset>
          </wp:positionV>
          <wp:extent cx="10692000" cy="1360800"/>
          <wp:effectExtent l="0" t="0" r="0" b="0"/>
          <wp:wrapNone/>
          <wp:docPr id="104569544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6954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E0E0" w14:textId="77777777" w:rsidR="00703595" w:rsidRDefault="0036481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38C955D" wp14:editId="434AC203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10691495" cy="7563232"/>
              <wp:effectExtent l="0" t="0" r="0" b="0"/>
              <wp:wrapNone/>
              <wp:docPr id="16344" name="Group 16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1495" cy="7563232"/>
                        <a:chOff x="0" y="0"/>
                        <a:chExt cx="10691495" cy="7563232"/>
                      </a:xfrm>
                    </wpg:grpSpPr>
                    <pic:pic xmlns:pic="http://schemas.openxmlformats.org/drawingml/2006/picture">
                      <pic:nvPicPr>
                        <pic:cNvPr id="16345" name="Picture 163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495" cy="75632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344" style="width:841.85pt;height:595.53pt;position:absolute;z-index:-2147483648;mso-position-horizontal-relative:page;mso-position-horizontal:absolute;margin-left:0pt;mso-position-vertical-relative:page;margin-top:0.000793457pt;" coordsize="106914,75632">
              <v:shape id="Picture 16345" style="position:absolute;width:106914;height:75632;left:0;top:0;" filled="f">
                <v:imagedata r:id="rId1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56DB"/>
    <w:multiLevelType w:val="multilevel"/>
    <w:tmpl w:val="9DE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88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95"/>
    <w:rsid w:val="000B7B7B"/>
    <w:rsid w:val="00364812"/>
    <w:rsid w:val="003F1DE8"/>
    <w:rsid w:val="00447AF4"/>
    <w:rsid w:val="004A56D6"/>
    <w:rsid w:val="00703595"/>
    <w:rsid w:val="00847549"/>
    <w:rsid w:val="008D4FC8"/>
    <w:rsid w:val="00B0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44E5"/>
  <w15:docId w15:val="{4A5EE5FB-6640-48DC-AB04-37EF57F4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566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6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0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0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3135</Characters>
  <Application>Microsoft Office Word</Application>
  <DocSecurity>0</DocSecurity>
  <Lines>522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Remote, regional, location, incentive, incentives, housing, annual payment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Remote, regional, location, incentive, incentives, housing, annual payment</dc:title>
  <dc:subject>Remote and regional location incentive scheme</dc:subject>
  <dc:creator>Queensland Government</dc:creator>
  <cp:keywords>Remote, regional, location, incentive, incentives, housing, annual payment</cp:keywords>
  <cp:lastModifiedBy>Lee Barby</cp:lastModifiedBy>
  <cp:revision>3</cp:revision>
  <cp:lastPrinted>2024-05-23T22:29:00Z</cp:lastPrinted>
  <dcterms:created xsi:type="dcterms:W3CDTF">2024-05-23T22:28:00Z</dcterms:created>
  <dcterms:modified xsi:type="dcterms:W3CDTF">2024-05-23T22:29:00Z</dcterms:modified>
</cp:coreProperties>
</file>